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54C62" w14:textId="3DEDA60B" w:rsidR="00A95652" w:rsidRDefault="00D81707" w:rsidP="00D81707">
      <w:pPr>
        <w:pStyle w:val="Heading1"/>
      </w:pPr>
      <w:r>
        <w:t xml:space="preserve">1AC vs </w:t>
      </w:r>
      <w:r w:rsidRPr="00D81707">
        <w:t>San Mateo YR</w:t>
      </w:r>
    </w:p>
    <w:p w14:paraId="6107C135" w14:textId="160CE660" w:rsidR="00D81707" w:rsidRDefault="00D81707" w:rsidP="00D81707">
      <w:pPr>
        <w:pStyle w:val="Heading2"/>
      </w:pPr>
      <w:r>
        <w:t>1AC</w:t>
      </w:r>
    </w:p>
    <w:p w14:paraId="07EEBA29" w14:textId="07501F91" w:rsidR="00D81707" w:rsidRDefault="00D81707" w:rsidP="00D81707">
      <w:pPr>
        <w:pStyle w:val="Heading3"/>
      </w:pPr>
      <w:r>
        <w:t>Semis</w:t>
      </w:r>
    </w:p>
    <w:p w14:paraId="1FF9DCEC" w14:textId="77777777" w:rsidR="00D81707" w:rsidRDefault="00D81707" w:rsidP="00D81707">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4F9D16AF" w14:textId="77777777" w:rsidR="00D81707" w:rsidRDefault="00D81707" w:rsidP="00D81707">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587C2651" w14:textId="77777777" w:rsidR="00D81707" w:rsidRDefault="00D81707" w:rsidP="00D81707">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EE2F8D">
        <w:rPr>
          <w:rStyle w:val="Emphasis"/>
          <w:highlight w:val="green"/>
        </w:rPr>
        <w:t>pity involves a</w:t>
      </w:r>
      <w:r>
        <w:rPr>
          <w:rStyle w:val="StyleUnderline"/>
        </w:rPr>
        <w:t xml:space="preserve"> complex affective </w:t>
      </w:r>
      <w:r w:rsidRPr="00EE2F8D">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sidRPr="00EE2F8D">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sidRPr="00EE2F8D">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sidRPr="00EE2F8D">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sidRPr="00EE2F8D">
        <w:rPr>
          <w:rStyle w:val="Emphasis"/>
          <w:highlight w:val="green"/>
        </w:rPr>
        <w:t>to contemplate another person’s suffering is to</w:t>
      </w:r>
      <w:r>
        <w:rPr>
          <w:sz w:val="16"/>
        </w:rPr>
        <w:t xml:space="preserve"> confront the </w:t>
      </w:r>
      <w:r w:rsidRPr="00EE2F8D">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sidRPr="00EE2F8D">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sidRPr="00EE2F8D">
        <w:rPr>
          <w:rStyle w:val="Emphasis"/>
          <w:highlight w:val="green"/>
        </w:rPr>
        <w:t>the ego</w:t>
      </w:r>
      <w:r>
        <w:rPr>
          <w:rStyle w:val="Emphasis"/>
        </w:rPr>
        <w:t xml:space="preserve"> by aggrandizing</w:t>
      </w:r>
      <w:r>
        <w:rPr>
          <w:rStyle w:val="StyleUnderline"/>
        </w:rPr>
        <w:t xml:space="preserve"> oneself </w:t>
      </w:r>
      <w:r w:rsidRPr="00EE2F8D">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sidRPr="00EE2F8D">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EE2F8D">
        <w:rPr>
          <w:rStyle w:val="Emphasis"/>
          <w:highlight w:val="green"/>
        </w:rPr>
        <w:t>we feel primary pity and then</w:t>
      </w:r>
      <w:r>
        <w:rPr>
          <w:rStyle w:val="StyleUnderline"/>
        </w:rPr>
        <w:t>, almost before we can blink,</w:t>
      </w:r>
      <w:r>
        <w:rPr>
          <w:sz w:val="16"/>
        </w:rPr>
        <w:t xml:space="preserve"> </w:t>
      </w:r>
      <w:r w:rsidRPr="00EE2F8D">
        <w:rPr>
          <w:rStyle w:val="Emphasis"/>
          <w:highlight w:val="green"/>
        </w:rPr>
        <w:t>deny that we</w:t>
      </w:r>
      <w:r>
        <w:rPr>
          <w:rStyle w:val="Emphasis"/>
        </w:rPr>
        <w:t xml:space="preserve"> feel or </w:t>
      </w:r>
      <w:r w:rsidRPr="00EE2F8D">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2DD6DD19" w14:textId="77777777" w:rsidR="00D81707" w:rsidRDefault="00D81707" w:rsidP="00D81707">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26ECE299" w14:textId="77777777" w:rsidR="00D81707" w:rsidRDefault="00D81707" w:rsidP="00D81707">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68BDCB3D" w14:textId="77777777" w:rsidR="00D81707" w:rsidRDefault="00D81707" w:rsidP="00D81707">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EE2F8D">
        <w:rPr>
          <w:rStyle w:val="Emphasis"/>
          <w:highlight w:val="green"/>
        </w:rPr>
        <w:t>the</w:t>
      </w:r>
      <w:r>
        <w:rPr>
          <w:rStyle w:val="StyleUnderline"/>
        </w:rPr>
        <w:t xml:space="preserve"> disciplinary </w:t>
      </w:r>
      <w:r w:rsidRPr="00EE2F8D">
        <w:rPr>
          <w:rStyle w:val="Emphasis"/>
          <w:highlight w:val="green"/>
        </w:rPr>
        <w:t>image of the</w:t>
      </w:r>
      <w:r>
        <w:rPr>
          <w:rStyle w:val="StyleUnderline"/>
        </w:rPr>
        <w:t xml:space="preserve"> ‘innocent’ </w:t>
      </w:r>
      <w:r w:rsidRPr="00EE2F8D">
        <w:rPr>
          <w:rStyle w:val="Emphasis"/>
          <w:highlight w:val="green"/>
        </w:rPr>
        <w:t>Child” is inextricable</w:t>
      </w:r>
      <w:r>
        <w:rPr>
          <w:sz w:val="16"/>
        </w:rPr>
        <w:t xml:space="preserve"> not only from queerness but also </w:t>
      </w:r>
      <w:r w:rsidRPr="00EE2F8D">
        <w:rPr>
          <w:rStyle w:val="Emphasis"/>
          <w:highlight w:val="green"/>
        </w:rPr>
        <w:t>from disability</w:t>
      </w:r>
      <w:r>
        <w:rPr>
          <w:sz w:val="16"/>
        </w:rPr>
        <w:t xml:space="preserve"> (19). For example, </w:t>
      </w:r>
      <w:r w:rsidRPr="00EE2F8D">
        <w:rPr>
          <w:rStyle w:val="Emphasis"/>
          <w:highlight w:val="green"/>
        </w:rPr>
        <w:t>the Child is</w:t>
      </w:r>
      <w:r>
        <w:rPr>
          <w:rStyle w:val="StyleUnderline"/>
        </w:rPr>
        <w:t xml:space="preserve"> the centerpiece of the telethon, </w:t>
      </w:r>
      <w:r w:rsidRPr="00EE2F8D">
        <w:rPr>
          <w:rStyle w:val="Emphasis"/>
          <w:highlight w:val="green"/>
        </w:rPr>
        <w:t>a</w:t>
      </w:r>
      <w:r>
        <w:rPr>
          <w:rStyle w:val="StyleUnderline"/>
        </w:rPr>
        <w:t xml:space="preserve"> ritual </w:t>
      </w:r>
      <w:r w:rsidRPr="00EE2F8D">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EE2F8D">
        <w:rPr>
          <w:rStyle w:val="Emphasis"/>
          <w:highlight w:val="green"/>
        </w:rPr>
        <w:t>the Child makes an excellent alibi for ableism</w:t>
      </w:r>
      <w:r>
        <w:rPr>
          <w:rStyle w:val="StyleUnderline"/>
        </w:rPr>
        <w:t xml:space="preserve">, perhaps this is </w:t>
      </w:r>
      <w:r w:rsidRPr="00EE2F8D">
        <w:rPr>
          <w:rStyle w:val="Emphasis"/>
          <w:highlight w:val="green"/>
        </w:rPr>
        <w:t>because</w:t>
      </w:r>
      <w:r>
        <w:rPr>
          <w:rStyle w:val="StyleUnderline"/>
        </w:rPr>
        <w:t xml:space="preserve">, as Edelman points out, </w:t>
      </w:r>
      <w:r>
        <w:rPr>
          <w:rStyle w:val="Emphasis"/>
        </w:rPr>
        <w:t xml:space="preserve">the idea of </w:t>
      </w:r>
      <w:r w:rsidRPr="00EE2F8D">
        <w:rPr>
          <w:rStyle w:val="Emphasis"/>
          <w:highlight w:val="green"/>
        </w:rPr>
        <w:t>not fighting for</w:t>
      </w:r>
      <w:r>
        <w:rPr>
          <w:rStyle w:val="StyleUnderline"/>
        </w:rPr>
        <w:t xml:space="preserve"> this figure </w:t>
      </w:r>
      <w:r w:rsidRPr="00EE2F8D">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sidRPr="00EE2F8D">
        <w:rPr>
          <w:rStyle w:val="Emphasis"/>
          <w:highlight w:val="green"/>
        </w:rPr>
        <w:t>The logic</w:t>
      </w:r>
      <w:r>
        <w:rPr>
          <w:sz w:val="16"/>
        </w:rPr>
        <w:t xml:space="preserve"> </w:t>
      </w:r>
      <w:r>
        <w:rPr>
          <w:rStyle w:val="StyleUnderline"/>
        </w:rPr>
        <w:t xml:space="preserve">of the telethon, in other words, </w:t>
      </w:r>
      <w:r w:rsidRPr="00EE2F8D">
        <w:rPr>
          <w:rStyle w:val="Emphasis"/>
          <w:highlight w:val="green"/>
        </w:rPr>
        <w:t>relies on</w:t>
      </w:r>
      <w:r>
        <w:rPr>
          <w:rStyle w:val="StyleUnderline"/>
        </w:rPr>
        <w:t xml:space="preserve"> an ideology that might be defined as </w:t>
      </w:r>
      <w:r w:rsidRPr="00EE2F8D">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sidRPr="00EE2F8D">
        <w:rPr>
          <w:rStyle w:val="Emphasis"/>
          <w:highlight w:val="green"/>
        </w:rPr>
        <w:t>Futurity is</w:t>
      </w:r>
      <w:r>
        <w:rPr>
          <w:rStyle w:val="StyleUnderline"/>
        </w:rPr>
        <w:t xml:space="preserve"> habitually </w:t>
      </w:r>
      <w:r w:rsidRPr="00EE2F8D">
        <w:rPr>
          <w:rStyle w:val="Emphasis"/>
          <w:highlight w:val="green"/>
        </w:rPr>
        <w:t>imagined</w:t>
      </w:r>
      <w:r>
        <w:rPr>
          <w:rStyle w:val="StyleUnderline"/>
        </w:rPr>
        <w:t xml:space="preserve"> in terms </w:t>
      </w:r>
      <w:r w:rsidRPr="00EE2F8D">
        <w:rPr>
          <w:rStyle w:val="Emphasis"/>
          <w:highlight w:val="green"/>
        </w:rPr>
        <w:t>that</w:t>
      </w:r>
      <w:r>
        <w:rPr>
          <w:rStyle w:val="StyleUnderline"/>
        </w:rPr>
        <w:t xml:space="preserve"> fantasize </w:t>
      </w:r>
      <w:r w:rsidRPr="00EE2F8D">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sidRPr="00EE2F8D">
        <w:rPr>
          <w:rStyle w:val="Emphasis"/>
          <w:highlight w:val="green"/>
        </w:rPr>
        <w:t>would bring</w:t>
      </w:r>
      <w:r>
        <w:rPr>
          <w:rStyle w:val="StyleUnderline"/>
        </w:rPr>
        <w:t xml:space="preserve"> forth</w:t>
      </w:r>
      <w:r>
        <w:rPr>
          <w:rStyle w:val="Emphasis"/>
        </w:rPr>
        <w:t xml:space="preserve"> </w:t>
      </w:r>
      <w:r w:rsidRPr="00EE2F8D">
        <w:rPr>
          <w:rStyle w:val="Emphasis"/>
          <w:highlight w:val="green"/>
        </w:rPr>
        <w:t>a better future.</w:t>
      </w:r>
      <w:r>
        <w:rPr>
          <w:sz w:val="16"/>
        </w:rPr>
        <w:t>” (68-69)</w:t>
      </w:r>
    </w:p>
    <w:p w14:paraId="542AE430" w14:textId="77777777" w:rsidR="00D81707" w:rsidRDefault="00D81707" w:rsidP="00D81707">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C80D70A" w14:textId="77777777" w:rsidR="00D81707" w:rsidRDefault="00D81707" w:rsidP="00D81707">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45C646B1" w14:textId="77777777" w:rsidR="00D81707" w:rsidRDefault="00D81707" w:rsidP="00D81707">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EE2F8D">
        <w:rPr>
          <w:rStyle w:val="Emphasis"/>
          <w:highlight w:val="green"/>
        </w:rPr>
        <w:t>“Fluency”</w:t>
      </w:r>
      <w:r>
        <w:rPr>
          <w:rStyle w:val="Emphasis"/>
        </w:rPr>
        <w:t xml:space="preserve"> can accordingly be understood as a technology operating at the intersection of biopower and hegemony that smooths over and </w:t>
      </w:r>
      <w:r w:rsidRPr="00EE2F8D">
        <w:rPr>
          <w:rStyle w:val="Emphasis"/>
          <w:highlight w:val="green"/>
        </w:rPr>
        <w:t xml:space="preserve">straightens </w:t>
      </w:r>
      <w:r>
        <w:rPr>
          <w:rStyle w:val="Emphasis"/>
        </w:rPr>
        <w:t xml:space="preserve">discontinuous </w:t>
      </w:r>
      <w:r w:rsidRPr="00EE2F8D">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sidRPr="00EE2F8D">
        <w:rPr>
          <w:rStyle w:val="Emphasis"/>
          <w:highlight w:val="green"/>
        </w:rPr>
        <w:t>to eliminate</w:t>
      </w:r>
      <w:r>
        <w:rPr>
          <w:rStyle w:val="Emphasis"/>
        </w:rPr>
        <w:t xml:space="preserve"> frictions within </w:t>
      </w:r>
      <w:r w:rsidRPr="00EE2F8D">
        <w:rPr>
          <w:rStyle w:val="Emphasis"/>
          <w:highlight w:val="green"/>
        </w:rPr>
        <w:t>productive,</w:t>
      </w:r>
      <w:r>
        <w:rPr>
          <w:rStyle w:val="Emphasis"/>
        </w:rPr>
        <w:t xml:space="preserve"> biopolitical </w:t>
      </w:r>
      <w:r w:rsidRPr="00EE2F8D">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sidRPr="00EE2F8D">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sidRPr="00EE2F8D">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sidRPr="00EE2F8D">
        <w:rPr>
          <w:rStyle w:val="Emphasis"/>
          <w:highlight w:val="green"/>
        </w:rPr>
        <w:t>embodied difference</w:t>
      </w:r>
      <w:r>
        <w:rPr>
          <w:color w:val="000000" w:themeColor="text1"/>
          <w:sz w:val="16"/>
          <w:szCs w:val="16"/>
        </w:rPr>
        <w:t xml:space="preserve"> that seems to emanate from everywhere </w:t>
      </w:r>
      <w:r w:rsidRPr="00EE2F8D">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sidRPr="00EE2F8D">
        <w:rPr>
          <w:rStyle w:val="Emphasis"/>
          <w:highlight w:val="green"/>
        </w:rPr>
        <w:t>is</w:t>
      </w:r>
      <w:r>
        <w:rPr>
          <w:rStyle w:val="Emphasis"/>
        </w:rPr>
        <w:t xml:space="preserve"> first a process </w:t>
      </w:r>
      <w:r w:rsidRPr="00EE2F8D">
        <w:rPr>
          <w:rStyle w:val="Emphasis"/>
          <w:highlight w:val="green"/>
        </w:rPr>
        <w:t>enacted</w:t>
      </w:r>
      <w:r>
        <w:rPr>
          <w:rStyle w:val="Emphasis"/>
        </w:rPr>
        <w:t xml:space="preserve"> and lived </w:t>
      </w:r>
      <w:r w:rsidRPr="00EE2F8D">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sidRPr="00EE2F8D">
        <w:rPr>
          <w:rStyle w:val="Emphasis"/>
          <w:highlight w:val="green"/>
        </w:rPr>
        <w:t>The</w:t>
      </w:r>
      <w:r>
        <w:rPr>
          <w:rStyle w:val="Emphasis"/>
        </w:rPr>
        <w:t xml:space="preserve"> vast array of rhythms, </w:t>
      </w:r>
      <w:r w:rsidRPr="00EE2F8D">
        <w:rPr>
          <w:rStyle w:val="Emphasis"/>
          <w:highlight w:val="green"/>
        </w:rPr>
        <w:t>semiotic</w:t>
      </w:r>
      <w:r>
        <w:rPr>
          <w:rStyle w:val="Emphasis"/>
        </w:rPr>
        <w:t xml:space="preserve"> modes, tempos, dictions, and (racialized or disabled) accents that constitute practices of aural “communication” </w:t>
      </w:r>
      <w:r w:rsidRPr="00EE2F8D">
        <w:rPr>
          <w:rStyle w:val="Emphasis"/>
          <w:highlight w:val="green"/>
        </w:rPr>
        <w:t>have become the</w:t>
      </w:r>
      <w:r>
        <w:rPr>
          <w:rStyle w:val="Emphasis"/>
        </w:rPr>
        <w:t xml:space="preserve"> objective </w:t>
      </w:r>
      <w:r w:rsidRPr="00EE2F8D">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sidRPr="00EE2F8D">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EE2F8D">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sidRPr="00EE2F8D">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sidRPr="00EE2F8D">
        <w:rPr>
          <w:rStyle w:val="Emphasis"/>
          <w:highlight w:val="green"/>
        </w:rPr>
        <w:t>the</w:t>
      </w:r>
      <w:r>
        <w:rPr>
          <w:rStyle w:val="Emphasis"/>
        </w:rPr>
        <w:t xml:space="preserve"> “effortless </w:t>
      </w:r>
      <w:r w:rsidRPr="00EE2F8D">
        <w:rPr>
          <w:rStyle w:val="Emphasis"/>
          <w:highlight w:val="green"/>
        </w:rPr>
        <w:t>flow of speech”</w:t>
      </w:r>
      <w:r>
        <w:rPr>
          <w:rStyle w:val="Emphasis"/>
        </w:rPr>
        <w:t xml:space="preserve"> can be read as </w:t>
      </w:r>
      <w:r w:rsidRPr="00EE2F8D">
        <w:rPr>
          <w:rStyle w:val="Emphasis"/>
          <w:highlight w:val="green"/>
        </w:rPr>
        <w:t>a</w:t>
      </w:r>
      <w:r>
        <w:rPr>
          <w:rStyle w:val="Emphasis"/>
        </w:rPr>
        <w:t xml:space="preserve"> coordinated—yet often strained—</w:t>
      </w:r>
      <w:r w:rsidRPr="00EE2F8D">
        <w:rPr>
          <w:rStyle w:val="Emphasis"/>
          <w:highlight w:val="green"/>
        </w:rPr>
        <w:t>performance of bending</w:t>
      </w:r>
      <w:r>
        <w:rPr>
          <w:rStyle w:val="Emphasis"/>
        </w:rPr>
        <w:t xml:space="preserve"> the energies and capacities of </w:t>
      </w:r>
      <w:r w:rsidRPr="00EE2F8D">
        <w:rPr>
          <w:rStyle w:val="Emphasis"/>
          <w:highlight w:val="green"/>
        </w:rPr>
        <w:t>bodies toward</w:t>
      </w:r>
      <w:r>
        <w:rPr>
          <w:rStyle w:val="Emphasis"/>
        </w:rPr>
        <w:t xml:space="preserve"> stable and univocal </w:t>
      </w:r>
      <w:r w:rsidRPr="00EE2F8D">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sidRPr="00EE2F8D">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sidRPr="00EE2F8D">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sidRPr="00EE2F8D">
        <w:rPr>
          <w:rStyle w:val="Emphasis"/>
          <w:highlight w:val="green"/>
        </w:rPr>
        <w:t>are erased from</w:t>
      </w:r>
      <w:r>
        <w:rPr>
          <w:rStyle w:val="Emphasis"/>
        </w:rPr>
        <w:t xml:space="preserve"> closed captions and courtroom </w:t>
      </w:r>
      <w:r w:rsidRPr="00EE2F8D">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6292C6A5" w14:textId="77777777" w:rsidR="00D81707" w:rsidRDefault="00D81707" w:rsidP="00D81707">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33DB99AF" w14:textId="77777777" w:rsidR="00D81707" w:rsidRDefault="00D81707" w:rsidP="00D81707">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0AA39E14" w14:textId="77777777" w:rsidR="00D81707" w:rsidRDefault="00D81707" w:rsidP="00D81707">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EE2F8D">
        <w:rPr>
          <w:rStyle w:val="Emphasis"/>
          <w:color w:val="000000" w:themeColor="text1"/>
          <w:highlight w:val="green"/>
        </w:rPr>
        <w:t>disability</w:t>
      </w:r>
      <w:r>
        <w:rPr>
          <w:color w:val="000000" w:themeColor="text1"/>
          <w:sz w:val="12"/>
          <w:szCs w:val="26"/>
        </w:rPr>
        <w:t xml:space="preserve"> studies dialogue </w:t>
      </w:r>
      <w:r w:rsidRPr="00EE2F8D">
        <w:rPr>
          <w:rStyle w:val="Emphasis"/>
          <w:color w:val="000000" w:themeColor="text1"/>
          <w:highlight w:val="green"/>
        </w:rPr>
        <w:t>is riddled with</w:t>
      </w:r>
      <w:r>
        <w:rPr>
          <w:rStyle w:val="Emphasis"/>
          <w:color w:val="000000" w:themeColor="text1"/>
        </w:rPr>
        <w:t xml:space="preserve"> grief, anger, and </w:t>
      </w:r>
      <w:r w:rsidRPr="00EE2F8D">
        <w:rPr>
          <w:rStyle w:val="Emphasis"/>
          <w:color w:val="000000" w:themeColor="text1"/>
          <w:highlight w:val="green"/>
        </w:rPr>
        <w:t>pain and</w:t>
      </w:r>
      <w:r>
        <w:rPr>
          <w:rStyle w:val="Emphasis"/>
          <w:color w:val="000000" w:themeColor="text1"/>
        </w:rPr>
        <w:t xml:space="preserve"> it is as such that this project plots a course of disability research that </w:t>
      </w:r>
      <w:r w:rsidRPr="00EE2F8D">
        <w:rPr>
          <w:rStyle w:val="Emphasis"/>
          <w:color w:val="000000" w:themeColor="text1"/>
          <w:highlight w:val="green"/>
        </w:rPr>
        <w:t>attempts to make a space free from</w:t>
      </w:r>
      <w:r>
        <w:rPr>
          <w:rStyle w:val="Emphasis"/>
          <w:color w:val="000000" w:themeColor="text1"/>
        </w:rPr>
        <w:t xml:space="preserve"> the ideological constraints of </w:t>
      </w:r>
      <w:r w:rsidRPr="00EE2F8D">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sidRPr="00EE2F8D">
        <w:rPr>
          <w:rStyle w:val="Emphasis"/>
          <w:color w:val="000000" w:themeColor="text1"/>
          <w:highlight w:val="green"/>
        </w:rPr>
        <w:t>to antagonize the erasure of dis/ability</w:t>
      </w:r>
      <w:r>
        <w:rPr>
          <w:rStyle w:val="Emphasis"/>
          <w:color w:val="000000" w:themeColor="text1"/>
        </w:rPr>
        <w:t xml:space="preserve"> from communication studies </w:t>
      </w:r>
      <w:r w:rsidRPr="00EE2F8D">
        <w:rPr>
          <w:rStyle w:val="Emphasis"/>
          <w:color w:val="000000" w:themeColor="text1"/>
          <w:highlight w:val="green"/>
        </w:rPr>
        <w:t>by</w:t>
      </w:r>
      <w:r>
        <w:rPr>
          <w:color w:val="000000" w:themeColor="text1"/>
          <w:sz w:val="12"/>
          <w:szCs w:val="26"/>
        </w:rPr>
        <w:t xml:space="preserve"> autoethnographically </w:t>
      </w:r>
      <w:r w:rsidRPr="00EE2F8D">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sidRPr="00EE2F8D">
        <w:rPr>
          <w:rStyle w:val="Emphasis"/>
          <w:color w:val="000000" w:themeColor="text1"/>
          <w:highlight w:val="green"/>
        </w:rPr>
        <w:t>neoliberalism is</w:t>
      </w:r>
      <w:r>
        <w:rPr>
          <w:rStyle w:val="Emphasis"/>
          <w:color w:val="000000" w:themeColor="text1"/>
        </w:rPr>
        <w:t xml:space="preserve"> supremely </w:t>
      </w:r>
      <w:r w:rsidRPr="00EE2F8D">
        <w:rPr>
          <w:rStyle w:val="Emphasis"/>
          <w:color w:val="000000" w:themeColor="text1"/>
          <w:highlight w:val="green"/>
        </w:rPr>
        <w:t>effective at rebranding</w:t>
      </w:r>
      <w:r>
        <w:rPr>
          <w:rStyle w:val="Emphasis"/>
          <w:color w:val="000000" w:themeColor="text1"/>
        </w:rPr>
        <w:t xml:space="preserve"> marginalized </w:t>
      </w:r>
      <w:r w:rsidRPr="00EE2F8D">
        <w:rPr>
          <w:rStyle w:val="Emphasis"/>
          <w:color w:val="000000" w:themeColor="text1"/>
          <w:highlight w:val="green"/>
        </w:rPr>
        <w:t>oppression as</w:t>
      </w:r>
      <w:r>
        <w:rPr>
          <w:rStyle w:val="Emphasis"/>
          <w:color w:val="000000" w:themeColor="text1"/>
        </w:rPr>
        <w:t xml:space="preserve"> a marker of its </w:t>
      </w:r>
      <w:r w:rsidRPr="00EE2F8D">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sidRPr="00EE2F8D">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sidRPr="00EE2F8D">
        <w:rPr>
          <w:rStyle w:val="Emphasis"/>
          <w:color w:val="000000" w:themeColor="text1"/>
          <w:highlight w:val="green"/>
        </w:rPr>
        <w:t>strip</w:t>
      </w:r>
      <w:r>
        <w:rPr>
          <w:rStyle w:val="Emphasis"/>
          <w:color w:val="000000" w:themeColor="text1"/>
        </w:rPr>
        <w:t xml:space="preserve"> power and </w:t>
      </w:r>
      <w:r w:rsidRPr="00EE2F8D">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EE2F8D">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sidRPr="00EE2F8D">
        <w:rPr>
          <w:rStyle w:val="Emphasis"/>
          <w:color w:val="000000" w:themeColor="text1"/>
          <w:highlight w:val="green"/>
        </w:rPr>
        <w:t>approach that will</w:t>
      </w:r>
      <w:r>
        <w:rPr>
          <w:rStyle w:val="Emphasis"/>
          <w:color w:val="000000" w:themeColor="text1"/>
        </w:rPr>
        <w:t xml:space="preserve"> be suitable to </w:t>
      </w:r>
      <w:r w:rsidRPr="00EE2F8D">
        <w:rPr>
          <w:rStyle w:val="Emphasis"/>
          <w:color w:val="000000" w:themeColor="text1"/>
          <w:highlight w:val="green"/>
        </w:rPr>
        <w:t>address</w:t>
      </w:r>
      <w:r>
        <w:rPr>
          <w:rStyle w:val="Emphasis"/>
          <w:color w:val="000000" w:themeColor="text1"/>
        </w:rPr>
        <w:t xml:space="preserve"> all </w:t>
      </w:r>
      <w:r w:rsidRPr="00EE2F8D">
        <w:rPr>
          <w:rStyle w:val="Emphasis"/>
          <w:color w:val="000000" w:themeColor="text1"/>
          <w:highlight w:val="green"/>
        </w:rPr>
        <w:t>disabled experiences, as</w:t>
      </w:r>
      <w:r>
        <w:rPr>
          <w:rStyle w:val="Emphasis"/>
          <w:color w:val="000000" w:themeColor="text1"/>
        </w:rPr>
        <w:t xml:space="preserve"> the theoretical call for </w:t>
      </w:r>
      <w:r w:rsidRPr="00EE2F8D">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EE2F8D">
        <w:rPr>
          <w:rStyle w:val="Emphasis"/>
          <w:color w:val="000000" w:themeColor="text1"/>
          <w:highlight w:val="green"/>
        </w:rPr>
        <w:t>after</w:t>
      </w:r>
      <w:r>
        <w:rPr>
          <w:rStyle w:val="Emphasis"/>
          <w:color w:val="000000" w:themeColor="text1"/>
        </w:rPr>
        <w:t xml:space="preserve"> years of </w:t>
      </w:r>
      <w:r w:rsidRPr="00EE2F8D">
        <w:rPr>
          <w:rStyle w:val="Emphasis"/>
          <w:color w:val="000000" w:themeColor="text1"/>
          <w:highlight w:val="green"/>
        </w:rPr>
        <w:t>failing to rehabilitate</w:t>
      </w:r>
      <w:r>
        <w:rPr>
          <w:rStyle w:val="Emphasis"/>
          <w:color w:val="000000" w:themeColor="text1"/>
        </w:rPr>
        <w:t xml:space="preserve"> my sameness to </w:t>
      </w:r>
      <w:r w:rsidRPr="00EE2F8D">
        <w:rPr>
          <w:rStyle w:val="Emphasis"/>
          <w:color w:val="000000" w:themeColor="text1"/>
          <w:highlight w:val="green"/>
        </w:rPr>
        <w:t>able-bodied standards</w:t>
      </w:r>
      <w:r>
        <w:rPr>
          <w:rStyle w:val="Emphasis"/>
          <w:color w:val="000000" w:themeColor="text1"/>
        </w:rPr>
        <w:t xml:space="preserve">, I have </w:t>
      </w:r>
      <w:r w:rsidRPr="00EE2F8D">
        <w:rPr>
          <w:rStyle w:val="Emphasis"/>
          <w:color w:val="000000" w:themeColor="text1"/>
          <w:highlight w:val="green"/>
        </w:rPr>
        <w:t>come to a comfort with pessimism.</w:t>
      </w:r>
    </w:p>
    <w:p w14:paraId="41F40E07" w14:textId="77777777" w:rsidR="00D81707" w:rsidRDefault="00D81707" w:rsidP="00D81707">
      <w:pPr>
        <w:pStyle w:val="Heading4"/>
      </w:pPr>
      <w:r>
        <w:t>Disability controls proximate cause to and explains all other violence – treating those as inferior is only justifiable through the guise of disability.</w:t>
      </w:r>
    </w:p>
    <w:p w14:paraId="4ACAF530" w14:textId="77777777" w:rsidR="00D81707" w:rsidRDefault="00D81707" w:rsidP="00D81707">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72D19B0" w14:textId="77777777" w:rsidR="00D81707" w:rsidRDefault="00D81707" w:rsidP="00D81707">
      <w:pPr>
        <w:rPr>
          <w:rStyle w:val="Emphasis"/>
        </w:rPr>
      </w:pPr>
      <w:r>
        <w:rPr>
          <w:rStyle w:val="Emphasis"/>
          <w:color w:val="000000" w:themeColor="text1"/>
        </w:rPr>
        <w:t xml:space="preserve">The use of </w:t>
      </w:r>
      <w:r w:rsidRPr="00EE2F8D">
        <w:rPr>
          <w:rStyle w:val="Emphasis"/>
          <w:color w:val="000000" w:themeColor="text1"/>
          <w:highlight w:val="green"/>
        </w:rPr>
        <w:t>disability</w:t>
      </w:r>
      <w:r>
        <w:rPr>
          <w:rStyle w:val="Emphasis"/>
          <w:color w:val="000000" w:themeColor="text1"/>
        </w:rPr>
        <w:t xml:space="preserve"> identity as a prop to </w:t>
      </w:r>
      <w:r w:rsidRPr="00EE2F8D">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sidRPr="00EE2F8D">
        <w:rPr>
          <w:rStyle w:val="Emphasis"/>
          <w:color w:val="000000" w:themeColor="text1"/>
          <w:highlight w:val="green"/>
        </w:rPr>
        <w:t>people of color and women are illegitimate</w:t>
      </w:r>
      <w:r>
        <w:rPr>
          <w:rStyle w:val="Emphasis"/>
          <w:color w:val="000000" w:themeColor="text1"/>
        </w:rPr>
        <w:t xml:space="preserve"> because </w:t>
      </w:r>
      <w:r w:rsidRPr="00EE2F8D">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sidRPr="00EE2F8D">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sidRPr="00EE2F8D">
        <w:rPr>
          <w:rStyle w:val="Emphasis"/>
          <w:color w:val="000000" w:themeColor="text1"/>
          <w:highlight w:val="green"/>
        </w:rPr>
        <w:t>supposed</w:t>
      </w:r>
      <w:r>
        <w:rPr>
          <w:rStyle w:val="Emphasis"/>
          <w:color w:val="000000" w:themeColor="text1"/>
        </w:rPr>
        <w:t xml:space="preserve"> </w:t>
      </w:r>
      <w:r w:rsidRPr="00EE2F8D">
        <w:rPr>
          <w:rStyle w:val="Emphasis"/>
          <w:color w:val="000000" w:themeColor="text1"/>
          <w:highlight w:val="green"/>
        </w:rPr>
        <w:t>physical</w:t>
      </w:r>
      <w:r>
        <w:rPr>
          <w:rStyle w:val="Emphasis"/>
          <w:color w:val="000000" w:themeColor="text1"/>
        </w:rPr>
        <w:t xml:space="preserve">, intellectual, and </w:t>
      </w:r>
      <w:r w:rsidRPr="00EE2F8D">
        <w:rPr>
          <w:rStyle w:val="Emphasis"/>
          <w:color w:val="000000" w:themeColor="text1"/>
          <w:highlight w:val="green"/>
        </w:rPr>
        <w:t>psychological flaws</w:t>
      </w:r>
      <w:r>
        <w:rPr>
          <w:rStyle w:val="Emphasis"/>
          <w:color w:val="000000" w:themeColor="text1"/>
        </w:rPr>
        <w:t xml:space="preserve">, stressing </w:t>
      </w:r>
      <w:r w:rsidRPr="00EE2F8D">
        <w:rPr>
          <w:rStyle w:val="Emphasis"/>
          <w:color w:val="000000" w:themeColor="text1"/>
          <w:highlight w:val="green"/>
        </w:rPr>
        <w:t>irrationality</w:t>
      </w:r>
      <w:r>
        <w:rPr>
          <w:rStyle w:val="Emphasis"/>
          <w:color w:val="000000" w:themeColor="text1"/>
        </w:rPr>
        <w:t xml:space="preserve">, excessive </w:t>
      </w:r>
      <w:r w:rsidRPr="00EE2F8D">
        <w:rPr>
          <w:rStyle w:val="Emphasis"/>
          <w:color w:val="000000" w:themeColor="text1"/>
          <w:highlight w:val="green"/>
        </w:rPr>
        <w:t>emotions</w:t>
      </w:r>
      <w:r>
        <w:rPr>
          <w:rStyle w:val="Emphasis"/>
          <w:color w:val="000000" w:themeColor="text1"/>
        </w:rPr>
        <w:t xml:space="preserve">, </w:t>
      </w:r>
      <w:r w:rsidRPr="00EE2F8D">
        <w:rPr>
          <w:rStyle w:val="Emphasis"/>
          <w:color w:val="000000" w:themeColor="text1"/>
          <w:highlight w:val="green"/>
        </w:rPr>
        <w:t>and</w:t>
      </w:r>
      <w:r>
        <w:rPr>
          <w:rStyle w:val="Emphasis"/>
          <w:color w:val="000000" w:themeColor="text1"/>
        </w:rPr>
        <w:t xml:space="preserve"> physical </w:t>
      </w:r>
      <w:r w:rsidRPr="00EE2F8D">
        <w:rPr>
          <w:rStyle w:val="Emphasis"/>
          <w:color w:val="000000" w:themeColor="text1"/>
          <w:highlight w:val="green"/>
        </w:rPr>
        <w:t>weakness</w:t>
      </w:r>
      <w:r>
        <w:rPr>
          <w:rStyle w:val="Emphasis"/>
          <w:color w:val="000000" w:themeColor="text1"/>
        </w:rPr>
        <w:t xml:space="preserve">, while similar arguments for </w:t>
      </w:r>
      <w:r w:rsidRPr="00EE2F8D">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sidRPr="00EE2F8D">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sidRPr="00EE2F8D">
        <w:rPr>
          <w:rStyle w:val="Emphasis"/>
          <w:color w:val="000000" w:themeColor="text1"/>
          <w:highlight w:val="green"/>
        </w:rPr>
        <w:t>disability remains today</w:t>
      </w:r>
      <w:r>
        <w:rPr>
          <w:rStyle w:val="Emphasis"/>
          <w:color w:val="000000" w:themeColor="text1"/>
        </w:rPr>
        <w:t xml:space="preserve">, Baynton explains, </w:t>
      </w:r>
      <w:r w:rsidRPr="00EE2F8D">
        <w:rPr>
          <w:rStyle w:val="Emphasis"/>
          <w:color w:val="000000" w:themeColor="text1"/>
          <w:highlight w:val="green"/>
        </w:rPr>
        <w:t>an acceptable reason for unequal treatment</w:t>
      </w:r>
      <w:r>
        <w:rPr>
          <w:rStyle w:val="Emphasis"/>
          <w:color w:val="000000" w:themeColor="text1"/>
        </w:rPr>
        <w:t xml:space="preserve">, even as </w:t>
      </w:r>
      <w:r w:rsidRPr="00EE2F8D">
        <w:rPr>
          <w:rStyle w:val="Emphasis"/>
          <w:color w:val="000000" w:themeColor="text1"/>
          <w:highlight w:val="green"/>
        </w:rPr>
        <w:t>other justifications</w:t>
      </w:r>
      <w:r>
        <w:rPr>
          <w:rStyle w:val="Emphasis"/>
          <w:color w:val="000000" w:themeColor="text1"/>
        </w:rPr>
        <w:t xml:space="preserve"> for discrimination, based on race, ethnicity, sex, and gender, </w:t>
      </w:r>
      <w:r w:rsidRPr="00EE2F8D">
        <w:rPr>
          <w:rStyle w:val="Emphasis"/>
          <w:color w:val="000000" w:themeColor="text1"/>
          <w:highlight w:val="green"/>
        </w:rPr>
        <w:t>have begun to fall away</w:t>
      </w:r>
      <w:r>
        <w:rPr>
          <w:rStyle w:val="Emphasis"/>
          <w:color w:val="000000" w:themeColor="text1"/>
        </w:rPr>
        <w:t xml:space="preserve">. It is </w:t>
      </w:r>
      <w:r w:rsidRPr="00EE2F8D">
        <w:rPr>
          <w:rStyle w:val="Emphasis"/>
          <w:color w:val="000000" w:themeColor="text1"/>
          <w:highlight w:val="green"/>
        </w:rPr>
        <w:t>no longer</w:t>
      </w:r>
      <w:r>
        <w:rPr>
          <w:rStyle w:val="Emphasis"/>
          <w:color w:val="000000" w:themeColor="text1"/>
        </w:rPr>
        <w:t xml:space="preserve"> considered permissible </w:t>
      </w:r>
      <w:r w:rsidRPr="00EE2F8D">
        <w:rPr>
          <w:rStyle w:val="Emphasis"/>
          <w:color w:val="000000" w:themeColor="text1"/>
          <w:highlight w:val="green"/>
        </w:rPr>
        <w:t>to treat</w:t>
      </w:r>
      <w:r>
        <w:rPr>
          <w:rStyle w:val="Emphasis"/>
          <w:color w:val="000000" w:themeColor="text1"/>
        </w:rPr>
        <w:t xml:space="preserve"> minority people </w:t>
      </w:r>
      <w:r w:rsidRPr="00EE2F8D">
        <w:rPr>
          <w:rStyle w:val="Emphasis"/>
          <w:color w:val="000000" w:themeColor="text1"/>
          <w:highlight w:val="green"/>
        </w:rPr>
        <w:t>as inferior</w:t>
      </w:r>
      <w:r>
        <w:rPr>
          <w:rStyle w:val="Emphasis"/>
          <w:color w:val="000000" w:themeColor="text1"/>
        </w:rPr>
        <w:t xml:space="preserve"> citizens, although it happens all the time, </w:t>
      </w:r>
      <w:r w:rsidRPr="00EE2F8D">
        <w:rPr>
          <w:rStyle w:val="Emphasis"/>
          <w:color w:val="000000" w:themeColor="text1"/>
          <w:highlight w:val="green"/>
        </w:rPr>
        <w:t>unless</w:t>
      </w:r>
      <w:r>
        <w:rPr>
          <w:rStyle w:val="Emphasis"/>
          <w:color w:val="000000" w:themeColor="text1"/>
        </w:rPr>
        <w:t xml:space="preserve"> that inferiority is </w:t>
      </w:r>
      <w:r w:rsidRPr="00EE2F8D">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sidRPr="00EE2F8D">
        <w:rPr>
          <w:rStyle w:val="Emphasis"/>
          <w:color w:val="000000" w:themeColor="text1"/>
          <w:highlight w:val="green"/>
        </w:rPr>
        <w:t>there will always</w:t>
      </w:r>
      <w:r>
        <w:rPr>
          <w:rStyle w:val="Emphasis"/>
          <w:color w:val="000000" w:themeColor="text1"/>
        </w:rPr>
        <w:t xml:space="preserve"> </w:t>
      </w:r>
      <w:r w:rsidRPr="00EE2F8D">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sidRPr="00EE2F8D">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483F5A51" w14:textId="77777777" w:rsidR="00D81707" w:rsidRDefault="00D81707" w:rsidP="00D81707">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4178A60D" w14:textId="77777777" w:rsidR="00D81707" w:rsidRDefault="00D81707" w:rsidP="00D81707">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4C870548" w14:textId="77777777" w:rsidR="00D81707" w:rsidRDefault="00D81707" w:rsidP="00D81707">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EE2F8D">
        <w:rPr>
          <w:rStyle w:val="Emphasis"/>
          <w:highlight w:val="green"/>
        </w:rPr>
        <w:t>although Freud specifies</w:t>
      </w:r>
      <w:r>
        <w:rPr>
          <w:rStyle w:val="Emphasis"/>
        </w:rPr>
        <w:t xml:space="preserve"> that the </w:t>
      </w:r>
      <w:r w:rsidRPr="00EE2F8D">
        <w:rPr>
          <w:rStyle w:val="Emphasis"/>
          <w:highlight w:val="green"/>
        </w:rPr>
        <w:t>structure</w:t>
      </w:r>
      <w:r>
        <w:rPr>
          <w:rStyle w:val="Emphasis"/>
        </w:rPr>
        <w:t xml:space="preserve"> of the psyche that he delineates is universal, </w:t>
      </w:r>
      <w:r w:rsidRPr="00EE2F8D">
        <w:rPr>
          <w:rStyle w:val="Emphasis"/>
          <w:highlight w:val="green"/>
        </w:rPr>
        <w:t>his model leaves room for the theorization of</w:t>
      </w:r>
      <w:r>
        <w:rPr>
          <w:rStyle w:val="Emphasis"/>
        </w:rPr>
        <w:t xml:space="preserve"> a </w:t>
      </w:r>
      <w:r w:rsidRPr="00EE2F8D">
        <w:rPr>
          <w:rStyle w:val="Emphasis"/>
          <w:highlight w:val="green"/>
        </w:rPr>
        <w:t>great diversity of</w:t>
      </w:r>
      <w:r>
        <w:rPr>
          <w:rStyle w:val="Emphasis"/>
        </w:rPr>
        <w:t xml:space="preserve"> particular </w:t>
      </w:r>
      <w:r w:rsidRPr="00EE2F8D">
        <w:rPr>
          <w:rStyle w:val="Emphasis"/>
          <w:highlight w:val="green"/>
        </w:rPr>
        <w:t>content that</w:t>
      </w:r>
      <w:r>
        <w:rPr>
          <w:rStyle w:val="Emphasis"/>
        </w:rPr>
        <w:t xml:space="preserve"> might </w:t>
      </w:r>
      <w:r w:rsidRPr="00EE2F8D">
        <w:rPr>
          <w:rStyle w:val="Emphasis"/>
          <w:highlight w:val="green"/>
        </w:rPr>
        <w:t>fill that structure</w:t>
      </w:r>
      <w:r>
        <w:rPr>
          <w:rStyle w:val="Emphasis"/>
        </w:rPr>
        <w:t xml:space="preserve">. </w:t>
      </w:r>
      <w:r w:rsidRPr="00EE2F8D">
        <w:rPr>
          <w:rStyle w:val="Emphasis"/>
          <w:highlight w:val="green"/>
        </w:rPr>
        <w:t>Factors such as gender, queerness, race, class, colonialism, disability</w:t>
      </w:r>
      <w:r>
        <w:rPr>
          <w:rStyle w:val="Emphasis"/>
        </w:rPr>
        <w:t xml:space="preserve">, and historical context </w:t>
      </w:r>
      <w:r w:rsidRPr="00EE2F8D">
        <w:rPr>
          <w:rStyle w:val="Emphasis"/>
          <w:highlight w:val="green"/>
        </w:rPr>
        <w:t>can radically alter the ways in which constructs such as “the ego,” “the drive,” and “sexuality” come to be figured.</w:t>
      </w:r>
      <w:r>
        <w:rPr>
          <w:rStyle w:val="Emphasis"/>
        </w:rPr>
        <w:t xml:space="preserve"> </w:t>
      </w:r>
      <w:r w:rsidRPr="00EE2F8D">
        <w:rPr>
          <w:rStyle w:val="Emphasis"/>
          <w:highlight w:val="green"/>
        </w:rPr>
        <w:t>The</w:t>
      </w:r>
      <w:r>
        <w:rPr>
          <w:rStyle w:val="Emphasis"/>
        </w:rPr>
        <w:t xml:space="preserve"> potential </w:t>
      </w:r>
      <w:r w:rsidRPr="00EE2F8D">
        <w:rPr>
          <w:rStyle w:val="Emphasis"/>
          <w:highlight w:val="green"/>
        </w:rPr>
        <w:t xml:space="preserve">fluidity of </w:t>
      </w:r>
      <w:proofErr w:type="spellStart"/>
      <w:r w:rsidRPr="00EE2F8D">
        <w:rPr>
          <w:rStyle w:val="Emphasis"/>
          <w:highlight w:val="green"/>
        </w:rPr>
        <w:t>Freud‟s</w:t>
      </w:r>
      <w:proofErr w:type="spellEnd"/>
      <w:r w:rsidRPr="00EE2F8D">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sidRPr="00EE2F8D">
        <w:rPr>
          <w:rStyle w:val="Emphasis"/>
          <w:highlight w:val="green"/>
        </w:rPr>
        <w:t>I</w:t>
      </w:r>
      <w:r>
        <w:rPr>
          <w:rStyle w:val="Emphasis"/>
        </w:rPr>
        <w:t xml:space="preserve"> will </w:t>
      </w:r>
      <w:r w:rsidRPr="00EE2F8D">
        <w:rPr>
          <w:rStyle w:val="Emphasis"/>
          <w:highlight w:val="green"/>
        </w:rPr>
        <w:t>examine the</w:t>
      </w:r>
      <w:r>
        <w:rPr>
          <w:rStyle w:val="Emphasis"/>
        </w:rPr>
        <w:t xml:space="preserve"> 9 </w:t>
      </w:r>
      <w:r w:rsidRPr="00EE2F8D">
        <w:rPr>
          <w:rStyle w:val="Emphasis"/>
          <w:highlight w:val="green"/>
        </w:rPr>
        <w:t>ways in which cultural projections of the disability drive shape intersections</w:t>
      </w:r>
      <w:r>
        <w:rPr>
          <w:rStyle w:val="Emphasis"/>
        </w:rPr>
        <w:t xml:space="preserve"> of multiple modalities </w:t>
      </w:r>
      <w:r w:rsidRPr="00EE2F8D">
        <w:rPr>
          <w:rStyle w:val="Emphasis"/>
          <w:highlight w:val="green"/>
        </w:rPr>
        <w:t>of oppression</w:t>
      </w:r>
      <w:r>
        <w:rPr>
          <w:rStyle w:val="Emphasis"/>
        </w:rPr>
        <w:t xml:space="preserve">, </w:t>
      </w:r>
      <w:r w:rsidRPr="00EE2F8D">
        <w:rPr>
          <w:rStyle w:val="Emphasis"/>
          <w:highlight w:val="green"/>
        </w:rPr>
        <w:t>including</w:t>
      </w:r>
      <w:r>
        <w:rPr>
          <w:rStyle w:val="Emphasis"/>
        </w:rPr>
        <w:t xml:space="preserve"> ableism, </w:t>
      </w:r>
      <w:r w:rsidRPr="00EE2F8D">
        <w:rPr>
          <w:rStyle w:val="Emphasis"/>
          <w:highlight w:val="green"/>
        </w:rPr>
        <w:t>misogyny</w:t>
      </w:r>
      <w:r>
        <w:rPr>
          <w:rStyle w:val="Emphasis"/>
        </w:rPr>
        <w:t xml:space="preserve">, </w:t>
      </w:r>
      <w:r w:rsidRPr="00EE2F8D">
        <w:rPr>
          <w:rStyle w:val="Emphasis"/>
          <w:highlight w:val="green"/>
        </w:rPr>
        <w:t>homophobia</w:t>
      </w:r>
      <w:r>
        <w:rPr>
          <w:rStyle w:val="Emphasis"/>
        </w:rPr>
        <w:t xml:space="preserve">, fatphobia, </w:t>
      </w:r>
      <w:r w:rsidRPr="00EE2F8D">
        <w:rPr>
          <w:rStyle w:val="Emphasis"/>
          <w:highlight w:val="green"/>
        </w:rPr>
        <w:t>white supremacy</w:t>
      </w:r>
      <w:r>
        <w:rPr>
          <w:rStyle w:val="Emphasis"/>
        </w:rPr>
        <w:t>, classism</w:t>
      </w:r>
      <w:r w:rsidRPr="00EE2F8D">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sidRPr="00EE2F8D">
        <w:rPr>
          <w:rStyle w:val="Emphasis"/>
          <w:highlight w:val="green"/>
        </w:rPr>
        <w:t>I will neither assume nor attempt to establish that the psychoanalytic ways of thinking</w:t>
      </w:r>
      <w:r>
        <w:rPr>
          <w:rStyle w:val="Emphasis"/>
        </w:rPr>
        <w:t xml:space="preserve"> that I employ in this dissertation </w:t>
      </w:r>
      <w:r w:rsidRPr="00EE2F8D">
        <w:rPr>
          <w:rStyle w:val="Emphasis"/>
          <w:highlight w:val="green"/>
        </w:rPr>
        <w:t>will be useful</w:t>
      </w:r>
      <w:r>
        <w:rPr>
          <w:rStyle w:val="Emphasis"/>
        </w:rPr>
        <w:t xml:space="preserve"> or meaningful </w:t>
      </w:r>
      <w:r w:rsidRPr="00EE2F8D">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EE2F8D">
        <w:rPr>
          <w:b/>
          <w:szCs w:val="26"/>
          <w:highlight w:val="green"/>
          <w:u w:val="single"/>
        </w:rPr>
        <w:t>. The words</w:t>
      </w:r>
      <w:r>
        <w:rPr>
          <w:b/>
          <w:szCs w:val="26"/>
          <w:u w:val="single"/>
        </w:rPr>
        <w:t xml:space="preserve"> “</w:t>
      </w:r>
      <w:r w:rsidRPr="00EE2F8D">
        <w:rPr>
          <w:b/>
          <w:szCs w:val="26"/>
          <w:highlight w:val="green"/>
          <w:u w:val="single"/>
        </w:rPr>
        <w:t>our culture” cannot</w:t>
      </w:r>
      <w:r>
        <w:rPr>
          <w:b/>
          <w:szCs w:val="26"/>
          <w:u w:val="single"/>
        </w:rPr>
        <w:t>, of course</w:t>
      </w:r>
      <w:r w:rsidRPr="00EE2F8D">
        <w:rPr>
          <w:b/>
          <w:szCs w:val="26"/>
          <w:highlight w:val="green"/>
          <w:u w:val="single"/>
        </w:rPr>
        <w:t>, reference every person</w:t>
      </w:r>
      <w:r>
        <w:rPr>
          <w:b/>
          <w:szCs w:val="26"/>
          <w:u w:val="single"/>
        </w:rPr>
        <w:t xml:space="preserve"> in the world; </w:t>
      </w:r>
      <w:r w:rsidRPr="00EE2F8D">
        <w:rPr>
          <w:b/>
          <w:szCs w:val="26"/>
          <w:highlight w:val="green"/>
          <w:u w:val="single"/>
        </w:rPr>
        <w:t>but</w:t>
      </w:r>
      <w:r>
        <w:rPr>
          <w:b/>
          <w:szCs w:val="26"/>
          <w:u w:val="single"/>
        </w:rPr>
        <w:t xml:space="preserve"> because </w:t>
      </w:r>
      <w:r w:rsidRPr="00EE2F8D">
        <w:rPr>
          <w:b/>
          <w:szCs w:val="26"/>
          <w:highlight w:val="green"/>
          <w:u w:val="single"/>
        </w:rPr>
        <w:t>the ableist social and psychic structures</w:t>
      </w:r>
      <w:r>
        <w:rPr>
          <w:b/>
          <w:szCs w:val="26"/>
          <w:u w:val="single"/>
        </w:rPr>
        <w:t xml:space="preserve"> that I delineate in this project seem to me to potentially </w:t>
      </w:r>
      <w:r w:rsidRPr="00EE2F8D">
        <w:rPr>
          <w:b/>
          <w:szCs w:val="26"/>
          <w:highlight w:val="green"/>
          <w:u w:val="single"/>
        </w:rPr>
        <w:t>exceed the bounds of</w:t>
      </w:r>
      <w:r>
        <w:rPr>
          <w:b/>
          <w:szCs w:val="26"/>
          <w:u w:val="single"/>
        </w:rPr>
        <w:t xml:space="preserve"> </w:t>
      </w:r>
      <w:r w:rsidRPr="00EE2F8D">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72E27CB6" w14:textId="77777777" w:rsidR="00D81707" w:rsidRDefault="00D81707" w:rsidP="00D81707">
      <w:pPr>
        <w:pStyle w:val="Heading4"/>
      </w:pPr>
      <w:r>
        <w:t>Exclusionary conceptions of topical correctness are violent.</w:t>
      </w:r>
    </w:p>
    <w:p w14:paraId="75D73EFC" w14:textId="77777777" w:rsidR="00D81707" w:rsidRDefault="00D81707" w:rsidP="00D81707">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5D9846E7" w14:textId="77777777" w:rsidR="00D81707" w:rsidRDefault="00D81707" w:rsidP="00D81707">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6EC11CA0" w14:textId="77777777" w:rsidR="00D81707" w:rsidRDefault="00D81707" w:rsidP="00D81707">
      <w:pPr>
        <w:pStyle w:val="Heading4"/>
        <w:rPr>
          <w:sz w:val="8"/>
        </w:rPr>
      </w:pPr>
      <w:r>
        <w:t>Notions of competitive equity marginalize the out group and retrench power structures.</w:t>
      </w:r>
    </w:p>
    <w:p w14:paraId="017424AF" w14:textId="77777777" w:rsidR="00D81707" w:rsidRDefault="00D81707" w:rsidP="00D81707">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5FAFF91B" w14:textId="77777777" w:rsidR="00D81707" w:rsidRDefault="00D81707" w:rsidP="00D81707">
      <w:pPr>
        <w:pStyle w:val="Smalltext"/>
        <w:rPr>
          <w:color w:val="000000" w:themeColor="text1"/>
        </w:rPr>
      </w:pPr>
      <w:r>
        <w:rPr>
          <w:rStyle w:val="Emphasis"/>
          <w:rFonts w:cstheme="minorBidi"/>
        </w:rPr>
        <w:t>We have cleverly built power's view of the appropriate standard of conduct into the very term fair. Thus</w:t>
      </w:r>
      <w:r w:rsidRPr="00EE2F8D">
        <w:rPr>
          <w:rStyle w:val="Emphasis"/>
          <w:rFonts w:cstheme="minorBidi"/>
          <w:highlight w:val="green"/>
        </w:rPr>
        <w:t>, the stronger party is able to have</w:t>
      </w:r>
      <w:r>
        <w:rPr>
          <w:rStyle w:val="Emphasis"/>
          <w:rFonts w:cstheme="minorBidi"/>
        </w:rPr>
        <w:t xml:space="preserve"> his/</w:t>
      </w:r>
      <w:r w:rsidRPr="00EE2F8D">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EE2F8D">
        <w:rPr>
          <w:rStyle w:val="Emphasis"/>
          <w:rFonts w:cstheme="minorBidi"/>
          <w:highlight w:val="green"/>
        </w:rPr>
        <w:t>The "objective" approach</w:t>
      </w:r>
      <w:r>
        <w:rPr>
          <w:rStyle w:val="Emphasis"/>
          <w:rFonts w:cstheme="minorBidi"/>
        </w:rPr>
        <w:t xml:space="preserve"> is </w:t>
      </w:r>
      <w:r w:rsidRPr="00EE2F8D">
        <w:rPr>
          <w:rStyle w:val="Emphasis"/>
          <w:rFonts w:cstheme="minorBidi"/>
          <w:highlight w:val="green"/>
        </w:rPr>
        <w:t>not</w:t>
      </w:r>
      <w:r>
        <w:rPr>
          <w:rStyle w:val="Emphasis"/>
          <w:rFonts w:cstheme="minorBidi"/>
        </w:rPr>
        <w:t xml:space="preserve"> inherently better or </w:t>
      </w:r>
      <w:proofErr w:type="gramStart"/>
      <w:r w:rsidRPr="00EE2F8D">
        <w:rPr>
          <w:rStyle w:val="Emphasis"/>
          <w:rFonts w:cstheme="minorBidi"/>
          <w:highlight w:val="green"/>
        </w:rPr>
        <w:t>more fair</w:t>
      </w:r>
      <w:proofErr w:type="gramEnd"/>
      <w:r>
        <w:rPr>
          <w:rStyle w:val="Emphasis"/>
          <w:rFonts w:cstheme="minorBidi"/>
        </w:rPr>
        <w:t xml:space="preserve">. Rather, it is accepted because </w:t>
      </w:r>
      <w:r w:rsidRPr="00EE2F8D">
        <w:rPr>
          <w:rStyle w:val="Emphasis"/>
          <w:rFonts w:cstheme="minorBidi"/>
          <w:highlight w:val="green"/>
        </w:rPr>
        <w:t>it embodies</w:t>
      </w:r>
      <w:r>
        <w:rPr>
          <w:rStyle w:val="Emphasis"/>
          <w:rFonts w:cstheme="minorBidi"/>
        </w:rPr>
        <w:t xml:space="preserve"> the sense of </w:t>
      </w:r>
      <w:r w:rsidRPr="00EE2F8D">
        <w:rPr>
          <w:rStyle w:val="Emphasis"/>
          <w:rFonts w:cstheme="minorBidi"/>
          <w:highlight w:val="green"/>
        </w:rPr>
        <w:t>the stronger party</w:t>
      </w:r>
      <w:r>
        <w:rPr>
          <w:rStyle w:val="Emphasis"/>
          <w:rFonts w:cstheme="minorBidi"/>
        </w:rPr>
        <w:t xml:space="preserve">, who centuries ago found himself in a position to dictate what permission meant. </w:t>
      </w:r>
      <w:r w:rsidRPr="00EE2F8D">
        <w:rPr>
          <w:rStyle w:val="Emphasis"/>
          <w:rFonts w:cstheme="minorBidi"/>
          <w:highlight w:val="green"/>
        </w:rPr>
        <w:t>Allowing ourselves to be drawn into</w:t>
      </w:r>
      <w:r>
        <w:rPr>
          <w:rStyle w:val="Emphasis"/>
          <w:rFonts w:cstheme="minorBidi"/>
        </w:rPr>
        <w:t xml:space="preserve"> reflexive, predictable </w:t>
      </w:r>
      <w:r w:rsidRPr="00EE2F8D">
        <w:rPr>
          <w:rStyle w:val="Emphasis"/>
          <w:rFonts w:cstheme="minorBidi"/>
          <w:highlight w:val="green"/>
        </w:rPr>
        <w:t>arguments</w:t>
      </w:r>
      <w:r>
        <w:rPr>
          <w:rStyle w:val="Emphasis"/>
          <w:rFonts w:cstheme="minorBidi"/>
        </w:rPr>
        <w:t xml:space="preserve"> </w:t>
      </w:r>
      <w:r w:rsidRPr="00EE2F8D">
        <w:rPr>
          <w:rStyle w:val="Emphasis"/>
          <w:rFonts w:cstheme="minorBidi"/>
          <w:highlight w:val="green"/>
        </w:rPr>
        <w:t>about</w:t>
      </w:r>
      <w:r>
        <w:rPr>
          <w:color w:val="000000" w:themeColor="text1"/>
        </w:rPr>
        <w:t xml:space="preserve"> administrability, </w:t>
      </w:r>
      <w:r w:rsidRPr="00EE2F8D">
        <w:rPr>
          <w:rStyle w:val="Emphasis"/>
          <w:rFonts w:cstheme="minorBidi"/>
          <w:highlight w:val="green"/>
        </w:rPr>
        <w:t>fairness</w:t>
      </w:r>
      <w:r>
        <w:rPr>
          <w:rStyle w:val="Emphasis"/>
          <w:rFonts w:cstheme="minorBidi"/>
        </w:rPr>
        <w:t xml:space="preserve">, stability, and ease of determination </w:t>
      </w:r>
      <w:r w:rsidRPr="00EE2F8D">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sidRPr="00EE2F8D">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CF46F1A" w14:textId="77777777" w:rsidR="00D81707" w:rsidRDefault="00D81707" w:rsidP="00D81707">
      <w:pPr>
        <w:pStyle w:val="Heading4"/>
      </w:pPr>
      <w:r>
        <w:t>The 1AC method is compatible with a form of conspiratorial communism – it’s the only solution to neoliberalism.</w:t>
      </w:r>
    </w:p>
    <w:p w14:paraId="48572C22" w14:textId="77777777" w:rsidR="00D81707" w:rsidRDefault="00D81707" w:rsidP="00D81707">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5344FF93" w14:textId="77777777" w:rsidR="00D81707" w:rsidRPr="001879A6" w:rsidRDefault="00D81707" w:rsidP="00D81707">
      <w:pPr>
        <w:rPr>
          <w:sz w:val="16"/>
        </w:rPr>
      </w:pPr>
      <w:r>
        <w:rPr>
          <w:sz w:val="16"/>
        </w:rPr>
        <w:t>“</w:t>
      </w:r>
      <w:r>
        <w:rPr>
          <w:rStyle w:val="Emphasis"/>
        </w:rPr>
        <w:t xml:space="preserve">Deleuze happily </w:t>
      </w:r>
      <w:r w:rsidRPr="00EE2F8D">
        <w:rPr>
          <w:rStyle w:val="Emphasis"/>
          <w:highlight w:val="green"/>
        </w:rPr>
        <w:t>embrace</w:t>
      </w:r>
      <w:r>
        <w:rPr>
          <w:rStyle w:val="Emphasis"/>
        </w:rPr>
        <w:t xml:space="preserve">s </w:t>
      </w:r>
      <w:r w:rsidRPr="00EE2F8D">
        <w:rPr>
          <w:rStyle w:val="Emphasis"/>
          <w:highlight w:val="green"/>
        </w:rPr>
        <w:t>a Marxism so anti-State that it refuses</w:t>
      </w:r>
      <w:r>
        <w:rPr>
          <w:rStyle w:val="Emphasis"/>
        </w:rPr>
        <w:t xml:space="preserve"> the project of </w:t>
      </w:r>
      <w:r w:rsidRPr="00EE2F8D">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sidRPr="00EE2F8D">
        <w:rPr>
          <w:rStyle w:val="Emphasis"/>
          <w:highlight w:val="green"/>
        </w:rPr>
        <w:t>darkness begins by subverting</w:t>
      </w:r>
      <w:r>
        <w:rPr>
          <w:rStyle w:val="Emphasis"/>
        </w:rPr>
        <w:t xml:space="preserve"> Negri’s joyous </w:t>
      </w:r>
      <w:r w:rsidRPr="00EE2F8D">
        <w:rPr>
          <w:rStyle w:val="Emphasis"/>
          <w:highlight w:val="green"/>
        </w:rPr>
        <w:t>celebration of democracy</w:t>
      </w:r>
      <w:r>
        <w:rPr>
          <w:rStyle w:val="Emphasis"/>
        </w:rPr>
        <w:t xml:space="preserve">, </w:t>
      </w:r>
      <w:r w:rsidRPr="00EE2F8D">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sidRPr="00EE2F8D">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sidRPr="00EE2F8D">
        <w:rPr>
          <w:rStyle w:val="Emphasis"/>
          <w:highlight w:val="green"/>
        </w:rPr>
        <w:t xml:space="preserve">Our communism is nothing but the conspiracy of communism (against ontology). </w:t>
      </w:r>
      <w:r>
        <w:rPr>
          <w:rStyle w:val="Emphasis"/>
        </w:rPr>
        <w:t xml:space="preserve">It is </w:t>
      </w:r>
      <w:r w:rsidRPr="00EE2F8D">
        <w:rPr>
          <w:rStyle w:val="Emphasis"/>
          <w:highlight w:val="green"/>
        </w:rPr>
        <w:t>the conspiracy to destroy the factory of production</w:t>
      </w:r>
      <w:r>
        <w:rPr>
          <w:sz w:val="16"/>
        </w:rPr>
        <w:t xml:space="preserve">. As a conspiracy, </w:t>
      </w:r>
      <w:r>
        <w:rPr>
          <w:rStyle w:val="Emphasis"/>
        </w:rPr>
        <w:t xml:space="preserve">communism is </w:t>
      </w:r>
      <w:r w:rsidRPr="00EE2F8D">
        <w:rPr>
          <w:rStyle w:val="Emphasis"/>
          <w:highlight w:val="green"/>
        </w:rPr>
        <w:t>a war machine that turns</w:t>
      </w:r>
      <w:r>
        <w:rPr>
          <w:rStyle w:val="Emphasis"/>
        </w:rPr>
        <w:t xml:space="preserve"> the </w:t>
      </w:r>
      <w:proofErr w:type="spellStart"/>
      <w:r w:rsidRPr="00EE2F8D">
        <w:rPr>
          <w:rStyle w:val="Emphasis"/>
          <w:highlight w:val="green"/>
        </w:rPr>
        <w:t>autoproductive</w:t>
      </w:r>
      <w:proofErr w:type="spellEnd"/>
      <w:r w:rsidRPr="00EE2F8D">
        <w:rPr>
          <w:rStyle w:val="Emphasis"/>
          <w:highlight w:val="green"/>
        </w:rPr>
        <w:t xml:space="preserve"> processes of the Real into weapons for destroying</w:t>
      </w:r>
      <w:r>
        <w:rPr>
          <w:rStyle w:val="Emphasis"/>
        </w:rPr>
        <w:t xml:space="preserve"> any project built on </w:t>
      </w:r>
      <w:r w:rsidRPr="00EE2F8D">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sidRPr="00EE2F8D">
        <w:rPr>
          <w:rStyle w:val="Emphasis"/>
          <w:highlight w:val="green"/>
        </w:rPr>
        <w:t>it has a penchant for negativity</w:t>
      </w:r>
      <w:r>
        <w:rPr>
          <w:rStyle w:val="Emphasis"/>
        </w:rPr>
        <w:t xml:space="preserve"> that makes its revolutionary force appear as a conspiracy </w:t>
      </w:r>
      <w:r w:rsidRPr="00EE2F8D">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5A13F67A" w14:textId="77777777" w:rsidR="00D81707" w:rsidRDefault="00D81707" w:rsidP="00D81707">
      <w:pPr>
        <w:pStyle w:val="Heading4"/>
      </w:pPr>
      <w:r>
        <w:t>Disability controls proximate cause to justification of class-based inequality – monstrosity through disgust and dehumanization explains justification for exploitation and enforcing superiority over the working class.</w:t>
      </w:r>
    </w:p>
    <w:p w14:paraId="4AE37A8A" w14:textId="77777777" w:rsidR="00D81707" w:rsidRPr="00B15E97" w:rsidRDefault="00D81707" w:rsidP="00D81707">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13E0E045" w14:textId="77777777" w:rsidR="00D81707" w:rsidRPr="00EC1D45" w:rsidRDefault="00D81707" w:rsidP="00D81707">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p w14:paraId="3B7597DF" w14:textId="77777777" w:rsidR="000D5D49" w:rsidRDefault="000D5D49" w:rsidP="000D5D49">
      <w:pPr>
        <w:pStyle w:val="Heading4"/>
      </w:pPr>
      <w:bookmarkStart w:id="2" w:name="_Hlk76566982"/>
      <w:r>
        <w:t xml:space="preserve">Best brain studies </w:t>
      </w:r>
      <w:r w:rsidRPr="00F56D96">
        <w:rPr>
          <w:u w:val="single"/>
        </w:rPr>
        <w:t>verify psychoanalysis</w:t>
      </w:r>
      <w:r>
        <w:t>!</w:t>
      </w:r>
    </w:p>
    <w:p w14:paraId="29501177" w14:textId="77777777" w:rsidR="000D5D49" w:rsidRPr="00F56D96" w:rsidRDefault="000D5D49" w:rsidP="000D5D49">
      <w:proofErr w:type="spellStart"/>
      <w:r w:rsidRPr="00F56D96">
        <w:rPr>
          <w:rStyle w:val="Style13ptBold"/>
        </w:rPr>
        <w:t>Guterl</w:t>
      </w:r>
      <w:proofErr w:type="spellEnd"/>
      <w:r w:rsidRPr="00F56D96">
        <w:rPr>
          <w:rStyle w:val="Style13ptBold"/>
        </w:rPr>
        <w:t xml:space="preserve"> 2</w:t>
      </w:r>
      <w:r>
        <w:t xml:space="preserve"> [Fred; “</w:t>
      </w:r>
      <w:r w:rsidRPr="00F56D96">
        <w:t>What Freud Got Right</w:t>
      </w:r>
      <w:r>
        <w:t xml:space="preserve">,” Newsweek; 11/10/02; </w:t>
      </w:r>
      <w:hyperlink r:id="rId9" w:history="1">
        <w:r w:rsidRPr="00AF436A">
          <w:rPr>
            <w:rStyle w:val="Hyperlink"/>
          </w:rPr>
          <w:t>https://www.newsweek.com/what-freud-got-right-142575</w:t>
        </w:r>
      </w:hyperlink>
      <w:r>
        <w:t>] Justin</w:t>
      </w:r>
    </w:p>
    <w:p w14:paraId="7FBAD8B2" w14:textId="77777777" w:rsidR="000D5D49" w:rsidRPr="00F56D96" w:rsidRDefault="000D5D49" w:rsidP="000D5D49">
      <w:pPr>
        <w:rPr>
          <w:sz w:val="16"/>
        </w:rPr>
      </w:pPr>
      <w:r w:rsidRPr="00F56D96">
        <w:rPr>
          <w:sz w:val="16"/>
        </w:rPr>
        <w:t xml:space="preserve">But a funny thing happened to Freud on the way to becoming a trivia question: </w:t>
      </w:r>
      <w:r w:rsidRPr="00F56D96">
        <w:rPr>
          <w:u w:val="single"/>
        </w:rPr>
        <w:t xml:space="preserve">as </w:t>
      </w:r>
      <w:r w:rsidRPr="00EE2F8D">
        <w:rPr>
          <w:highlight w:val="green"/>
          <w:u w:val="single"/>
        </w:rPr>
        <w:t>researchers looked</w:t>
      </w:r>
      <w:r w:rsidRPr="00F56D96">
        <w:rPr>
          <w:u w:val="single"/>
        </w:rPr>
        <w:t xml:space="preserve"> deeper </w:t>
      </w:r>
      <w:r w:rsidRPr="00EE2F8D">
        <w:rPr>
          <w:highlight w:val="green"/>
          <w:u w:val="single"/>
        </w:rPr>
        <w:t>into the</w:t>
      </w:r>
      <w:r w:rsidRPr="00F56D96">
        <w:rPr>
          <w:u w:val="single"/>
        </w:rPr>
        <w:t xml:space="preserve"> </w:t>
      </w:r>
      <w:r w:rsidRPr="00F56D96">
        <w:rPr>
          <w:rStyle w:val="Emphasis"/>
        </w:rPr>
        <w:t xml:space="preserve">physical </w:t>
      </w:r>
      <w:r w:rsidRPr="00EE2F8D">
        <w:rPr>
          <w:rStyle w:val="Emphasis"/>
          <w:highlight w:val="green"/>
        </w:rPr>
        <w:t>structure of the brain</w:t>
      </w:r>
      <w:r w:rsidRPr="00F56D96">
        <w:rPr>
          <w:rStyle w:val="Emphasis"/>
        </w:rPr>
        <w:t>, they began to find support for some of his theories</w:t>
      </w:r>
      <w:r w:rsidRPr="00F56D96">
        <w:rPr>
          <w:u w:val="single"/>
        </w:rPr>
        <w:t>.</w:t>
      </w:r>
      <w:r w:rsidRPr="00F56D96">
        <w:rPr>
          <w:sz w:val="16"/>
        </w:rPr>
        <w:t xml:space="preserve"> Now a small but influential group of researchers are using his insights as a guide to future research; they even have a journal, </w:t>
      </w:r>
      <w:proofErr w:type="spellStart"/>
      <w:r w:rsidRPr="00F56D96">
        <w:rPr>
          <w:sz w:val="16"/>
        </w:rPr>
        <w:t>Neuropsychoanalysis</w:t>
      </w:r>
      <w:proofErr w:type="spellEnd"/>
      <w:r w:rsidRPr="00F56D96">
        <w:rPr>
          <w:sz w:val="16"/>
        </w:rPr>
        <w:t>, founded three years ago. "</w:t>
      </w:r>
      <w:r w:rsidRPr="00F56D96">
        <w:rPr>
          <w:u w:val="single"/>
        </w:rPr>
        <w:t xml:space="preserve">Freud's </w:t>
      </w:r>
      <w:r w:rsidRPr="00EE2F8D">
        <w:rPr>
          <w:highlight w:val="green"/>
          <w:u w:val="single"/>
        </w:rPr>
        <w:t>insights on</w:t>
      </w:r>
      <w:r w:rsidRPr="00F56D96">
        <w:rPr>
          <w:u w:val="single"/>
        </w:rPr>
        <w:t xml:space="preserve"> the </w:t>
      </w:r>
      <w:r w:rsidRPr="00EE2F8D">
        <w:rPr>
          <w:highlight w:val="green"/>
          <w:u w:val="single"/>
        </w:rPr>
        <w:t xml:space="preserve">nature of consciousness are </w:t>
      </w:r>
      <w:r w:rsidRPr="00EE2F8D">
        <w:rPr>
          <w:rStyle w:val="Emphasis"/>
          <w:highlight w:val="green"/>
        </w:rPr>
        <w:t>consonant</w:t>
      </w:r>
      <w:r w:rsidRPr="00EE2F8D">
        <w:rPr>
          <w:highlight w:val="green"/>
          <w:u w:val="single"/>
        </w:rPr>
        <w:t xml:space="preserve"> with</w:t>
      </w:r>
      <w:r w:rsidRPr="00F56D96">
        <w:rPr>
          <w:u w:val="single"/>
        </w:rPr>
        <w:t xml:space="preserve"> the most </w:t>
      </w:r>
      <w:r w:rsidRPr="00EE2F8D">
        <w:rPr>
          <w:rStyle w:val="Emphasis"/>
          <w:highlight w:val="green"/>
        </w:rPr>
        <w:t>advanced</w:t>
      </w:r>
      <w:r w:rsidRPr="00F56D96">
        <w:rPr>
          <w:rStyle w:val="Emphasis"/>
        </w:rPr>
        <w:t xml:space="preserve"> contemporary </w:t>
      </w:r>
      <w:r w:rsidRPr="00EE2F8D">
        <w:rPr>
          <w:rStyle w:val="Emphasis"/>
          <w:highlight w:val="green"/>
        </w:rPr>
        <w:t>neuroscience</w:t>
      </w:r>
      <w:r w:rsidRPr="00F56D96">
        <w:rPr>
          <w:rStyle w:val="Emphasis"/>
        </w:rPr>
        <w:t xml:space="preserve"> views</w:t>
      </w:r>
      <w:r w:rsidRPr="00F56D96">
        <w:rPr>
          <w:sz w:val="16"/>
        </w:rPr>
        <w:t xml:space="preserve">," wrote Antonio Damasio, head of neurology at the University of Iowa College of Medicine. Note that Damasio did not refer to psychoanalysis or the Oedipus complex. </w:t>
      </w:r>
      <w:proofErr w:type="gramStart"/>
      <w:r w:rsidRPr="00F56D96">
        <w:rPr>
          <w:sz w:val="16"/>
        </w:rPr>
        <w:t>Instead</w:t>
      </w:r>
      <w:proofErr w:type="gramEnd"/>
      <w:r w:rsidRPr="00F56D96">
        <w:rPr>
          <w:sz w:val="16"/>
        </w:rPr>
        <w:t xml:space="preserve"> the work is going on at the fundamental level where emotions are born and primitive passions lurk in the shadows of dreams.</w:t>
      </w:r>
    </w:p>
    <w:p w14:paraId="3E181608" w14:textId="77777777" w:rsidR="000D5D49" w:rsidRPr="00F56D96" w:rsidRDefault="000D5D49" w:rsidP="000D5D49">
      <w:pPr>
        <w:rPr>
          <w:sz w:val="16"/>
        </w:rPr>
      </w:pPr>
      <w:r w:rsidRPr="00F56D96">
        <w:rPr>
          <w:sz w:val="16"/>
        </w:rPr>
        <w:t xml:space="preserve">Beyond the basic </w:t>
      </w:r>
      <w:r w:rsidRPr="00EE2F8D">
        <w:rPr>
          <w:highlight w:val="green"/>
          <w:u w:val="single"/>
        </w:rPr>
        <w:t xml:space="preserve">animal </w:t>
      </w:r>
      <w:r w:rsidRPr="00F56D96">
        <w:rPr>
          <w:u w:val="single"/>
        </w:rPr>
        <w:t>instincts to seek food and avoid pain</w:t>
      </w:r>
      <w:r w:rsidRPr="00F56D96">
        <w:rPr>
          <w:sz w:val="16"/>
        </w:rPr>
        <w:t xml:space="preserve">, </w:t>
      </w:r>
      <w:r w:rsidRPr="00F56D96">
        <w:rPr>
          <w:u w:val="single"/>
        </w:rPr>
        <w:t xml:space="preserve">Freud identified two sources of </w:t>
      </w:r>
      <w:r w:rsidRPr="00EE2F8D">
        <w:rPr>
          <w:rStyle w:val="Emphasis"/>
          <w:highlight w:val="green"/>
        </w:rPr>
        <w:t>psychic energy</w:t>
      </w:r>
      <w:r w:rsidRPr="00F56D96">
        <w:rPr>
          <w:rStyle w:val="Emphasis"/>
        </w:rPr>
        <w:t xml:space="preserve">, which </w:t>
      </w:r>
      <w:r w:rsidRPr="00EE2F8D">
        <w:rPr>
          <w:rStyle w:val="Emphasis"/>
          <w:highlight w:val="green"/>
        </w:rPr>
        <w:t>he called "drives"</w:t>
      </w:r>
      <w:r w:rsidRPr="00F56D96">
        <w:rPr>
          <w:rStyle w:val="Emphasis"/>
        </w:rPr>
        <w:t>:</w:t>
      </w:r>
      <w:r w:rsidRPr="00F56D96">
        <w:rPr>
          <w:sz w:val="16"/>
        </w:rPr>
        <w:t xml:space="preserve"> aggression and libido (the latter encompasses sexuality but also had a more expansive meaning, involving the desire for stimulation and achievement). The key to his theory is that these were </w:t>
      </w:r>
      <w:r w:rsidRPr="00EE2F8D">
        <w:rPr>
          <w:rStyle w:val="Emphasis"/>
          <w:highlight w:val="green"/>
        </w:rPr>
        <w:t>unconscious drives</w:t>
      </w:r>
      <w:r w:rsidRPr="00F56D96">
        <w:rPr>
          <w:u w:val="single"/>
        </w:rPr>
        <w:t xml:space="preserve">, shaping our behavior without the mediation of our waking minds; they </w:t>
      </w:r>
      <w:r w:rsidRPr="00F56D96">
        <w:rPr>
          <w:rStyle w:val="Emphasis"/>
        </w:rPr>
        <w:t>surface, heavily disguised</w:t>
      </w:r>
      <w:r w:rsidRPr="00F56D96">
        <w:rPr>
          <w:sz w:val="16"/>
        </w:rPr>
        <w:t xml:space="preserve">, only in our dreams. The work of the past half-century in psychology and neuroscience has been to downplay the role of unconscious universal drives, focusing instead on rational processes in conscious life. Meanwhile, dreams were downgraded to a kind of mental static, random scraps of memory flickering through the sleeping brain. But </w:t>
      </w:r>
      <w:r w:rsidRPr="00F56D96">
        <w:rPr>
          <w:u w:val="single"/>
        </w:rPr>
        <w:t xml:space="preserve">researchers have found </w:t>
      </w:r>
      <w:r w:rsidRPr="00F56D96">
        <w:rPr>
          <w:rStyle w:val="Emphasis"/>
        </w:rPr>
        <w:t>evidence</w:t>
      </w:r>
      <w:r w:rsidRPr="00F56D96">
        <w:rPr>
          <w:u w:val="single"/>
        </w:rPr>
        <w:t xml:space="preserve"> that Freud's drives really do </w:t>
      </w:r>
      <w:r w:rsidRPr="00EE2F8D">
        <w:rPr>
          <w:highlight w:val="green"/>
          <w:u w:val="single"/>
        </w:rPr>
        <w:t>exist</w:t>
      </w:r>
      <w:r w:rsidRPr="00F56D96">
        <w:rPr>
          <w:sz w:val="16"/>
        </w:rPr>
        <w:t xml:space="preserve">, and they have their </w:t>
      </w:r>
      <w:r w:rsidRPr="00F56D96">
        <w:rPr>
          <w:u w:val="single"/>
        </w:rPr>
        <w:t xml:space="preserve">roots </w:t>
      </w:r>
      <w:r w:rsidRPr="00EE2F8D">
        <w:rPr>
          <w:highlight w:val="green"/>
          <w:u w:val="single"/>
        </w:rPr>
        <w:t xml:space="preserve">in the </w:t>
      </w:r>
      <w:r w:rsidRPr="00EE2F8D">
        <w:rPr>
          <w:rStyle w:val="Emphasis"/>
          <w:highlight w:val="green"/>
        </w:rPr>
        <w:t>limbic system</w:t>
      </w:r>
      <w:r w:rsidRPr="00F56D96">
        <w:rPr>
          <w:sz w:val="16"/>
        </w:rPr>
        <w:t xml:space="preserve">, a </w:t>
      </w:r>
      <w:r w:rsidRPr="00F56D96">
        <w:rPr>
          <w:u w:val="single"/>
        </w:rPr>
        <w:t xml:space="preserve">primitive part of the brain that operates mostly </w:t>
      </w:r>
      <w:r w:rsidRPr="00F56D96">
        <w:rPr>
          <w:rStyle w:val="Emphasis"/>
        </w:rPr>
        <w:t>below the horizon of consciousness</w:t>
      </w:r>
      <w:r w:rsidRPr="00F56D96">
        <w:rPr>
          <w:sz w:val="16"/>
        </w:rPr>
        <w:t>. Now more commonly referred to as emotions, the modern suite of drives comprises five: rage, panic, separation distress, lust and a variation on libido sometimes called seeking. Freud presaged this finding in 1915, when he wrote that drives originate "from within the organism" in response to demands placed on the mind "in consequence of its connection with the body." Drives, in other words, are primitive brain circuits that control how we respond to our environment--foraging when we're hungry, running when we're scared and lusting for a mate.</w:t>
      </w:r>
    </w:p>
    <w:p w14:paraId="3D120401" w14:textId="77777777" w:rsidR="000D5D49" w:rsidRPr="00F56D96" w:rsidRDefault="000D5D49" w:rsidP="000D5D49">
      <w:pPr>
        <w:rPr>
          <w:sz w:val="16"/>
        </w:rPr>
      </w:pPr>
      <w:r w:rsidRPr="00F56D96">
        <w:rPr>
          <w:sz w:val="16"/>
        </w:rPr>
        <w:t xml:space="preserve">The seeking drive is proving a particularly fruitful subject for researchers. Although like the others it originates in the limbic system, </w:t>
      </w:r>
      <w:r w:rsidRPr="00F56D96">
        <w:rPr>
          <w:u w:val="single"/>
        </w:rPr>
        <w:t xml:space="preserve">it also </w:t>
      </w:r>
      <w:r w:rsidRPr="00EE2F8D">
        <w:rPr>
          <w:highlight w:val="green"/>
          <w:u w:val="single"/>
        </w:rPr>
        <w:t>involves</w:t>
      </w:r>
      <w:r w:rsidRPr="00F56D96">
        <w:rPr>
          <w:u w:val="single"/>
        </w:rPr>
        <w:t xml:space="preserve"> </w:t>
      </w:r>
      <w:r w:rsidRPr="00F56D96">
        <w:rPr>
          <w:rStyle w:val="Emphasis"/>
        </w:rPr>
        <w:t xml:space="preserve">parts of </w:t>
      </w:r>
      <w:r w:rsidRPr="00EE2F8D">
        <w:rPr>
          <w:rStyle w:val="Emphasis"/>
          <w:highlight w:val="green"/>
        </w:rPr>
        <w:t>the forebrain</w:t>
      </w:r>
      <w:r w:rsidRPr="00F56D96">
        <w:rPr>
          <w:rStyle w:val="Emphasis"/>
        </w:rPr>
        <w:t>, the seat of higher mental functions</w:t>
      </w:r>
      <w:r w:rsidRPr="00F56D96">
        <w:rPr>
          <w:u w:val="single"/>
        </w:rPr>
        <w:t>.</w:t>
      </w:r>
      <w:r w:rsidRPr="00F56D96">
        <w:rPr>
          <w:sz w:val="16"/>
        </w:rPr>
        <w:t xml:space="preserve"> In the 1980s, </w:t>
      </w:r>
      <w:proofErr w:type="spellStart"/>
      <w:r w:rsidRPr="00F56D96">
        <w:rPr>
          <w:sz w:val="16"/>
        </w:rPr>
        <w:t>Jaak</w:t>
      </w:r>
      <w:proofErr w:type="spellEnd"/>
      <w:r w:rsidRPr="00F56D96">
        <w:rPr>
          <w:sz w:val="16"/>
        </w:rPr>
        <w:t xml:space="preserve"> </w:t>
      </w:r>
      <w:proofErr w:type="spellStart"/>
      <w:r w:rsidRPr="00F56D96">
        <w:rPr>
          <w:sz w:val="16"/>
        </w:rPr>
        <w:t>Panksepp</w:t>
      </w:r>
      <w:proofErr w:type="spellEnd"/>
      <w:r w:rsidRPr="00F56D96">
        <w:rPr>
          <w:sz w:val="16"/>
        </w:rPr>
        <w:t xml:space="preserve">, a neurobiologist at Bowling Green State University in Ohio, became interested in a place near the </w:t>
      </w:r>
      <w:r w:rsidRPr="00EE2F8D">
        <w:rPr>
          <w:highlight w:val="green"/>
          <w:u w:val="single"/>
        </w:rPr>
        <w:t>cortex known as</w:t>
      </w:r>
      <w:r w:rsidRPr="00F56D96">
        <w:rPr>
          <w:u w:val="single"/>
        </w:rPr>
        <w:t xml:space="preserve"> the </w:t>
      </w:r>
      <w:proofErr w:type="spellStart"/>
      <w:r w:rsidRPr="00EE2F8D">
        <w:rPr>
          <w:rStyle w:val="Emphasis"/>
          <w:highlight w:val="green"/>
        </w:rPr>
        <w:t>ventraltegmental</w:t>
      </w:r>
      <w:proofErr w:type="spellEnd"/>
      <w:r w:rsidRPr="00F56D96">
        <w:rPr>
          <w:u w:val="single"/>
        </w:rPr>
        <w:t xml:space="preserve"> area</w:t>
      </w:r>
      <w:r w:rsidRPr="00F56D96">
        <w:rPr>
          <w:sz w:val="16"/>
        </w:rPr>
        <w:t xml:space="preserve">, which in humans lies just above the hairline. When </w:t>
      </w:r>
      <w:proofErr w:type="spellStart"/>
      <w:r w:rsidRPr="00EE2F8D">
        <w:rPr>
          <w:highlight w:val="green"/>
          <w:u w:val="single"/>
        </w:rPr>
        <w:t>Panksepp</w:t>
      </w:r>
      <w:proofErr w:type="spellEnd"/>
      <w:r w:rsidRPr="00EE2F8D">
        <w:rPr>
          <w:highlight w:val="green"/>
          <w:u w:val="single"/>
        </w:rPr>
        <w:t xml:space="preserve"> </w:t>
      </w:r>
      <w:r w:rsidRPr="00EE2F8D">
        <w:rPr>
          <w:rStyle w:val="Emphasis"/>
          <w:highlight w:val="green"/>
        </w:rPr>
        <w:t>stimulated the</w:t>
      </w:r>
      <w:r w:rsidRPr="00F56D96">
        <w:rPr>
          <w:rStyle w:val="Emphasis"/>
        </w:rPr>
        <w:t xml:space="preserve"> corresponding </w:t>
      </w:r>
      <w:r w:rsidRPr="00EE2F8D">
        <w:rPr>
          <w:rStyle w:val="Emphasis"/>
          <w:highlight w:val="green"/>
        </w:rPr>
        <w:t>region</w:t>
      </w:r>
      <w:r w:rsidRPr="00F56D96">
        <w:rPr>
          <w:rStyle w:val="Emphasis"/>
        </w:rPr>
        <w:t xml:space="preserve"> in a mouse, the </w:t>
      </w:r>
      <w:r w:rsidRPr="00EE2F8D">
        <w:rPr>
          <w:rStyle w:val="Emphasis"/>
          <w:highlight w:val="green"/>
        </w:rPr>
        <w:t>animal would</w:t>
      </w:r>
      <w:r w:rsidRPr="00F56D96">
        <w:rPr>
          <w:rStyle w:val="Emphasis"/>
        </w:rPr>
        <w:t xml:space="preserve"> sniff the air and walk around</w:t>
      </w:r>
      <w:r w:rsidRPr="00F56D96">
        <w:rPr>
          <w:u w:val="single"/>
        </w:rPr>
        <w:t>, as though it were looking for something</w:t>
      </w:r>
      <w:r w:rsidRPr="00F56D96">
        <w:rPr>
          <w:sz w:val="16"/>
        </w:rPr>
        <w:t xml:space="preserve">. Was it hunger? No. The mouse would walk right by a plate of food, or for that matter any other object </w:t>
      </w:r>
      <w:proofErr w:type="spellStart"/>
      <w:r w:rsidRPr="00F56D96">
        <w:rPr>
          <w:sz w:val="16"/>
        </w:rPr>
        <w:t>Panksepp</w:t>
      </w:r>
      <w:proofErr w:type="spellEnd"/>
      <w:r w:rsidRPr="00F56D96">
        <w:rPr>
          <w:sz w:val="16"/>
        </w:rPr>
        <w:t xml:space="preserve"> could think of. This brain tissue seemed to cause a </w:t>
      </w:r>
      <w:r w:rsidRPr="00F56D96">
        <w:rPr>
          <w:u w:val="single"/>
        </w:rPr>
        <w:t xml:space="preserve">general </w:t>
      </w:r>
      <w:r w:rsidRPr="00EE2F8D">
        <w:rPr>
          <w:rStyle w:val="Emphasis"/>
          <w:highlight w:val="green"/>
        </w:rPr>
        <w:t>desire</w:t>
      </w:r>
      <w:r w:rsidRPr="00F56D96">
        <w:rPr>
          <w:rStyle w:val="Emphasis"/>
        </w:rPr>
        <w:t xml:space="preserve"> for </w:t>
      </w:r>
      <w:r w:rsidRPr="00EE2F8D">
        <w:rPr>
          <w:rStyle w:val="Emphasis"/>
          <w:highlight w:val="green"/>
        </w:rPr>
        <w:t>something new</w:t>
      </w:r>
      <w:r w:rsidRPr="00F56D96">
        <w:rPr>
          <w:sz w:val="16"/>
        </w:rPr>
        <w:t xml:space="preserve">. "What I was seeing," he says, "was the urge to do stuff." </w:t>
      </w:r>
      <w:proofErr w:type="spellStart"/>
      <w:r w:rsidRPr="00F56D96">
        <w:rPr>
          <w:sz w:val="16"/>
        </w:rPr>
        <w:t>Panksepp</w:t>
      </w:r>
      <w:proofErr w:type="spellEnd"/>
      <w:r w:rsidRPr="00F56D96">
        <w:rPr>
          <w:sz w:val="16"/>
        </w:rPr>
        <w:t xml:space="preserve"> called this seeking.</w:t>
      </w:r>
    </w:p>
    <w:p w14:paraId="77305EB2" w14:textId="77777777" w:rsidR="000D5D49" w:rsidRPr="00F56D96" w:rsidRDefault="000D5D49" w:rsidP="000D5D49">
      <w:pPr>
        <w:rPr>
          <w:sz w:val="16"/>
        </w:rPr>
      </w:pPr>
      <w:r w:rsidRPr="00F56D96">
        <w:rPr>
          <w:sz w:val="16"/>
        </w:rPr>
        <w:t xml:space="preserve">To neuropsychologist Mark </w:t>
      </w:r>
      <w:proofErr w:type="spellStart"/>
      <w:r w:rsidRPr="00F56D96">
        <w:rPr>
          <w:sz w:val="16"/>
        </w:rPr>
        <w:t>Solms</w:t>
      </w:r>
      <w:proofErr w:type="spellEnd"/>
      <w:r w:rsidRPr="00F56D96">
        <w:rPr>
          <w:sz w:val="16"/>
        </w:rPr>
        <w:t xml:space="preserve"> of University College in London, that sounds very much like libido. "Freud needed some sort of general, appetitive desire to seek pleasure in the world of objects," says </w:t>
      </w:r>
      <w:proofErr w:type="spellStart"/>
      <w:r w:rsidRPr="00F56D96">
        <w:rPr>
          <w:sz w:val="16"/>
        </w:rPr>
        <w:t>Solms</w:t>
      </w:r>
      <w:proofErr w:type="spellEnd"/>
      <w:r w:rsidRPr="00F56D96">
        <w:rPr>
          <w:sz w:val="16"/>
        </w:rPr>
        <w:t>. "</w:t>
      </w:r>
      <w:proofErr w:type="spellStart"/>
      <w:r w:rsidRPr="00F56D96">
        <w:rPr>
          <w:sz w:val="16"/>
        </w:rPr>
        <w:t>Panksepp</w:t>
      </w:r>
      <w:proofErr w:type="spellEnd"/>
      <w:r w:rsidRPr="00F56D96">
        <w:rPr>
          <w:sz w:val="16"/>
        </w:rPr>
        <w:t xml:space="preserve"> discovered as a neuroscientist what Freud discovered psychologically." </w:t>
      </w:r>
      <w:proofErr w:type="spellStart"/>
      <w:r w:rsidRPr="00F56D96">
        <w:rPr>
          <w:sz w:val="16"/>
        </w:rPr>
        <w:t>Solms</w:t>
      </w:r>
      <w:proofErr w:type="spellEnd"/>
      <w:r w:rsidRPr="00F56D96">
        <w:rPr>
          <w:sz w:val="16"/>
        </w:rPr>
        <w:t xml:space="preserve"> studied the same region of the brain for his work on dreams. Since the 1970s, neurologists have known that dreaming takes place during a particular form of sleep known as REM--rapid eye movement--which is associated with a primitive part of the brain known as the pons. Accordingly, they regarded dreaming as a low-level phenomenon of no great psychological interest. When </w:t>
      </w:r>
      <w:proofErr w:type="spellStart"/>
      <w:r w:rsidRPr="00F56D96">
        <w:rPr>
          <w:sz w:val="16"/>
        </w:rPr>
        <w:t>Solms</w:t>
      </w:r>
      <w:proofErr w:type="spellEnd"/>
      <w:r w:rsidRPr="00F56D96">
        <w:rPr>
          <w:sz w:val="16"/>
        </w:rPr>
        <w:t xml:space="preserve"> looked into it, though, it turned out that the key structure involved in dreaming was actually the ventral tegmental, the same structure that </w:t>
      </w:r>
      <w:proofErr w:type="spellStart"/>
      <w:r w:rsidRPr="00F56D96">
        <w:rPr>
          <w:sz w:val="16"/>
        </w:rPr>
        <w:t>Panksepp</w:t>
      </w:r>
      <w:proofErr w:type="spellEnd"/>
      <w:r w:rsidRPr="00F56D96">
        <w:rPr>
          <w:sz w:val="16"/>
        </w:rPr>
        <w:t xml:space="preserve"> had identified as the seat of the "seeking" emotion. Dreams, it seemed, originate with the libido--which is just what Freud had believed.</w:t>
      </w:r>
    </w:p>
    <w:p w14:paraId="15ADC5AF" w14:textId="528D0733" w:rsidR="000D5D49" w:rsidRDefault="000D5D49" w:rsidP="000D5D49">
      <w:pPr>
        <w:rPr>
          <w:sz w:val="16"/>
        </w:rPr>
      </w:pPr>
      <w:r w:rsidRPr="00F56D96">
        <w:rPr>
          <w:sz w:val="16"/>
        </w:rPr>
        <w:t xml:space="preserve">Freud's psychological map may have been flawed in many ways, but it also happens to be the most coherent and, from the standpoint of individual experience, meaningful theory of the mind there is. "Freud should be placed in the same category as Darwin, who lived before the discovery of genes," says </w:t>
      </w:r>
      <w:proofErr w:type="spellStart"/>
      <w:r w:rsidRPr="00F56D96">
        <w:rPr>
          <w:sz w:val="16"/>
        </w:rPr>
        <w:t>Panksepp</w:t>
      </w:r>
      <w:proofErr w:type="spellEnd"/>
      <w:r w:rsidRPr="00F56D96">
        <w:rPr>
          <w:sz w:val="16"/>
        </w:rPr>
        <w:t>. "Freud gave us a vision of a mental apparatus. We need to talk about it, develop it, test it." Perhaps it's not a matter of proving Freud wrong or right, but of finishing the job.</w:t>
      </w:r>
    </w:p>
    <w:p w14:paraId="0E7C6D34" w14:textId="77777777" w:rsidR="000D5D49" w:rsidRPr="0004302C" w:rsidRDefault="000D5D49" w:rsidP="000D5D49">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56761D5C" w14:textId="77777777" w:rsidR="000D5D49" w:rsidRPr="0004302C" w:rsidRDefault="000D5D49" w:rsidP="000D5D49">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0C51387A" w14:textId="77777777" w:rsidR="000D5D49" w:rsidRDefault="000D5D49" w:rsidP="000D5D49">
      <w:pPr>
        <w:rPr>
          <w:rStyle w:val="Emphasis"/>
          <w:color w:val="000000" w:themeColor="text1"/>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EE2F8D">
        <w:rPr>
          <w:rStyle w:val="Emphasis"/>
          <w:color w:val="000000" w:themeColor="text1"/>
          <w:highlight w:val="green"/>
        </w:rPr>
        <w:t xml:space="preserve">The trend of the </w:t>
      </w:r>
      <w:proofErr w:type="spellStart"/>
      <w:r w:rsidRPr="00EE2F8D">
        <w:rPr>
          <w:rStyle w:val="Emphasis"/>
          <w:color w:val="000000" w:themeColor="text1"/>
          <w:highlight w:val="green"/>
        </w:rPr>
        <w:t>civilising</w:t>
      </w:r>
      <w:proofErr w:type="spellEnd"/>
      <w:r w:rsidRPr="00EE2F8D">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EE2F8D">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EE2F8D">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EE2F8D">
        <w:rPr>
          <w:rStyle w:val="Emphasis"/>
          <w:color w:val="000000" w:themeColor="text1"/>
          <w:highlight w:val="green"/>
        </w:rPr>
        <w:t>consequences</w:t>
      </w:r>
      <w:r w:rsidRPr="0004302C">
        <w:rPr>
          <w:rStyle w:val="Emphasis"/>
          <w:color w:val="000000" w:themeColor="text1"/>
        </w:rPr>
        <w:t xml:space="preserve"> might be </w:t>
      </w:r>
      <w:r w:rsidRPr="00EE2F8D">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EE2F8D">
        <w:rPr>
          <w:rStyle w:val="Emphasis"/>
          <w:color w:val="000000" w:themeColor="text1"/>
          <w:highlight w:val="green"/>
        </w:rPr>
        <w:t xml:space="preserve">disgust, </w:t>
      </w:r>
      <w:proofErr w:type="gramStart"/>
      <w:r w:rsidRPr="00EE2F8D">
        <w:rPr>
          <w:rStyle w:val="Emphasis"/>
          <w:color w:val="000000" w:themeColor="text1"/>
          <w:highlight w:val="green"/>
        </w:rPr>
        <w:t>shame</w:t>
      </w:r>
      <w:proofErr w:type="gramEnd"/>
      <w:r w:rsidRPr="00EE2F8D">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EE2F8D">
        <w:rPr>
          <w:rStyle w:val="Emphasis"/>
          <w:color w:val="000000" w:themeColor="text1"/>
          <w:highlight w:val="green"/>
        </w:rPr>
        <w:t>disability</w:t>
      </w:r>
      <w:r w:rsidRPr="0004302C">
        <w:rPr>
          <w:rStyle w:val="Emphasis"/>
          <w:color w:val="000000" w:themeColor="text1"/>
        </w:rPr>
        <w:t xml:space="preserve">/non-disability and the </w:t>
      </w:r>
      <w:r w:rsidRPr="00EE2F8D">
        <w:rPr>
          <w:rStyle w:val="Emphasis"/>
          <w:color w:val="000000" w:themeColor="text1"/>
          <w:highlight w:val="green"/>
        </w:rPr>
        <w:t>antagonism</w:t>
      </w:r>
      <w:r w:rsidRPr="0004302C">
        <w:rPr>
          <w:rStyle w:val="Emphasis"/>
          <w:color w:val="000000" w:themeColor="text1"/>
        </w:rPr>
        <w:t xml:space="preserve"> of the latter towards the former is </w:t>
      </w:r>
      <w:r w:rsidRPr="00EE2F8D">
        <w:rPr>
          <w:rStyle w:val="Emphasis"/>
          <w:color w:val="000000" w:themeColor="text1"/>
          <w:highlight w:val="green"/>
        </w:rPr>
        <w:t>mediated</w:t>
      </w:r>
      <w:r w:rsidRPr="0004302C">
        <w:rPr>
          <w:rStyle w:val="Emphasis"/>
          <w:color w:val="000000" w:themeColor="text1"/>
        </w:rPr>
        <w:t xml:space="preserve"> and maintained, principally, </w:t>
      </w:r>
      <w:r w:rsidRPr="00EE2F8D">
        <w:rPr>
          <w:rStyle w:val="Emphasis"/>
          <w:color w:val="000000" w:themeColor="text1"/>
          <w:highlight w:val="green"/>
        </w:rPr>
        <w:t>by</w:t>
      </w:r>
      <w:r w:rsidRPr="0004302C">
        <w:rPr>
          <w:rStyle w:val="Emphasis"/>
          <w:color w:val="000000" w:themeColor="text1"/>
        </w:rPr>
        <w:t xml:space="preserve"> the emotion of </w:t>
      </w:r>
      <w:r w:rsidRPr="00EE2F8D">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EE2F8D">
        <w:rPr>
          <w:rStyle w:val="Emphasis"/>
          <w:color w:val="000000" w:themeColor="text1"/>
          <w:highlight w:val="green"/>
        </w:rPr>
        <w:t>dequivalent</w:t>
      </w:r>
      <w:proofErr w:type="spellEnd"/>
      <w:r w:rsidRPr="00EE2F8D">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EE2F8D">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EE2F8D">
        <w:rPr>
          <w:rStyle w:val="Emphasis"/>
          <w:color w:val="000000" w:themeColor="text1"/>
          <w:highlight w:val="green"/>
        </w:rPr>
        <w:t xml:space="preserve">epitome of </w:t>
      </w:r>
      <w:proofErr w:type="spellStart"/>
      <w:r w:rsidRPr="00EE2F8D">
        <w:rPr>
          <w:rStyle w:val="Emphasis"/>
          <w:color w:val="000000" w:themeColor="text1"/>
          <w:highlight w:val="green"/>
        </w:rPr>
        <w:t>civilisation</w:t>
      </w:r>
      <w:proofErr w:type="spellEnd"/>
      <w:r w:rsidRPr="0004302C">
        <w:rPr>
          <w:rStyle w:val="Emphasis"/>
          <w:color w:val="000000" w:themeColor="text1"/>
        </w:rPr>
        <w:t xml:space="preserve">, </w:t>
      </w:r>
      <w:r w:rsidRPr="00EE2F8D">
        <w:rPr>
          <w:rStyle w:val="Emphasis"/>
          <w:color w:val="000000" w:themeColor="text1"/>
          <w:highlight w:val="green"/>
        </w:rPr>
        <w:t>closed off</w:t>
      </w:r>
      <w:r w:rsidRPr="0004302C">
        <w:rPr>
          <w:rStyle w:val="Emphasis"/>
          <w:color w:val="000000" w:themeColor="text1"/>
        </w:rPr>
        <w:t xml:space="preserve"> from any </w:t>
      </w:r>
      <w:r w:rsidRPr="00EE2F8D">
        <w:rPr>
          <w:rStyle w:val="Emphasis"/>
          <w:color w:val="000000" w:themeColor="text1"/>
          <w:highlight w:val="green"/>
        </w:rPr>
        <w:t>connection with</w:t>
      </w:r>
      <w:r w:rsidRPr="0004302C">
        <w:rPr>
          <w:rStyle w:val="Emphasis"/>
          <w:color w:val="000000" w:themeColor="text1"/>
        </w:rPr>
        <w:t xml:space="preserve"> the </w:t>
      </w:r>
      <w:r w:rsidRPr="00EE2F8D">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EE2F8D">
        <w:rPr>
          <w:rStyle w:val="Emphasis"/>
          <w:color w:val="000000" w:themeColor="text1"/>
          <w:highlight w:val="green"/>
        </w:rPr>
        <w:t>Disability is the opposite</w:t>
      </w:r>
      <w:r w:rsidRPr="0004302C">
        <w:rPr>
          <w:rStyle w:val="Emphasis"/>
          <w:color w:val="000000" w:themeColor="text1"/>
        </w:rPr>
        <w:t xml:space="preserve"> of this ideal body, its ‘</w:t>
      </w:r>
      <w:r w:rsidRPr="00EE2F8D">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EE2F8D">
        <w:rPr>
          <w:rStyle w:val="Emphasis"/>
          <w:color w:val="000000" w:themeColor="text1"/>
          <w:highlight w:val="green"/>
        </w:rPr>
        <w:t>modernity</w:t>
      </w:r>
      <w:r w:rsidRPr="0004302C">
        <w:rPr>
          <w:rStyle w:val="Emphasis"/>
          <w:color w:val="000000" w:themeColor="text1"/>
        </w:rPr>
        <w:t xml:space="preserve"> has been able to </w:t>
      </w:r>
      <w:r w:rsidRPr="00EE2F8D">
        <w:rPr>
          <w:rStyle w:val="Emphasis"/>
          <w:color w:val="000000" w:themeColor="text1"/>
          <w:highlight w:val="green"/>
        </w:rPr>
        <w:t xml:space="preserve">structure disability as </w:t>
      </w:r>
      <w:proofErr w:type="spellStart"/>
      <w:r w:rsidRPr="00EE2F8D">
        <w:rPr>
          <w:rStyle w:val="Emphasis"/>
          <w:color w:val="000000" w:themeColor="text1"/>
          <w:highlight w:val="green"/>
        </w:rPr>
        <w:t>uncivilised</w:t>
      </w:r>
      <w:proofErr w:type="spellEnd"/>
      <w:r w:rsidRPr="0004302C">
        <w:rPr>
          <w:rStyle w:val="Emphasis"/>
          <w:color w:val="000000" w:themeColor="text1"/>
        </w:rPr>
        <w:t xml:space="preserve">, </w:t>
      </w:r>
      <w:r w:rsidRPr="00EE2F8D">
        <w:rPr>
          <w:rStyle w:val="Emphasis"/>
          <w:color w:val="000000" w:themeColor="text1"/>
          <w:highlight w:val="green"/>
        </w:rPr>
        <w:t>outside</w:t>
      </w:r>
      <w:r w:rsidRPr="0004302C">
        <w:rPr>
          <w:rStyle w:val="Emphasis"/>
          <w:color w:val="000000" w:themeColor="text1"/>
        </w:rPr>
        <w:t xml:space="preserve"> or on the margins </w:t>
      </w:r>
      <w:r w:rsidRPr="00EE2F8D">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EE2F8D">
        <w:rPr>
          <w:rStyle w:val="Emphasis"/>
          <w:color w:val="000000" w:themeColor="text1"/>
          <w:highlight w:val="green"/>
        </w:rPr>
        <w:t xml:space="preserve">homo </w:t>
      </w:r>
      <w:proofErr w:type="spellStart"/>
      <w:r w:rsidRPr="00EE2F8D">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EE2F8D">
        <w:rPr>
          <w:rStyle w:val="Emphasis"/>
          <w:color w:val="000000" w:themeColor="text1"/>
          <w:highlight w:val="green"/>
        </w:rPr>
        <w:t>excluded</w:t>
      </w:r>
      <w:r w:rsidRPr="0004302C">
        <w:rPr>
          <w:rStyle w:val="Emphasis"/>
          <w:color w:val="000000" w:themeColor="text1"/>
        </w:rPr>
        <w:t xml:space="preserve"> </w:t>
      </w:r>
      <w:r w:rsidRPr="00EE2F8D">
        <w:rPr>
          <w:rStyle w:val="Emphasis"/>
          <w:color w:val="000000" w:themeColor="text1"/>
          <w:highlight w:val="green"/>
        </w:rPr>
        <w:t>from</w:t>
      </w:r>
      <w:r w:rsidRPr="0004302C">
        <w:rPr>
          <w:rStyle w:val="Emphasis"/>
          <w:color w:val="000000" w:themeColor="text1"/>
        </w:rPr>
        <w:t xml:space="preserve"> the </w:t>
      </w:r>
      <w:r w:rsidRPr="00EE2F8D">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EE2F8D">
        <w:rPr>
          <w:rStyle w:val="Emphasis"/>
          <w:color w:val="000000" w:themeColor="text1"/>
          <w:highlight w:val="green"/>
        </w:rPr>
        <w:t>disgust</w:t>
      </w:r>
      <w:r w:rsidRPr="0004302C">
        <w:rPr>
          <w:rStyle w:val="Emphasis"/>
          <w:color w:val="000000" w:themeColor="text1"/>
        </w:rPr>
        <w:t xml:space="preserve">: a mediation </w:t>
      </w:r>
      <w:r w:rsidRPr="00EE2F8D">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EE2F8D">
        <w:rPr>
          <w:rStyle w:val="Emphasis"/>
          <w:color w:val="000000" w:themeColor="text1"/>
          <w:highlight w:val="green"/>
        </w:rPr>
        <w:t>when</w:t>
      </w:r>
      <w:r w:rsidRPr="0004302C">
        <w:rPr>
          <w:rStyle w:val="Emphasis"/>
          <w:color w:val="000000" w:themeColor="text1"/>
        </w:rPr>
        <w:t xml:space="preserve"> the </w:t>
      </w:r>
      <w:r w:rsidRPr="00EE2F8D">
        <w:rPr>
          <w:rStyle w:val="Emphasis"/>
          <w:color w:val="000000" w:themeColor="text1"/>
          <w:highlight w:val="green"/>
        </w:rPr>
        <w:t>human/animal boundary</w:t>
      </w:r>
      <w:r w:rsidRPr="0004302C">
        <w:rPr>
          <w:rStyle w:val="Emphasis"/>
          <w:color w:val="000000" w:themeColor="text1"/>
        </w:rPr>
        <w:t xml:space="preserve"> is </w:t>
      </w:r>
      <w:r w:rsidRPr="00EE2F8D">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EE2F8D">
        <w:rPr>
          <w:rStyle w:val="Emphasis"/>
          <w:color w:val="000000" w:themeColor="text1"/>
          <w:highlight w:val="green"/>
        </w:rPr>
        <w:t>Any opportunity</w:t>
      </w:r>
      <w:r w:rsidRPr="0004302C">
        <w:rPr>
          <w:rStyle w:val="Emphasis"/>
          <w:color w:val="000000" w:themeColor="text1"/>
        </w:rPr>
        <w:t xml:space="preserve"> that </w:t>
      </w:r>
      <w:r w:rsidRPr="00EE2F8D">
        <w:rPr>
          <w:rStyle w:val="Emphasis"/>
          <w:color w:val="000000" w:themeColor="text1"/>
          <w:highlight w:val="green"/>
        </w:rPr>
        <w:t>disability might have</w:t>
      </w:r>
      <w:r w:rsidRPr="0004302C">
        <w:rPr>
          <w:rStyle w:val="Emphasis"/>
          <w:color w:val="000000" w:themeColor="text1"/>
        </w:rPr>
        <w:t xml:space="preserve"> to take its place at the heart of </w:t>
      </w:r>
      <w:r w:rsidRPr="00EE2F8D">
        <w:rPr>
          <w:rStyle w:val="Emphasis"/>
          <w:color w:val="000000" w:themeColor="text1"/>
          <w:highlight w:val="green"/>
        </w:rPr>
        <w:t>communication</w:t>
      </w:r>
      <w:r w:rsidRPr="0004302C">
        <w:rPr>
          <w:rStyle w:val="Emphasis"/>
          <w:color w:val="000000" w:themeColor="text1"/>
        </w:rPr>
        <w:t xml:space="preserve"> and community is </w:t>
      </w:r>
      <w:r w:rsidRPr="00EE2F8D">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EE2F8D">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EE2F8D">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EE2F8D">
        <w:rPr>
          <w:rStyle w:val="Emphasis"/>
          <w:color w:val="000000" w:themeColor="text1"/>
          <w:highlight w:val="green"/>
        </w:rPr>
        <w:t>Modern history</w:t>
      </w:r>
      <w:r w:rsidRPr="0004302C">
        <w:rPr>
          <w:rStyle w:val="Emphasis"/>
          <w:color w:val="000000" w:themeColor="text1"/>
        </w:rPr>
        <w:t xml:space="preserve"> helps to </w:t>
      </w:r>
      <w:r w:rsidRPr="00EE2F8D">
        <w:rPr>
          <w:rStyle w:val="Emphasis"/>
          <w:color w:val="000000" w:themeColor="text1"/>
          <w:highlight w:val="green"/>
        </w:rPr>
        <w:t>make</w:t>
      </w:r>
      <w:r w:rsidRPr="0004302C">
        <w:rPr>
          <w:rStyle w:val="Emphasis"/>
          <w:color w:val="000000" w:themeColor="text1"/>
        </w:rPr>
        <w:t xml:space="preserve"> this object of </w:t>
      </w:r>
      <w:r w:rsidRPr="00EE2F8D">
        <w:rPr>
          <w:rStyle w:val="Emphasis"/>
          <w:color w:val="000000" w:themeColor="text1"/>
          <w:highlight w:val="green"/>
        </w:rPr>
        <w:t>disgust</w:t>
      </w:r>
      <w:r w:rsidRPr="0004302C">
        <w:rPr>
          <w:rStyle w:val="Emphasis"/>
          <w:color w:val="000000" w:themeColor="text1"/>
        </w:rPr>
        <w:t xml:space="preserve"> more </w:t>
      </w:r>
      <w:r w:rsidRPr="00EE2F8D">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EE2F8D">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EE2F8D">
        <w:rPr>
          <w:rStyle w:val="Emphasis"/>
          <w:color w:val="000000" w:themeColor="text1"/>
          <w:highlight w:val="green"/>
        </w:rPr>
        <w:t>sociogenesis</w:t>
      </w:r>
      <w:r w:rsidRPr="0004302C">
        <w:rPr>
          <w:rStyle w:val="Emphasis"/>
          <w:color w:val="000000" w:themeColor="text1"/>
        </w:rPr>
        <w:t xml:space="preserve"> that will </w:t>
      </w:r>
      <w:r w:rsidRPr="00EE2F8D">
        <w:rPr>
          <w:rStyle w:val="Emphasis"/>
          <w:color w:val="000000" w:themeColor="text1"/>
          <w:highlight w:val="green"/>
        </w:rPr>
        <w:t>either do away with it or ‘make it better’</w:t>
      </w:r>
      <w:r w:rsidRPr="0004302C">
        <w:rPr>
          <w:rStyle w:val="Emphasis"/>
          <w:color w:val="000000" w:themeColor="text1"/>
        </w:rPr>
        <w:t>.</w:t>
      </w:r>
    </w:p>
    <w:p w14:paraId="10D8005A" w14:textId="388AFB11" w:rsidR="001161A0" w:rsidRPr="00DA628C" w:rsidRDefault="001161A0" w:rsidP="001161A0">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499244C7" w14:textId="77777777" w:rsidR="001161A0" w:rsidRPr="001B24CF" w:rsidRDefault="001161A0" w:rsidP="001161A0">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0B655618" w14:textId="77777777" w:rsidR="001161A0" w:rsidRDefault="001161A0" w:rsidP="001161A0">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bookmarkEnd w:id="2"/>
    <w:p w14:paraId="27D7B5E0" w14:textId="53040DB8" w:rsidR="00D81707" w:rsidRPr="00EE2F8D" w:rsidRDefault="00D81707" w:rsidP="00EE2F8D">
      <w:pPr>
        <w:spacing w:after="80" w:line="276" w:lineRule="auto"/>
        <w:rPr>
          <w:rFonts w:cs="Calibri"/>
          <w:sz w:val="16"/>
          <w:szCs w:val="16"/>
        </w:rPr>
      </w:pPr>
    </w:p>
    <w:sectPr w:rsidR="00D81707" w:rsidRPr="00EE2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9324264"/>
    <w:docVar w:name="VerbatimVersion" w:val="5.1"/>
  </w:docVars>
  <w:rsids>
    <w:rsidRoot w:val="00D81707"/>
    <w:rsid w:val="000139A3"/>
    <w:rsid w:val="000C5772"/>
    <w:rsid w:val="000D5D49"/>
    <w:rsid w:val="000E0007"/>
    <w:rsid w:val="00100833"/>
    <w:rsid w:val="00104529"/>
    <w:rsid w:val="00105942"/>
    <w:rsid w:val="00107396"/>
    <w:rsid w:val="001161A0"/>
    <w:rsid w:val="00144A4C"/>
    <w:rsid w:val="00176AB0"/>
    <w:rsid w:val="00177B7D"/>
    <w:rsid w:val="0018322D"/>
    <w:rsid w:val="001B5776"/>
    <w:rsid w:val="001E527A"/>
    <w:rsid w:val="001E6524"/>
    <w:rsid w:val="001F78CE"/>
    <w:rsid w:val="00251FC7"/>
    <w:rsid w:val="002855A7"/>
    <w:rsid w:val="002B146A"/>
    <w:rsid w:val="002B5E17"/>
    <w:rsid w:val="00315690"/>
    <w:rsid w:val="00316B75"/>
    <w:rsid w:val="00325646"/>
    <w:rsid w:val="003460F2"/>
    <w:rsid w:val="0038158C"/>
    <w:rsid w:val="00387AB5"/>
    <w:rsid w:val="003902BA"/>
    <w:rsid w:val="003A09E2"/>
    <w:rsid w:val="00407037"/>
    <w:rsid w:val="004605D6"/>
    <w:rsid w:val="004C60E8"/>
    <w:rsid w:val="004E3579"/>
    <w:rsid w:val="004E728B"/>
    <w:rsid w:val="004F39E0"/>
    <w:rsid w:val="0051290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1C46"/>
    <w:rsid w:val="008B3ECB"/>
    <w:rsid w:val="008B4E85"/>
    <w:rsid w:val="008C1B2E"/>
    <w:rsid w:val="008E708A"/>
    <w:rsid w:val="00906A60"/>
    <w:rsid w:val="0091627E"/>
    <w:rsid w:val="0097032B"/>
    <w:rsid w:val="0099421A"/>
    <w:rsid w:val="009D2EAD"/>
    <w:rsid w:val="009D54B2"/>
    <w:rsid w:val="009E1922"/>
    <w:rsid w:val="009F7ED2"/>
    <w:rsid w:val="00A93661"/>
    <w:rsid w:val="00A95652"/>
    <w:rsid w:val="00AC0AB8"/>
    <w:rsid w:val="00B33C6D"/>
    <w:rsid w:val="00B4508F"/>
    <w:rsid w:val="00B55AD5"/>
    <w:rsid w:val="00B715E4"/>
    <w:rsid w:val="00B8057C"/>
    <w:rsid w:val="00B8334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788F"/>
    <w:rsid w:val="00D61409"/>
    <w:rsid w:val="00D6691E"/>
    <w:rsid w:val="00D71170"/>
    <w:rsid w:val="00D81707"/>
    <w:rsid w:val="00DA1C92"/>
    <w:rsid w:val="00DA25D4"/>
    <w:rsid w:val="00DA6538"/>
    <w:rsid w:val="00E15E75"/>
    <w:rsid w:val="00E5262C"/>
    <w:rsid w:val="00EC7DC4"/>
    <w:rsid w:val="00ED30CF"/>
    <w:rsid w:val="00EE2F8D"/>
    <w:rsid w:val="00F176EF"/>
    <w:rsid w:val="00F31C3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42005"/>
  <w15:chartTrackingRefBased/>
  <w15:docId w15:val="{107761AF-1C47-42D8-8169-9F9E5F4E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708A"/>
    <w:rPr>
      <w:rFonts w:ascii="Calibri" w:hAnsi="Calibri"/>
    </w:rPr>
  </w:style>
  <w:style w:type="paragraph" w:styleId="Heading1">
    <w:name w:val="heading 1"/>
    <w:aliases w:val="Pocket"/>
    <w:basedOn w:val="Normal"/>
    <w:next w:val="Normal"/>
    <w:link w:val="Heading1Char"/>
    <w:qFormat/>
    <w:rsid w:val="008E7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70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70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8E70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7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708A"/>
  </w:style>
  <w:style w:type="character" w:customStyle="1" w:styleId="Heading1Char">
    <w:name w:val="Heading 1 Char"/>
    <w:aliases w:val="Pocket Char"/>
    <w:basedOn w:val="DefaultParagraphFont"/>
    <w:link w:val="Heading1"/>
    <w:rsid w:val="008E70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708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708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8E708A"/>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8E708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E708A"/>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8E708A"/>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8E708A"/>
    <w:rPr>
      <w:color w:val="auto"/>
      <w:u w:val="none"/>
    </w:rPr>
  </w:style>
  <w:style w:type="character" w:styleId="FollowedHyperlink">
    <w:name w:val="FollowedHyperlink"/>
    <w:basedOn w:val="DefaultParagraphFont"/>
    <w:uiPriority w:val="99"/>
    <w:semiHidden/>
    <w:unhideWhenUsed/>
    <w:rsid w:val="008E708A"/>
    <w:rPr>
      <w:color w:val="auto"/>
      <w:u w:val="none"/>
    </w:rPr>
  </w:style>
  <w:style w:type="paragraph" w:customStyle="1" w:styleId="textbold">
    <w:name w:val="text bold"/>
    <w:basedOn w:val="Normal"/>
    <w:link w:val="Emphasis"/>
    <w:uiPriority w:val="7"/>
    <w:qFormat/>
    <w:rsid w:val="00D81707"/>
    <w:pPr>
      <w:ind w:left="720"/>
      <w:jc w:val="both"/>
    </w:pPr>
    <w:rPr>
      <w:b/>
      <w:iCs/>
      <w:u w:val="single"/>
    </w:rPr>
  </w:style>
  <w:style w:type="character" w:customStyle="1" w:styleId="SmalltextChar">
    <w:name w:val="Small text Char"/>
    <w:aliases w:val="Quote Char,Quote1 Char1"/>
    <w:link w:val="Smalltext"/>
    <w:locked/>
    <w:rsid w:val="00D81707"/>
    <w:rPr>
      <w:rFonts w:ascii="Calibri" w:eastAsia="Calibri" w:hAnsi="Calibri" w:cs="Calibri"/>
      <w:sz w:val="14"/>
    </w:rPr>
  </w:style>
  <w:style w:type="paragraph" w:customStyle="1" w:styleId="Smalltext">
    <w:name w:val="Small text"/>
    <w:aliases w:val="Quote1,Quote11"/>
    <w:basedOn w:val="Normal"/>
    <w:link w:val="SmalltextChar"/>
    <w:qFormat/>
    <w:rsid w:val="00D81707"/>
    <w:pPr>
      <w:spacing w:line="256" w:lineRule="auto"/>
    </w:pPr>
    <w:rPr>
      <w:rFonts w:eastAsia="Calibri" w:cs="Calibri"/>
      <w:sz w:val="14"/>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D81707"/>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wsweek.com/what-freud-got-right-142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116</TotalTime>
  <Pages>1</Pages>
  <Words>12310</Words>
  <Characters>70171</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2022-01-16T21:37:00Z</dcterms:created>
  <dcterms:modified xsi:type="dcterms:W3CDTF">2022-01-28T06:26:00Z</dcterms:modified>
</cp:coreProperties>
</file>