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30724" w14:textId="4BE632D5" w:rsidR="00A95652" w:rsidRDefault="008B101B" w:rsidP="008B101B">
      <w:pPr>
        <w:pStyle w:val="Heading1"/>
      </w:pPr>
      <w:r>
        <w:t xml:space="preserve">1AC vs </w:t>
      </w:r>
      <w:r w:rsidRPr="008B101B">
        <w:t>Newport BL</w:t>
      </w:r>
    </w:p>
    <w:p w14:paraId="5938F92F" w14:textId="053859AB" w:rsidR="008B101B" w:rsidRDefault="008B101B" w:rsidP="008B101B">
      <w:pPr>
        <w:pStyle w:val="Heading2"/>
      </w:pPr>
      <w:r>
        <w:t>1AC</w:t>
      </w:r>
    </w:p>
    <w:p w14:paraId="5DD49A82" w14:textId="04F505AC" w:rsidR="008B101B" w:rsidRDefault="008B101B" w:rsidP="008B101B">
      <w:pPr>
        <w:pStyle w:val="Heading3"/>
      </w:pPr>
      <w:r>
        <w:t>Part 1: The Child</w:t>
      </w:r>
    </w:p>
    <w:p w14:paraId="54D87C70" w14:textId="77777777" w:rsidR="008B101B" w:rsidRPr="00CF49AE" w:rsidRDefault="008B101B" w:rsidP="008B101B">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102AC8E8" w14:textId="77777777" w:rsidR="008B101B" w:rsidRPr="0004302C" w:rsidRDefault="008B101B" w:rsidP="008B101B">
      <w:pPr>
        <w:spacing w:after="0" w:line="240" w:lineRule="auto"/>
        <w:rPr>
          <w:color w:val="000000" w:themeColor="text1"/>
          <w:sz w:val="16"/>
          <w:szCs w:val="16"/>
        </w:rPr>
      </w:pPr>
      <w:proofErr w:type="spellStart"/>
      <w:r w:rsidRPr="0004302C">
        <w:rPr>
          <w:b/>
          <w:bCs/>
          <w:color w:val="000000" w:themeColor="text1"/>
          <w:szCs w:val="26"/>
        </w:rPr>
        <w:t>Mollow</w:t>
      </w:r>
      <w:proofErr w:type="spellEnd"/>
      <w:r w:rsidRPr="0004302C">
        <w:rPr>
          <w:b/>
          <w:bCs/>
          <w:color w:val="000000" w:themeColor="text1"/>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546A1531" w14:textId="77777777" w:rsidR="008B101B" w:rsidRPr="0004302C" w:rsidRDefault="008B101B" w:rsidP="008B101B">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04BBD963" w14:textId="77777777" w:rsidR="008B101B" w:rsidRPr="0004302C" w:rsidRDefault="008B101B" w:rsidP="008B101B">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358F639D" w14:textId="77777777" w:rsidR="008B101B" w:rsidRPr="0004302C" w:rsidRDefault="008B101B" w:rsidP="008B101B">
      <w:pPr>
        <w:spacing w:after="0" w:line="240" w:lineRule="auto"/>
        <w:rPr>
          <w:color w:val="000000" w:themeColor="text1"/>
          <w:sz w:val="16"/>
          <w:szCs w:val="16"/>
        </w:rPr>
      </w:pPr>
      <w:proofErr w:type="spellStart"/>
      <w:r w:rsidRPr="0004302C">
        <w:rPr>
          <w:b/>
          <w:bCs/>
          <w:color w:val="000000" w:themeColor="text1"/>
          <w:szCs w:val="26"/>
        </w:rPr>
        <w:t>Mollow</w:t>
      </w:r>
      <w:proofErr w:type="spellEnd"/>
      <w:r w:rsidRPr="0004302C">
        <w:rPr>
          <w:b/>
          <w:bCs/>
          <w:color w:val="000000" w:themeColor="text1"/>
          <w:szCs w:val="26"/>
        </w:rPr>
        <w:t xml:space="preserve"> </w:t>
      </w:r>
      <w:r>
        <w:rPr>
          <w:b/>
          <w:bCs/>
          <w:color w:val="000000" w:themeColor="text1"/>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7"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58ED3DCC" w14:textId="19AF5511" w:rsidR="008B101B" w:rsidRDefault="008B101B" w:rsidP="008B101B">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3C9F3F61" w14:textId="77777777" w:rsidR="008B101B" w:rsidRPr="0004302C" w:rsidRDefault="008B101B" w:rsidP="008B101B">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444F4FF8" w14:textId="77777777" w:rsidR="008B101B" w:rsidRPr="0004302C" w:rsidRDefault="008B101B" w:rsidP="008B101B">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765F2F1C" w14:textId="0809F026" w:rsidR="008B101B" w:rsidRPr="008B101B" w:rsidRDefault="008B101B" w:rsidP="008B101B">
      <w:pPr>
        <w:rPr>
          <w:b/>
          <w:iCs/>
          <w:color w:val="000000" w:themeColor="text1"/>
          <w:u w:val="single"/>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2068AB0E" w14:textId="77777777" w:rsidR="008B101B" w:rsidRPr="00CF49AE" w:rsidRDefault="008B101B" w:rsidP="008B101B">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A76F9CC" w14:textId="77777777" w:rsidR="008B101B" w:rsidRPr="009802CC" w:rsidRDefault="008B101B" w:rsidP="008B101B">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7159EC69" w14:textId="77777777" w:rsidR="008B101B" w:rsidRPr="00CC337A" w:rsidRDefault="008B101B" w:rsidP="008B101B">
      <w:pPr>
        <w:spacing w:line="276" w:lineRule="auto"/>
        <w:rPr>
          <w:rStyle w:val="Emphasis"/>
          <w:b w:val="0"/>
          <w:iCs w:val="0"/>
          <w:color w:val="000000" w:themeColor="text1"/>
          <w:sz w:val="8"/>
          <w:szCs w:val="26"/>
          <w:u w:val="none"/>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1CF682A" w14:textId="77777777" w:rsidR="008B101B" w:rsidRDefault="008B101B" w:rsidP="008B101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2CDBDC04" w14:textId="77777777" w:rsidR="008B101B" w:rsidRPr="009C5080" w:rsidRDefault="008B101B" w:rsidP="008B101B">
      <w:proofErr w:type="spellStart"/>
      <w:r w:rsidRPr="009C5080">
        <w:rPr>
          <w:rFonts w:eastAsiaTheme="majorEastAsia" w:cstheme="majorBidi"/>
          <w:b/>
          <w:bCs/>
          <w:szCs w:val="26"/>
        </w:rPr>
        <w:t>Selck</w:t>
      </w:r>
      <w:proofErr w:type="spellEnd"/>
      <w:r w:rsidRPr="009C5080">
        <w:rPr>
          <w:rFonts w:eastAsiaTheme="majorEastAsia" w:cstheme="majorBidi"/>
          <w:b/>
          <w:bCs/>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14:paraId="0994473E" w14:textId="77777777" w:rsidR="008B101B" w:rsidRPr="00CF49AE" w:rsidRDefault="008B101B" w:rsidP="008B101B">
      <w:pPr>
        <w:rPr>
          <w:b/>
          <w:iCs/>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w:t>
      </w:r>
      <w:proofErr w:type="gramStart"/>
      <w:r w:rsidRPr="0004302C">
        <w:rPr>
          <w:sz w:val="14"/>
        </w:rPr>
        <w:t>Next</w:t>
      </w:r>
      <w:proofErr w:type="gramEnd"/>
      <w:r w:rsidRPr="0004302C">
        <w:rPr>
          <w:sz w:val="14"/>
        </w:rPr>
        <w:t xml:space="preserve"> I offer a literature review to demonstrate the combination of optimism and neglect dis/ability has undergone in intercultural communication models. Following that </w:t>
      </w:r>
      <w:proofErr w:type="gramStart"/>
      <w:r w:rsidRPr="0004302C">
        <w:rPr>
          <w:sz w:val="14"/>
        </w:rPr>
        <w:t>section</w:t>
      </w:r>
      <w:proofErr w:type="gramEnd"/>
      <w:r w:rsidRPr="0004302C">
        <w:rPr>
          <w:sz w:val="14"/>
        </w:rPr>
        <w:t xml:space="preserve"> I mark my shift to performance methods as I explain how narrative autoethnography can illuminate cultural misconceptions regarding the dis/abled. In the last sections of this </w:t>
      </w:r>
      <w:proofErr w:type="gramStart"/>
      <w:r w:rsidRPr="0004302C">
        <w:rPr>
          <w:sz w:val="14"/>
        </w:rPr>
        <w:t>report</w:t>
      </w:r>
      <w:proofErr w:type="gramEnd"/>
      <w:r w:rsidRPr="0004302C">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4302C">
        <w:rPr>
          <w:sz w:val="14"/>
        </w:rPr>
        <w:t>progress</w:t>
      </w:r>
      <w:proofErr w:type="gramEnd"/>
      <w:r w:rsidRPr="0004302C">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04302C">
        <w:rPr>
          <w:sz w:val="14"/>
        </w:rPr>
        <w:t>rights based</w:t>
      </w:r>
      <w:proofErr w:type="gramEnd"/>
      <w:r w:rsidRPr="0004302C">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04302C">
        <w:rPr>
          <w:sz w:val="14"/>
        </w:rPr>
        <w:t>justice</w:t>
      </w:r>
      <w:proofErr w:type="gramEnd"/>
      <w:r w:rsidRPr="0004302C">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4302C">
        <w:rPr>
          <w:sz w:val="14"/>
        </w:rPr>
        <w:t>including:</w:t>
      </w:r>
      <w:proofErr w:type="gramEnd"/>
      <w:r w:rsidRPr="0004302C">
        <w:rPr>
          <w:sz w:val="14"/>
        </w:rPr>
        <w:t xml:space="preserve"> differently-abled, special needs, person with disability, disabled person, temporarily able-bodied, and others. Often, able- bodied audiences </w:t>
      </w:r>
      <w:proofErr w:type="gramStart"/>
      <w:r w:rsidRPr="0004302C">
        <w:rPr>
          <w:sz w:val="14"/>
        </w:rPr>
        <w:t>have a tendency to</w:t>
      </w:r>
      <w:proofErr w:type="gramEnd"/>
      <w:r w:rsidRPr="0004302C">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w:t>
      </w:r>
      <w:proofErr w:type="gramStart"/>
      <w:r w:rsidRPr="0004302C">
        <w:rPr>
          <w:sz w:val="14"/>
        </w:rPr>
        <w:t>does</w:t>
      </w:r>
      <w:proofErr w:type="gramEnd"/>
      <w:r w:rsidRPr="0004302C">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w:t>
      </w:r>
      <w:proofErr w:type="gramStart"/>
      <w:r w:rsidRPr="0004302C">
        <w:rPr>
          <w:rStyle w:val="Emphasis"/>
        </w:rPr>
        <w:t>fleeting</w:t>
      </w:r>
      <w:proofErr w:type="gramEnd"/>
      <w:r w:rsidRPr="0004302C">
        <w:rPr>
          <w:rStyle w:val="Emphasis"/>
        </w:rPr>
        <w:t xml:space="preserve"> and enduring, validates the perpetually </w:t>
      </w:r>
      <w:r w:rsidRPr="009C5080">
        <w:rPr>
          <w:rStyle w:val="Emphasis"/>
        </w:rPr>
        <w:t>fragmented subject seeking</w:t>
      </w:r>
      <w:r w:rsidRPr="0004302C">
        <w:rPr>
          <w:rStyle w:val="Emphasis"/>
        </w:rPr>
        <w:t xml:space="preserve"> a world that exists beyond good and evil and instead just is. </w:t>
      </w:r>
    </w:p>
    <w:p w14:paraId="2F57F6DC" w14:textId="25427CC6" w:rsidR="008B101B" w:rsidRDefault="008B101B" w:rsidP="008B101B">
      <w:pPr>
        <w:pStyle w:val="Heading3"/>
      </w:pPr>
      <w:r>
        <w:t>Part 2: Reckoning</w:t>
      </w:r>
    </w:p>
    <w:p w14:paraId="66EFF245" w14:textId="77777777" w:rsidR="008B101B" w:rsidRPr="0004302C" w:rsidRDefault="008B101B" w:rsidP="008B101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1E2E41DF" w14:textId="77777777" w:rsidR="008B101B" w:rsidRPr="0004302C" w:rsidRDefault="008B101B" w:rsidP="008B101B">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FA1C4B3" w14:textId="0ABEE20B" w:rsidR="008B101B" w:rsidRDefault="008B101B" w:rsidP="008B101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0DB19EB3" w14:textId="77777777" w:rsidR="008B101B" w:rsidRDefault="008B101B" w:rsidP="008B101B">
      <w:pPr>
        <w:pStyle w:val="Heading4"/>
      </w:pPr>
      <w:r>
        <w:t>Disability controls proximate cause to justification of class-based inequality – monstrosity through disgust and dehumanization explains justification for exploitation and enforcing superiority over the working class.</w:t>
      </w:r>
    </w:p>
    <w:p w14:paraId="7221E442" w14:textId="77777777" w:rsidR="008B101B" w:rsidRPr="00B15E97" w:rsidRDefault="008B101B" w:rsidP="008B101B">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8" w:history="1">
        <w:r w:rsidRPr="00B15E97">
          <w:rPr>
            <w:rStyle w:val="Hyperlink"/>
            <w:sz w:val="16"/>
            <w:szCs w:val="16"/>
          </w:rPr>
          <w:t>h.meekosha@unsw.edu.au</w:t>
        </w:r>
      </w:hyperlink>
      <w:r w:rsidRPr="00B15E97">
        <w:rPr>
          <w:sz w:val="16"/>
          <w:szCs w:val="16"/>
        </w:rPr>
        <w:t xml:space="preserve"> </w:t>
      </w:r>
      <w:hyperlink r:id="rId9" w:history="1">
        <w:r w:rsidRPr="00B15E97">
          <w:rPr>
            <w:rStyle w:val="Hyperlink"/>
            <w:sz w:val="16"/>
            <w:szCs w:val="16"/>
          </w:rPr>
          <w:t>www.mdpi.com/journal/societies</w:t>
        </w:r>
      </w:hyperlink>
      <w:r w:rsidRPr="00B15E97">
        <w:rPr>
          <w:sz w:val="16"/>
          <w:szCs w:val="16"/>
        </w:rPr>
        <w:t xml:space="preserve"> doi:10.3390/soc2030139 SJCP//JG</w:t>
      </w:r>
    </w:p>
    <w:p w14:paraId="57F283A8" w14:textId="150FFB30" w:rsidR="008B101B" w:rsidRPr="008B101B" w:rsidRDefault="008B101B" w:rsidP="008B101B">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p w14:paraId="2C796E00" w14:textId="77777777" w:rsidR="008B101B" w:rsidRPr="00D24FE5" w:rsidRDefault="008B101B" w:rsidP="008B101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497DD1DD" w14:textId="77777777" w:rsidR="008B101B" w:rsidRPr="00D24FE5" w:rsidRDefault="008B101B" w:rsidP="008B101B">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7AE8D948" w14:textId="77777777" w:rsidR="008B101B" w:rsidRPr="00AD7443" w:rsidRDefault="008B101B" w:rsidP="008B101B">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51E4A2BB" w14:textId="77777777" w:rsidR="008B101B" w:rsidRPr="006948C8" w:rsidRDefault="008B101B" w:rsidP="008B101B">
      <w:pPr>
        <w:pStyle w:val="Heading4"/>
        <w:rPr>
          <w:rFonts w:cs="Calibri"/>
        </w:rPr>
      </w:pPr>
      <w:bookmarkStart w:id="0" w:name="_Hlk92408398"/>
      <w:r w:rsidRPr="006948C8">
        <w:rPr>
          <w:rFonts w:cs="Calibri"/>
        </w:rPr>
        <w:t>Psychoanalysis is both falsifiable and accurate – studies prove.</w:t>
      </w:r>
    </w:p>
    <w:p w14:paraId="4B43B846" w14:textId="77777777" w:rsidR="008B101B" w:rsidRPr="006948C8" w:rsidRDefault="008B101B" w:rsidP="008B101B">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00013531" w14:textId="77777777" w:rsidR="008B101B" w:rsidRPr="006A5B26" w:rsidRDefault="008B101B" w:rsidP="008B101B">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5BDE4869" w14:textId="3D8BAEEE" w:rsidR="008B101B" w:rsidRDefault="008B101B" w:rsidP="008B101B">
      <w:pPr>
        <w:pStyle w:val="Heading3"/>
      </w:pPr>
      <w:r>
        <w:t>Part 3: Opposition</w:t>
      </w:r>
    </w:p>
    <w:p w14:paraId="224A5775" w14:textId="77777777" w:rsidR="008B101B" w:rsidRPr="0005677F" w:rsidRDefault="008B101B" w:rsidP="008B101B">
      <w:pPr>
        <w:pStyle w:val="Heading4"/>
        <w:rPr>
          <w:rFonts w:cs="Calibri"/>
        </w:rPr>
      </w:pPr>
      <w:r>
        <w:rPr>
          <w:rFonts w:cs="Calibri"/>
        </w:rPr>
        <w:t>Exclusionary conceptions of topical correctness are violent.</w:t>
      </w:r>
    </w:p>
    <w:p w14:paraId="1909F9AD" w14:textId="77777777" w:rsidR="008B101B" w:rsidRPr="003A2CE2" w:rsidRDefault="008B101B" w:rsidP="008B101B">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2EBC10FB" w14:textId="77777777" w:rsidR="008B101B" w:rsidRPr="003A2CE2" w:rsidRDefault="008B101B" w:rsidP="008B101B">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7FE42A52" w14:textId="77777777" w:rsidR="008B101B" w:rsidRPr="00B10F37" w:rsidRDefault="008B101B" w:rsidP="008B101B">
      <w:pPr>
        <w:pStyle w:val="Heading4"/>
        <w:rPr>
          <w:sz w:val="8"/>
        </w:rPr>
      </w:pPr>
      <w:r>
        <w:t xml:space="preserve">Notions of competitive equity </w:t>
      </w:r>
      <w:r w:rsidRPr="00B10F37">
        <w:t>marginalize the out group and retrench power structures</w:t>
      </w:r>
      <w:r>
        <w:t>.</w:t>
      </w:r>
    </w:p>
    <w:p w14:paraId="6F389461" w14:textId="77777777" w:rsidR="008B101B" w:rsidRPr="00B10F37" w:rsidRDefault="008B101B" w:rsidP="008B101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68A15289" w14:textId="77777777" w:rsidR="008B101B" w:rsidRDefault="008B101B" w:rsidP="008B101B">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2D01599" w14:textId="77777777" w:rsidR="008B101B" w:rsidRPr="006F73C7" w:rsidRDefault="008B101B" w:rsidP="008B101B">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33D987AB" w14:textId="77777777" w:rsidR="008B101B" w:rsidRPr="006F73C7" w:rsidRDefault="008B101B" w:rsidP="008B101B">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3B3672FA" w14:textId="77777777" w:rsidR="008B101B" w:rsidRDefault="008B101B" w:rsidP="008B101B">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32E5C214" w14:textId="77777777" w:rsidR="008B101B" w:rsidRPr="00DA628C" w:rsidRDefault="008B101B" w:rsidP="008B101B">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33534A44" w14:textId="77777777" w:rsidR="008B101B" w:rsidRPr="001B24CF" w:rsidRDefault="008B101B" w:rsidP="008B101B">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667CC4EB" w14:textId="1DE919A5" w:rsidR="00381BB4" w:rsidRPr="00A80D6A" w:rsidRDefault="008B101B" w:rsidP="00381BB4">
      <w:pPr>
        <w:rPr>
          <w:b/>
          <w:iCs/>
          <w:u w:val="single"/>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sectPr w:rsidR="00381BB4" w:rsidRPr="00A80D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50451024"/>
    <w:docVar w:name="VerbatimVersion" w:val="5.1"/>
  </w:docVars>
  <w:rsids>
    <w:rsidRoot w:val="008B101B"/>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1BB4"/>
    <w:rsid w:val="003902BA"/>
    <w:rsid w:val="003A09E2"/>
    <w:rsid w:val="00407037"/>
    <w:rsid w:val="004605D6"/>
    <w:rsid w:val="004C60E8"/>
    <w:rsid w:val="004E3579"/>
    <w:rsid w:val="004E728B"/>
    <w:rsid w:val="004F39E0"/>
    <w:rsid w:val="005249BD"/>
    <w:rsid w:val="00537BD5"/>
    <w:rsid w:val="0057268A"/>
    <w:rsid w:val="005D2912"/>
    <w:rsid w:val="006065BD"/>
    <w:rsid w:val="00645FA9"/>
    <w:rsid w:val="00647866"/>
    <w:rsid w:val="00665003"/>
    <w:rsid w:val="006A2AD0"/>
    <w:rsid w:val="006C2375"/>
    <w:rsid w:val="006D0BDB"/>
    <w:rsid w:val="006D4ECC"/>
    <w:rsid w:val="006F6756"/>
    <w:rsid w:val="00722258"/>
    <w:rsid w:val="007243E5"/>
    <w:rsid w:val="00766EA0"/>
    <w:rsid w:val="007A2226"/>
    <w:rsid w:val="007F5B66"/>
    <w:rsid w:val="00823A1C"/>
    <w:rsid w:val="00845B9D"/>
    <w:rsid w:val="00860984"/>
    <w:rsid w:val="00873AE8"/>
    <w:rsid w:val="008B101B"/>
    <w:rsid w:val="008B3ECB"/>
    <w:rsid w:val="008B4E85"/>
    <w:rsid w:val="008C1B2E"/>
    <w:rsid w:val="0091627E"/>
    <w:rsid w:val="0097032B"/>
    <w:rsid w:val="009D2EAD"/>
    <w:rsid w:val="009D54B2"/>
    <w:rsid w:val="009E1922"/>
    <w:rsid w:val="009F7ED2"/>
    <w:rsid w:val="00A80D6A"/>
    <w:rsid w:val="00A93661"/>
    <w:rsid w:val="00A95652"/>
    <w:rsid w:val="00AC0AB8"/>
    <w:rsid w:val="00B33C6D"/>
    <w:rsid w:val="00B4508F"/>
    <w:rsid w:val="00B55AD5"/>
    <w:rsid w:val="00B8057C"/>
    <w:rsid w:val="00BA1E3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D6F5"/>
  <w15:chartTrackingRefBased/>
  <w15:docId w15:val="{7470C22C-3743-41D6-B958-9B3CA1606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0D6A"/>
    <w:rPr>
      <w:rFonts w:ascii="Calibri" w:hAnsi="Calibri"/>
    </w:rPr>
  </w:style>
  <w:style w:type="paragraph" w:styleId="Heading1">
    <w:name w:val="heading 1"/>
    <w:aliases w:val="Pocket"/>
    <w:basedOn w:val="Normal"/>
    <w:next w:val="Normal"/>
    <w:link w:val="Heading1Char"/>
    <w:qFormat/>
    <w:rsid w:val="00A80D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0D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A80D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A80D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80D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D6A"/>
  </w:style>
  <w:style w:type="character" w:customStyle="1" w:styleId="Heading1Char">
    <w:name w:val="Heading 1 Char"/>
    <w:aliases w:val="Pocket Char"/>
    <w:basedOn w:val="DefaultParagraphFont"/>
    <w:link w:val="Heading1"/>
    <w:rsid w:val="00A80D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0D6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80D6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A80D6A"/>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80D6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80D6A"/>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A80D6A"/>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80D6A"/>
    <w:rPr>
      <w:color w:val="auto"/>
      <w:u w:val="none"/>
    </w:rPr>
  </w:style>
  <w:style w:type="character" w:styleId="FollowedHyperlink">
    <w:name w:val="FollowedHyperlink"/>
    <w:basedOn w:val="DefaultParagraphFont"/>
    <w:uiPriority w:val="99"/>
    <w:semiHidden/>
    <w:unhideWhenUsed/>
    <w:rsid w:val="00A80D6A"/>
    <w:rPr>
      <w:color w:val="auto"/>
      <w:u w:val="none"/>
    </w:rPr>
  </w:style>
  <w:style w:type="paragraph" w:customStyle="1" w:styleId="textbold">
    <w:name w:val="text bold"/>
    <w:basedOn w:val="Normal"/>
    <w:link w:val="Emphasis"/>
    <w:uiPriority w:val="7"/>
    <w:qFormat/>
    <w:rsid w:val="008B101B"/>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8B10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8B101B"/>
    <w:rPr>
      <w:rFonts w:eastAsia="Calibri"/>
      <w:sz w:val="14"/>
    </w:rPr>
  </w:style>
  <w:style w:type="character" w:customStyle="1" w:styleId="SmalltextChar">
    <w:name w:val="Small text Char"/>
    <w:aliases w:val="Quote Char,Quote1 Char1"/>
    <w:link w:val="Smalltext"/>
    <w:rsid w:val="008B101B"/>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eekosha@unsw.edu.au"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dpi.com/journal/socie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Pages>
  <Words>14134</Words>
  <Characters>80569</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2022-02-18T20:28:00Z</dcterms:created>
  <dcterms:modified xsi:type="dcterms:W3CDTF">2022-02-21T14:25:00Z</dcterms:modified>
</cp:coreProperties>
</file>