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DE1C3" w14:textId="77777777" w:rsidR="00F84335" w:rsidRDefault="00F84335" w:rsidP="00F84335">
      <w:pPr>
        <w:spacing w:before="400" w:after="120" w:line="240" w:lineRule="auto"/>
        <w:jc w:val="center"/>
        <w:outlineLvl w:val="0"/>
        <w:rPr>
          <w:rFonts w:ascii="Calibri" w:eastAsia="Times New Roman" w:hAnsi="Calibri" w:cs="Calibri"/>
          <w:b/>
          <w:bCs/>
          <w:color w:val="000000"/>
          <w:kern w:val="36"/>
          <w:sz w:val="40"/>
          <w:szCs w:val="40"/>
        </w:rPr>
      </w:pPr>
      <w:r>
        <w:rPr>
          <w:rFonts w:ascii="Calibri" w:eastAsia="Times New Roman" w:hAnsi="Calibri" w:cs="Calibri"/>
          <w:b/>
          <w:bCs/>
          <w:color w:val="000000"/>
          <w:kern w:val="36"/>
          <w:sz w:val="40"/>
          <w:szCs w:val="40"/>
        </w:rPr>
        <w:t>SET COL K</w:t>
      </w:r>
    </w:p>
    <w:p w14:paraId="39FAD0F4" w14:textId="77777777" w:rsidR="00F84335" w:rsidRPr="003018E5" w:rsidRDefault="00F84335" w:rsidP="00F84335">
      <w:pPr>
        <w:spacing w:before="400" w:after="120" w:line="240" w:lineRule="auto"/>
        <w:jc w:val="center"/>
        <w:outlineLvl w:val="0"/>
        <w:rPr>
          <w:rFonts w:ascii="Times New Roman" w:eastAsia="Times New Roman" w:hAnsi="Times New Roman" w:cs="Times New Roman"/>
          <w:b/>
          <w:bCs/>
          <w:kern w:val="36"/>
          <w:sz w:val="48"/>
          <w:szCs w:val="48"/>
        </w:rPr>
      </w:pPr>
      <w:r w:rsidRPr="003018E5">
        <w:rPr>
          <w:rFonts w:ascii="Calibri" w:eastAsia="Times New Roman" w:hAnsi="Calibri" w:cs="Calibri"/>
          <w:b/>
          <w:bCs/>
          <w:color w:val="000000"/>
          <w:kern w:val="36"/>
          <w:sz w:val="40"/>
          <w:szCs w:val="40"/>
        </w:rPr>
        <w:t>Framing</w:t>
      </w:r>
    </w:p>
    <w:p w14:paraId="662EF5AF"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26"/>
          <w:szCs w:val="26"/>
        </w:rPr>
        <w:t>Framing for this round is focusing on the discussion of the settler-colonial narrative and how to best address its impact within the world in order to address the consistent narrative. Descendants of colonizers who live on stolen lands have a responsibility to address the perpetual system of settler colonialism. Settler colonialism works to erase indigenous histories and cultures, normalizing their deaths and locking them into a system that perpetuates settlers’ usage of stolen land.</w:t>
      </w:r>
    </w:p>
    <w:p w14:paraId="32941AA2" w14:textId="77777777" w:rsidR="00F84335" w:rsidRPr="003018E5" w:rsidRDefault="00F84335" w:rsidP="00F84335">
      <w:pPr>
        <w:spacing w:after="0" w:line="240" w:lineRule="auto"/>
        <w:rPr>
          <w:rFonts w:ascii="Times New Roman" w:eastAsia="Times New Roman" w:hAnsi="Times New Roman" w:cs="Times New Roman"/>
          <w:sz w:val="24"/>
          <w:szCs w:val="24"/>
        </w:rPr>
      </w:pPr>
    </w:p>
    <w:p w14:paraId="76CE8D71" w14:textId="77777777" w:rsidR="00F84335" w:rsidRPr="003018E5" w:rsidRDefault="00F84335" w:rsidP="00F84335">
      <w:pPr>
        <w:spacing w:after="0" w:line="240" w:lineRule="auto"/>
        <w:outlineLvl w:val="1"/>
        <w:rPr>
          <w:rFonts w:ascii="Times New Roman" w:eastAsia="Times New Roman" w:hAnsi="Times New Roman" w:cs="Times New Roman"/>
          <w:b/>
          <w:bCs/>
          <w:sz w:val="36"/>
          <w:szCs w:val="36"/>
        </w:rPr>
      </w:pPr>
      <w:r w:rsidRPr="003018E5">
        <w:rPr>
          <w:rFonts w:ascii="Calibri" w:eastAsia="Times New Roman" w:hAnsi="Calibri" w:cs="Calibri"/>
          <w:b/>
          <w:bCs/>
          <w:color w:val="000000"/>
          <w:sz w:val="24"/>
          <w:szCs w:val="24"/>
          <w:u w:val="single"/>
        </w:rPr>
        <w:t>Cox 17:</w:t>
      </w:r>
    </w:p>
    <w:p w14:paraId="6D152B06"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 xml:space="preserve">Alicia Cox 26 July 2017. “Settler Colonialism.” </w:t>
      </w:r>
      <w:r w:rsidRPr="003018E5">
        <w:rPr>
          <w:rFonts w:ascii="Calibri" w:eastAsia="Times New Roman" w:hAnsi="Calibri" w:cs="Calibri"/>
          <w:i/>
          <w:iCs/>
          <w:color w:val="000000"/>
          <w:sz w:val="16"/>
          <w:szCs w:val="16"/>
        </w:rPr>
        <w:t>Oxford Bibliographies</w:t>
      </w:r>
      <w:r w:rsidRPr="003018E5">
        <w:rPr>
          <w:rFonts w:ascii="Calibri" w:eastAsia="Times New Roman" w:hAnsi="Calibri" w:cs="Calibri"/>
          <w:color w:val="000000"/>
          <w:sz w:val="16"/>
          <w:szCs w:val="16"/>
        </w:rPr>
        <w:t>, https://www.oxfordbibliographies.com/view/document/obo-9780190221911/obo-9780190221911-0029.xml.</w:t>
      </w:r>
    </w:p>
    <w:p w14:paraId="60207280" w14:textId="77777777" w:rsidR="00F84335" w:rsidRPr="003018E5" w:rsidRDefault="00F84335" w:rsidP="00F84335">
      <w:pPr>
        <w:spacing w:after="0" w:line="240" w:lineRule="auto"/>
        <w:rPr>
          <w:rFonts w:ascii="Times New Roman" w:eastAsia="Times New Roman" w:hAnsi="Times New Roman" w:cs="Times New Roman"/>
          <w:sz w:val="24"/>
          <w:szCs w:val="24"/>
        </w:rPr>
      </w:pPr>
    </w:p>
    <w:p w14:paraId="57D572F0"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4"/>
          <w:szCs w:val="24"/>
          <w:u w:val="single"/>
          <w:shd w:val="clear" w:color="auto" w:fill="FFFF00"/>
        </w:rPr>
        <w:t>Settler colonialism is an ongoing system of power that perpetuates the genocide and repression of indigenous peoples and cultures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 xml:space="preserve">Essentially hegemonic in scope, settler colonialism </w:t>
      </w:r>
      <w:proofErr w:type="spellStart"/>
      <w:r w:rsidRPr="003018E5">
        <w:rPr>
          <w:rFonts w:ascii="Calibri" w:eastAsia="Times New Roman" w:hAnsi="Calibri" w:cs="Calibri"/>
          <w:b/>
          <w:bCs/>
          <w:color w:val="000000"/>
          <w:sz w:val="24"/>
          <w:szCs w:val="24"/>
          <w:u w:val="single"/>
          <w:shd w:val="clear" w:color="auto" w:fill="FFFF00"/>
        </w:rPr>
        <w:t>normaliz</w:t>
      </w:r>
      <w:proofErr w:type="spellEnd"/>
      <w:r w:rsidRPr="003018E5">
        <w:rPr>
          <w:rFonts w:ascii="Calibri" w:eastAsia="Times New Roman" w:hAnsi="Calibri" w:cs="Calibri"/>
          <w:b/>
          <w:bCs/>
          <w:color w:val="000000"/>
          <w:sz w:val="24"/>
          <w:szCs w:val="24"/>
          <w:u w:val="single"/>
          <w:shd w:val="clear" w:color="auto" w:fill="FFFF00"/>
        </w:rPr>
        <w:t>[</w:t>
      </w:r>
      <w:proofErr w:type="spellStart"/>
      <w:r w:rsidRPr="003018E5">
        <w:rPr>
          <w:rFonts w:ascii="Calibri" w:eastAsia="Times New Roman" w:hAnsi="Calibri" w:cs="Calibri"/>
          <w:b/>
          <w:bCs/>
          <w:color w:val="000000"/>
          <w:sz w:val="24"/>
          <w:szCs w:val="24"/>
          <w:u w:val="single"/>
          <w:shd w:val="clear" w:color="auto" w:fill="FFFF00"/>
        </w:rPr>
        <w:t>ing</w:t>
      </w:r>
      <w:proofErr w:type="spellEnd"/>
      <w:r w:rsidRPr="003018E5">
        <w:rPr>
          <w:rFonts w:ascii="Calibri" w:eastAsia="Times New Roman" w:hAnsi="Calibri" w:cs="Calibri"/>
          <w:b/>
          <w:bCs/>
          <w:color w:val="000000"/>
          <w:sz w:val="24"/>
          <w:szCs w:val="24"/>
          <w:u w:val="single"/>
          <w:shd w:val="clear" w:color="auto" w:fill="FFFF00"/>
        </w:rPr>
        <w:t>]</w:t>
      </w:r>
      <w:r w:rsidRPr="003018E5">
        <w:rPr>
          <w:rFonts w:ascii="Calibri" w:eastAsia="Times New Roman" w:hAnsi="Calibri" w:cs="Calibri"/>
          <w:b/>
          <w:bCs/>
          <w:color w:val="000000"/>
          <w:sz w:val="24"/>
          <w:szCs w:val="24"/>
          <w:u w:val="single"/>
        </w:rPr>
        <w:t xml:space="preserve"> </w:t>
      </w:r>
      <w:r w:rsidRPr="003018E5">
        <w:rPr>
          <w:rFonts w:ascii="Calibri" w:eastAsia="Times New Roman" w:hAnsi="Calibri" w:cs="Calibri"/>
          <w:color w:val="000000"/>
          <w:sz w:val="16"/>
          <w:szCs w:val="16"/>
        </w:rPr>
        <w:t xml:space="preserve">the </w:t>
      </w:r>
      <w:r w:rsidRPr="003018E5">
        <w:rPr>
          <w:rFonts w:ascii="Calibri" w:eastAsia="Times New Roman" w:hAnsi="Calibri" w:cs="Calibri"/>
          <w:b/>
          <w:bCs/>
          <w:color w:val="000000"/>
          <w:sz w:val="24"/>
          <w:szCs w:val="24"/>
          <w:u w:val="single"/>
          <w:shd w:val="clear" w:color="auto" w:fill="FFFF00"/>
        </w:rPr>
        <w:t>continuous settler occupation, exploiting lands and resources to which indigenous peoples have genealogical relationships</w:t>
      </w:r>
      <w:r w:rsidRPr="003018E5">
        <w:rPr>
          <w:rFonts w:ascii="Calibri" w:eastAsia="Times New Roman" w:hAnsi="Calibri" w:cs="Calibri"/>
          <w:color w:val="000000"/>
          <w:sz w:val="24"/>
          <w:szCs w:val="24"/>
          <w:shd w:val="clear" w:color="auto" w:fill="FFFF00"/>
        </w:rPr>
        <w:t xml:space="preserve">. </w:t>
      </w:r>
      <w:r w:rsidRPr="003018E5">
        <w:rPr>
          <w:rFonts w:ascii="Calibri" w:eastAsia="Times New Roman" w:hAnsi="Calibri" w:cs="Calibri"/>
          <w:b/>
          <w:bCs/>
          <w:color w:val="000000"/>
          <w:sz w:val="24"/>
          <w:szCs w:val="24"/>
          <w:u w:val="single"/>
          <w:shd w:val="clear" w:color="auto" w:fill="FFFF00"/>
        </w:rPr>
        <w:t>Settler colonialism includes interlocking forms of oppression, including racism, white supremacy, heteropatriarchy, and capitalism</w:t>
      </w:r>
      <w:r w:rsidRPr="003018E5">
        <w:rPr>
          <w:rFonts w:ascii="Calibri" w:eastAsia="Times New Roman" w:hAnsi="Calibri" w:cs="Calibri"/>
          <w:color w:val="000000"/>
          <w:sz w:val="24"/>
          <w:szCs w:val="24"/>
          <w:shd w:val="clear" w:color="auto" w:fill="FFFF00"/>
        </w:rPr>
        <w:t>.</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 xml:space="preserve">This is because settler colonizers are Eurocentric and assume that European values with respect to ethnic, and therefore moral, superiority are inevitable and natural. However, these </w:t>
      </w:r>
      <w:r w:rsidRPr="003018E5">
        <w:rPr>
          <w:rFonts w:ascii="Calibri" w:eastAsia="Times New Roman" w:hAnsi="Calibri" w:cs="Calibri"/>
          <w:b/>
          <w:bCs/>
          <w:color w:val="000000"/>
          <w:sz w:val="24"/>
          <w:szCs w:val="24"/>
          <w:u w:val="single"/>
          <w:shd w:val="clear" w:color="auto" w:fill="FFFF00"/>
        </w:rPr>
        <w:t>intersecting dimensions of settler colonialism coalesce around the dispossession of indigenous peoples</w:t>
      </w:r>
      <w:r w:rsidRPr="003018E5">
        <w:rPr>
          <w:rFonts w:ascii="Calibri" w:eastAsia="Times New Roman" w:hAnsi="Calibri" w:cs="Calibri"/>
          <w:b/>
          <w:bCs/>
          <w:color w:val="000000"/>
          <w:sz w:val="24"/>
          <w:szCs w:val="24"/>
          <w:u w:val="single"/>
        </w:rPr>
        <w:t>’ lands, resources, and cultures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The evolving field of settler colonialism studies arose from scholarship in Native American and indigenous studies that engages with postcolonial studies and critiques the post- in “postcolonial” as inappropriate for understanding ongoing systems of domination</w:t>
      </w:r>
      <w:r w:rsidRPr="003018E5">
        <w:rPr>
          <w:rFonts w:ascii="Calibri" w:eastAsia="Times New Roman" w:hAnsi="Calibri" w:cs="Calibri"/>
          <w:color w:val="000000"/>
          <w:sz w:val="24"/>
          <w:szCs w:val="24"/>
          <w:shd w:val="clear" w:color="auto" w:fill="FFFF00"/>
        </w:rPr>
        <w:t xml:space="preserve"> </w:t>
      </w:r>
      <w:r w:rsidRPr="003018E5">
        <w:rPr>
          <w:rFonts w:ascii="Calibri" w:eastAsia="Times New Roman" w:hAnsi="Calibri" w:cs="Calibri"/>
          <w:b/>
          <w:bCs/>
          <w:color w:val="000000"/>
          <w:sz w:val="24"/>
          <w:szCs w:val="24"/>
          <w:u w:val="single"/>
          <w:shd w:val="clear" w:color="auto" w:fill="FFFF00"/>
        </w:rPr>
        <w:t>in such places as the United States</w:t>
      </w:r>
      <w:r w:rsidRPr="003018E5">
        <w:rPr>
          <w:rFonts w:ascii="Calibri" w:eastAsia="Times New Roman" w:hAnsi="Calibri" w:cs="Calibri"/>
          <w:color w:val="000000"/>
          <w:sz w:val="24"/>
          <w:szCs w:val="24"/>
          <w:shd w:val="clear" w:color="auto" w:fill="FFFF00"/>
        </w:rPr>
        <w:t>,</w:t>
      </w:r>
      <w:r w:rsidRPr="003018E5">
        <w:rPr>
          <w:rFonts w:ascii="Calibri" w:eastAsia="Times New Roman" w:hAnsi="Calibri" w:cs="Calibri"/>
          <w:color w:val="000000"/>
          <w:sz w:val="16"/>
          <w:szCs w:val="16"/>
        </w:rPr>
        <w:t xml:space="preserve"> Canada, Australia, and New Zealand, where </w:t>
      </w:r>
      <w:r w:rsidRPr="003018E5">
        <w:rPr>
          <w:rFonts w:ascii="Calibri" w:eastAsia="Times New Roman" w:hAnsi="Calibri" w:cs="Calibri"/>
          <w:b/>
          <w:bCs/>
          <w:color w:val="000000"/>
          <w:sz w:val="24"/>
          <w:szCs w:val="24"/>
          <w:u w:val="single"/>
          <w:shd w:val="clear" w:color="auto" w:fill="FFFF00"/>
        </w:rPr>
        <w:t>colonialism is not a thing of the past because the settlers have come to stay, displacing the indigenous peoples and perpetuating systems that continue to erase native lives, cultures, and histories.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Foundational theories in settler colonialism studies distinguish settler colonialism from classical colonialism through work that demonstrates that settler colonizers destroy indigenous peoples and cultures in order to replace them and establish themselves as the new rightful inhabitants. In other words, settler colonizers do not merely exploit indigenous peoples and lands for labor and economic interests; they displace them through settlements. In his groundbreaking theory of the “logic of elimination,” Patrick Wolfe shows that</w:t>
      </w:r>
      <w:r w:rsidRPr="003018E5">
        <w:rPr>
          <w:rFonts w:ascii="Calibri" w:eastAsia="Times New Roman" w:hAnsi="Calibri" w:cs="Calibri"/>
          <w:b/>
          <w:bCs/>
          <w:color w:val="000000"/>
          <w:sz w:val="24"/>
          <w:szCs w:val="24"/>
          <w:u w:val="single"/>
        </w:rPr>
        <w:t xml:space="preserve"> settler colonialism is a system</w:t>
      </w:r>
      <w:r w:rsidRPr="003018E5">
        <w:rPr>
          <w:rFonts w:ascii="Calibri" w:eastAsia="Times New Roman" w:hAnsi="Calibri" w:cs="Calibri"/>
          <w:color w:val="000000"/>
          <w:sz w:val="24"/>
          <w:szCs w:val="24"/>
        </w:rPr>
        <w:t>,</w:t>
      </w:r>
      <w:r w:rsidRPr="003018E5">
        <w:rPr>
          <w:rFonts w:ascii="Calibri" w:eastAsia="Times New Roman" w:hAnsi="Calibri" w:cs="Calibri"/>
          <w:color w:val="000000"/>
          <w:sz w:val="16"/>
          <w:szCs w:val="16"/>
        </w:rPr>
        <w:t xml:space="preserve"> not a historical event, and </w:t>
      </w:r>
      <w:r w:rsidRPr="003018E5">
        <w:rPr>
          <w:rFonts w:ascii="Calibri" w:eastAsia="Times New Roman" w:hAnsi="Calibri" w:cs="Calibri"/>
          <w:b/>
          <w:bCs/>
          <w:color w:val="000000"/>
          <w:sz w:val="24"/>
          <w:szCs w:val="24"/>
          <w:u w:val="single"/>
        </w:rPr>
        <w:t xml:space="preserve">that </w:t>
      </w:r>
      <w:r w:rsidRPr="003018E5">
        <w:rPr>
          <w:rFonts w:ascii="Calibri" w:eastAsia="Times New Roman" w:hAnsi="Calibri" w:cs="Calibri"/>
          <w:color w:val="000000"/>
          <w:sz w:val="16"/>
          <w:szCs w:val="16"/>
        </w:rPr>
        <w:t xml:space="preserve">as such it </w:t>
      </w:r>
      <w:r w:rsidRPr="003018E5">
        <w:rPr>
          <w:rFonts w:ascii="Calibri" w:eastAsia="Times New Roman" w:hAnsi="Calibri" w:cs="Calibri"/>
          <w:b/>
          <w:bCs/>
          <w:color w:val="000000"/>
          <w:sz w:val="24"/>
          <w:szCs w:val="24"/>
          <w:u w:val="single"/>
        </w:rPr>
        <w:t>perpetuates the erasure of native peoples as a precondition for settler expropriation of lands and resources</w:t>
      </w:r>
      <w:r w:rsidRPr="003018E5">
        <w:rPr>
          <w:rFonts w:ascii="Calibri" w:eastAsia="Times New Roman" w:hAnsi="Calibri" w:cs="Calibri"/>
          <w:color w:val="000000"/>
          <w:sz w:val="24"/>
          <w:szCs w:val="24"/>
        </w:rPr>
        <w:t>,</w:t>
      </w:r>
      <w:r w:rsidRPr="003018E5">
        <w:rPr>
          <w:rFonts w:ascii="Calibri" w:eastAsia="Times New Roman" w:hAnsi="Calibri" w:cs="Calibri"/>
          <w:color w:val="000000"/>
          <w:sz w:val="16"/>
          <w:szCs w:val="16"/>
        </w:rPr>
        <w:t xml:space="preserve"> providing the necessary conditions for establishing the present-day ideology of multicultural neoliberalism.</w:t>
      </w:r>
    </w:p>
    <w:p w14:paraId="32A7443E" w14:textId="77777777" w:rsidR="00F84335" w:rsidRPr="003018E5" w:rsidRDefault="00F84335" w:rsidP="00F84335">
      <w:pPr>
        <w:spacing w:after="240" w:line="240" w:lineRule="auto"/>
        <w:rPr>
          <w:rFonts w:ascii="Times New Roman" w:eastAsia="Times New Roman" w:hAnsi="Times New Roman" w:cs="Times New Roman"/>
          <w:sz w:val="24"/>
          <w:szCs w:val="24"/>
        </w:rPr>
      </w:pPr>
    </w:p>
    <w:p w14:paraId="55F1DD4F" w14:textId="77777777" w:rsidR="00F84335" w:rsidRPr="003018E5" w:rsidRDefault="00F84335" w:rsidP="00F84335">
      <w:pPr>
        <w:spacing w:before="400" w:after="120" w:line="240" w:lineRule="auto"/>
        <w:jc w:val="center"/>
        <w:outlineLvl w:val="0"/>
        <w:rPr>
          <w:rFonts w:ascii="Times New Roman" w:eastAsia="Times New Roman" w:hAnsi="Times New Roman" w:cs="Times New Roman"/>
          <w:b/>
          <w:bCs/>
          <w:kern w:val="36"/>
          <w:sz w:val="48"/>
          <w:szCs w:val="48"/>
        </w:rPr>
      </w:pPr>
      <w:r w:rsidRPr="003018E5">
        <w:rPr>
          <w:rFonts w:ascii="Calibri" w:eastAsia="Times New Roman" w:hAnsi="Calibri" w:cs="Calibri"/>
          <w:b/>
          <w:bCs/>
          <w:color w:val="000000"/>
          <w:kern w:val="36"/>
          <w:sz w:val="40"/>
          <w:szCs w:val="40"/>
        </w:rPr>
        <w:t>Link</w:t>
      </w:r>
    </w:p>
    <w:p w14:paraId="3AC3F0EC"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6"/>
          <w:szCs w:val="26"/>
        </w:rPr>
        <w:t>The affirmation of the resolution continues to push the narrative of the “white man’s burden”, as well as perpetuating the United States as a legitimate government and owner of the land that it occupies, as the World Trade Organization originated through the push of the United States and other Western nations to create an international trading system.</w:t>
      </w:r>
    </w:p>
    <w:p w14:paraId="09FE63AE" w14:textId="77777777" w:rsidR="00F84335" w:rsidRPr="003018E5" w:rsidRDefault="00F84335" w:rsidP="00F84335">
      <w:pPr>
        <w:spacing w:after="0" w:line="240" w:lineRule="auto"/>
        <w:rPr>
          <w:rFonts w:ascii="Times New Roman" w:eastAsia="Times New Roman" w:hAnsi="Times New Roman" w:cs="Times New Roman"/>
          <w:sz w:val="24"/>
          <w:szCs w:val="24"/>
        </w:rPr>
      </w:pPr>
    </w:p>
    <w:p w14:paraId="7F42CACC" w14:textId="77777777" w:rsidR="00F84335" w:rsidRPr="003018E5" w:rsidRDefault="00F84335" w:rsidP="00F84335">
      <w:pPr>
        <w:spacing w:after="0" w:line="240" w:lineRule="auto"/>
        <w:outlineLvl w:val="1"/>
        <w:rPr>
          <w:rFonts w:ascii="Times New Roman" w:eastAsia="Times New Roman" w:hAnsi="Times New Roman" w:cs="Times New Roman"/>
          <w:b/>
          <w:bCs/>
          <w:sz w:val="36"/>
          <w:szCs w:val="36"/>
        </w:rPr>
      </w:pPr>
      <w:r w:rsidRPr="003018E5">
        <w:rPr>
          <w:rFonts w:ascii="Calibri" w:eastAsia="Times New Roman" w:hAnsi="Calibri" w:cs="Calibri"/>
          <w:b/>
          <w:bCs/>
          <w:color w:val="000000"/>
          <w:sz w:val="24"/>
          <w:szCs w:val="24"/>
          <w:u w:val="single"/>
        </w:rPr>
        <w:t>Cimino-Isaacs et al. 20:</w:t>
      </w:r>
    </w:p>
    <w:p w14:paraId="406AE3FA" w14:textId="77777777" w:rsidR="00F84335" w:rsidRPr="003018E5" w:rsidRDefault="00F84335" w:rsidP="00F84335">
      <w:pPr>
        <w:spacing w:after="0" w:line="240" w:lineRule="auto"/>
        <w:rPr>
          <w:rFonts w:ascii="Times New Roman" w:eastAsia="Times New Roman" w:hAnsi="Times New Roman" w:cs="Times New Roman"/>
          <w:sz w:val="24"/>
          <w:szCs w:val="24"/>
        </w:rPr>
      </w:pPr>
    </w:p>
    <w:p w14:paraId="5FB8CF00"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 xml:space="preserve">Cathleen D. Cimino-Isaacs, Coordinator Analyst in International Trade and </w:t>
      </w:r>
      <w:proofErr w:type="gramStart"/>
      <w:r w:rsidRPr="003018E5">
        <w:rPr>
          <w:rFonts w:ascii="Calibri" w:eastAsia="Times New Roman" w:hAnsi="Calibri" w:cs="Calibri"/>
          <w:color w:val="000000"/>
          <w:sz w:val="16"/>
          <w:szCs w:val="16"/>
        </w:rPr>
        <w:t>Finance,  Rachel</w:t>
      </w:r>
      <w:proofErr w:type="gramEnd"/>
      <w:r w:rsidRPr="003018E5">
        <w:rPr>
          <w:rFonts w:ascii="Calibri" w:eastAsia="Times New Roman" w:hAnsi="Calibri" w:cs="Calibri"/>
          <w:color w:val="000000"/>
          <w:sz w:val="16"/>
          <w:szCs w:val="16"/>
        </w:rPr>
        <w:t xml:space="preserve"> F. </w:t>
      </w:r>
      <w:proofErr w:type="spellStart"/>
      <w:r w:rsidRPr="003018E5">
        <w:rPr>
          <w:rFonts w:ascii="Calibri" w:eastAsia="Times New Roman" w:hAnsi="Calibri" w:cs="Calibri"/>
          <w:color w:val="000000"/>
          <w:sz w:val="16"/>
          <w:szCs w:val="16"/>
        </w:rPr>
        <w:t>Fefer</w:t>
      </w:r>
      <w:proofErr w:type="spellEnd"/>
      <w:r w:rsidRPr="003018E5">
        <w:rPr>
          <w:rFonts w:ascii="Calibri" w:eastAsia="Times New Roman" w:hAnsi="Calibri" w:cs="Calibri"/>
          <w:color w:val="000000"/>
          <w:sz w:val="16"/>
          <w:szCs w:val="16"/>
        </w:rPr>
        <w:t xml:space="preserve">, Analyst in International Trade and Finance, and Ian F. Fergusson, Specialist in International Trade and Finance. “World Trade Organization: Organization and Future Direction.” </w:t>
      </w:r>
      <w:r w:rsidRPr="003018E5">
        <w:rPr>
          <w:rFonts w:ascii="Calibri" w:eastAsia="Times New Roman" w:hAnsi="Calibri" w:cs="Calibri"/>
          <w:i/>
          <w:iCs/>
          <w:color w:val="000000"/>
          <w:sz w:val="16"/>
          <w:szCs w:val="16"/>
        </w:rPr>
        <w:t>Congressional Research Service</w:t>
      </w:r>
      <w:r w:rsidRPr="003018E5">
        <w:rPr>
          <w:rFonts w:ascii="Calibri" w:eastAsia="Times New Roman" w:hAnsi="Calibri" w:cs="Calibri"/>
          <w:color w:val="000000"/>
          <w:sz w:val="16"/>
          <w:szCs w:val="16"/>
        </w:rPr>
        <w:t>, August 21 2020, https://crsreports.congress.gov/product/pdf/R/R45417.</w:t>
      </w:r>
    </w:p>
    <w:p w14:paraId="4FEA2364" w14:textId="77777777" w:rsidR="00F84335" w:rsidRPr="003018E5" w:rsidRDefault="00F84335" w:rsidP="00F84335">
      <w:pPr>
        <w:spacing w:after="0" w:line="240" w:lineRule="auto"/>
        <w:rPr>
          <w:rFonts w:ascii="Times New Roman" w:eastAsia="Times New Roman" w:hAnsi="Times New Roman" w:cs="Times New Roman"/>
          <w:sz w:val="24"/>
          <w:szCs w:val="24"/>
        </w:rPr>
      </w:pPr>
    </w:p>
    <w:p w14:paraId="645C9ED9"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Historically</w:t>
      </w:r>
      <w:r w:rsidRPr="003018E5">
        <w:rPr>
          <w:rFonts w:ascii="Calibri" w:eastAsia="Times New Roman" w:hAnsi="Calibri" w:cs="Calibri"/>
          <w:color w:val="000000"/>
          <w:sz w:val="24"/>
          <w:szCs w:val="24"/>
        </w:rPr>
        <w:t>,</w:t>
      </w:r>
      <w:r w:rsidRPr="003018E5">
        <w:rPr>
          <w:rFonts w:ascii="Calibri" w:eastAsia="Times New Roman" w:hAnsi="Calibri" w:cs="Calibri"/>
          <w:b/>
          <w:bCs/>
          <w:color w:val="000000"/>
          <w:sz w:val="24"/>
          <w:szCs w:val="24"/>
          <w:u w:val="single"/>
        </w:rPr>
        <w:t xml:space="preserve"> </w:t>
      </w:r>
      <w:r w:rsidRPr="003018E5">
        <w:rPr>
          <w:rFonts w:ascii="Calibri" w:eastAsia="Times New Roman" w:hAnsi="Calibri" w:cs="Calibri"/>
          <w:b/>
          <w:bCs/>
          <w:color w:val="000000"/>
          <w:sz w:val="24"/>
          <w:szCs w:val="24"/>
          <w:u w:val="single"/>
          <w:shd w:val="clear" w:color="auto" w:fill="FFFF00"/>
        </w:rPr>
        <w:t>the United States’ leadership of the global trading system has ensured the United States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 xml:space="preserve">a seat at the table to </w:t>
      </w:r>
      <w:r w:rsidRPr="003018E5">
        <w:rPr>
          <w:rFonts w:ascii="Calibri" w:eastAsia="Times New Roman" w:hAnsi="Calibri" w:cs="Calibri"/>
          <w:b/>
          <w:bCs/>
          <w:color w:val="000000"/>
          <w:sz w:val="24"/>
          <w:szCs w:val="24"/>
          <w:u w:val="single"/>
          <w:shd w:val="clear" w:color="auto" w:fill="FFFF00"/>
        </w:rPr>
        <w:t>shape[s] the international trade agenda in ways that</w:t>
      </w:r>
      <w:r w:rsidRPr="003018E5">
        <w:rPr>
          <w:rFonts w:ascii="Calibri" w:eastAsia="Times New Roman" w:hAnsi="Calibri" w:cs="Calibri"/>
          <w:color w:val="000000"/>
          <w:sz w:val="24"/>
          <w:szCs w:val="24"/>
        </w:rPr>
        <w:t xml:space="preserve"> both </w:t>
      </w:r>
      <w:r w:rsidRPr="003018E5">
        <w:rPr>
          <w:rFonts w:ascii="Calibri" w:eastAsia="Times New Roman" w:hAnsi="Calibri" w:cs="Calibri"/>
          <w:b/>
          <w:bCs/>
          <w:color w:val="000000"/>
          <w:sz w:val="24"/>
          <w:szCs w:val="24"/>
          <w:u w:val="single"/>
          <w:shd w:val="clear" w:color="auto" w:fill="FFFF00"/>
        </w:rPr>
        <w:t>advance and defend U.S. interests</w:t>
      </w:r>
      <w:r w:rsidRPr="003018E5">
        <w:rPr>
          <w:rFonts w:ascii="Calibri" w:eastAsia="Times New Roman" w:hAnsi="Calibri" w:cs="Calibri"/>
          <w:color w:val="000000"/>
          <w:sz w:val="24"/>
          <w:szCs w:val="24"/>
          <w:shd w:val="clear" w:color="auto" w:fill="FFFF00"/>
        </w:rPr>
        <w:t>.</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 xml:space="preserve">The evolution of U.S. leadership and the global trading system remain of interest to Congress, which holds constitutional authority over foreign commerce and establishes general and principal U.S. trade negotiating objectives through legislation. </w:t>
      </w:r>
      <w:r w:rsidRPr="003018E5">
        <w:rPr>
          <w:rFonts w:ascii="Calibri" w:eastAsia="Times New Roman" w:hAnsi="Calibri" w:cs="Calibri"/>
          <w:b/>
          <w:bCs/>
          <w:color w:val="000000"/>
          <w:sz w:val="24"/>
          <w:szCs w:val="24"/>
          <w:u w:val="single"/>
          <w:shd w:val="clear" w:color="auto" w:fill="FFFF00"/>
        </w:rPr>
        <w:t xml:space="preserve">Congress has recognized the </w:t>
      </w:r>
      <w:r w:rsidRPr="003018E5">
        <w:rPr>
          <w:rFonts w:ascii="Calibri" w:eastAsia="Times New Roman" w:hAnsi="Calibri" w:cs="Calibri"/>
          <w:b/>
          <w:bCs/>
          <w:color w:val="000000"/>
          <w:sz w:val="24"/>
          <w:szCs w:val="24"/>
          <w:u w:val="single"/>
        </w:rPr>
        <w:t>World Trade Organization</w:t>
      </w:r>
      <w:r w:rsidRPr="003018E5">
        <w:rPr>
          <w:rFonts w:ascii="Calibri" w:eastAsia="Times New Roman" w:hAnsi="Calibri" w:cs="Calibri"/>
          <w:b/>
          <w:bCs/>
          <w:color w:val="000000"/>
          <w:sz w:val="24"/>
          <w:szCs w:val="24"/>
          <w:u w:val="single"/>
          <w:shd w:val="clear" w:color="auto" w:fill="FFFF00"/>
        </w:rPr>
        <w:t xml:space="preserve"> (WTO) as the “foundation of the global trading system”</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within trade promotion authority (TPA)</w:t>
      </w:r>
      <w:r w:rsidRPr="003018E5">
        <w:rPr>
          <w:rFonts w:ascii="Calibri" w:eastAsia="Times New Roman" w:hAnsi="Calibri" w:cs="Calibri"/>
          <w:color w:val="000000"/>
          <w:sz w:val="24"/>
          <w:szCs w:val="24"/>
        </w:rPr>
        <w:t xml:space="preserve"> </w:t>
      </w:r>
      <w:r w:rsidRPr="003018E5">
        <w:rPr>
          <w:rFonts w:ascii="Calibri" w:eastAsia="Times New Roman" w:hAnsi="Calibri" w:cs="Calibri"/>
          <w:b/>
          <w:bCs/>
          <w:color w:val="000000"/>
          <w:sz w:val="24"/>
          <w:szCs w:val="24"/>
          <w:u w:val="single"/>
        </w:rPr>
        <w:t>and plays a direct legislative and oversight role over WTO agreements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The statutory basis for U.S. WTO membership is the Uruguay Round Agreements Act (P.L. 103-465), and U.S. priorities and objectives for the General Agreement on Tariffs and Trade (GATT)/WTO have been reflected in various TPA legislation since 1974. Congress also has oversight of the U.S. Trade Representative and other agencies that participate in WTO meetings and enforce WTO commitments.</w:t>
      </w:r>
    </w:p>
    <w:p w14:paraId="5046DDC5"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The WTO is a 164-member international organization that was created to oversee and administer multilateral trade rules, serve as a forum for trade liberalization negotiations, and resolve trade disputes.</w:t>
      </w:r>
      <w:r w:rsidRPr="003018E5">
        <w:rPr>
          <w:rFonts w:ascii="Calibri" w:eastAsia="Times New Roman" w:hAnsi="Calibri" w:cs="Calibri"/>
          <w:color w:val="000000"/>
          <w:sz w:val="24"/>
          <w:szCs w:val="24"/>
        </w:rPr>
        <w:t xml:space="preserve"> </w:t>
      </w:r>
      <w:r w:rsidRPr="003018E5">
        <w:rPr>
          <w:rFonts w:ascii="Calibri" w:eastAsia="Times New Roman" w:hAnsi="Calibri" w:cs="Calibri"/>
          <w:b/>
          <w:bCs/>
          <w:color w:val="000000"/>
          <w:sz w:val="24"/>
          <w:szCs w:val="24"/>
          <w:u w:val="single"/>
          <w:shd w:val="clear" w:color="auto" w:fill="FFFF00"/>
        </w:rPr>
        <w:t>The U</w:t>
      </w:r>
      <w:r w:rsidRPr="003018E5">
        <w:rPr>
          <w:rFonts w:ascii="Calibri" w:eastAsia="Times New Roman" w:hAnsi="Calibri" w:cs="Calibri"/>
          <w:b/>
          <w:bCs/>
          <w:color w:val="000000"/>
          <w:sz w:val="24"/>
          <w:szCs w:val="24"/>
          <w:u w:val="single"/>
        </w:rPr>
        <w:t>nited</w:t>
      </w:r>
      <w:r w:rsidRPr="003018E5">
        <w:rPr>
          <w:rFonts w:ascii="Calibri" w:eastAsia="Times New Roman" w:hAnsi="Calibri" w:cs="Calibri"/>
          <w:b/>
          <w:bCs/>
          <w:color w:val="000000"/>
          <w:sz w:val="24"/>
          <w:szCs w:val="24"/>
          <w:u w:val="single"/>
          <w:shd w:val="clear" w:color="auto" w:fill="FFFF00"/>
        </w:rPr>
        <w:t xml:space="preserve"> S</w:t>
      </w:r>
      <w:r w:rsidRPr="003018E5">
        <w:rPr>
          <w:rFonts w:ascii="Calibri" w:eastAsia="Times New Roman" w:hAnsi="Calibri" w:cs="Calibri"/>
          <w:b/>
          <w:bCs/>
          <w:color w:val="000000"/>
          <w:sz w:val="24"/>
          <w:szCs w:val="24"/>
          <w:u w:val="single"/>
        </w:rPr>
        <w:t>tates</w:t>
      </w:r>
      <w:r w:rsidRPr="003018E5">
        <w:rPr>
          <w:rFonts w:ascii="Calibri" w:eastAsia="Times New Roman" w:hAnsi="Calibri" w:cs="Calibri"/>
          <w:b/>
          <w:bCs/>
          <w:color w:val="000000"/>
          <w:sz w:val="24"/>
          <w:szCs w:val="24"/>
          <w:u w:val="single"/>
          <w:shd w:val="clear" w:color="auto" w:fill="FFFF00"/>
        </w:rPr>
        <w:t xml:space="preserve"> was a major force behind the establishment of the WTO</w:t>
      </w:r>
      <w:r w:rsidRPr="003018E5">
        <w:rPr>
          <w:rFonts w:ascii="Calibri" w:eastAsia="Times New Roman" w:hAnsi="Calibri" w:cs="Calibri"/>
          <w:color w:val="000000"/>
          <w:sz w:val="16"/>
          <w:szCs w:val="16"/>
        </w:rPr>
        <w:t xml:space="preserve"> in 1995, </w:t>
      </w:r>
      <w:r w:rsidRPr="003018E5">
        <w:rPr>
          <w:rFonts w:ascii="Calibri" w:eastAsia="Times New Roman" w:hAnsi="Calibri" w:cs="Calibri"/>
          <w:b/>
          <w:bCs/>
          <w:color w:val="000000"/>
          <w:sz w:val="24"/>
          <w:szCs w:val="24"/>
          <w:u w:val="single"/>
          <w:shd w:val="clear" w:color="auto" w:fill="FFFF00"/>
        </w:rPr>
        <w:t xml:space="preserve">and the </w:t>
      </w:r>
      <w:r w:rsidRPr="003018E5">
        <w:rPr>
          <w:rFonts w:ascii="Calibri" w:eastAsia="Times New Roman" w:hAnsi="Calibri" w:cs="Calibri"/>
          <w:b/>
          <w:bCs/>
          <w:color w:val="000000"/>
          <w:sz w:val="24"/>
          <w:szCs w:val="24"/>
          <w:u w:val="single"/>
        </w:rPr>
        <w:t>rules and</w:t>
      </w:r>
      <w:r w:rsidRPr="003018E5">
        <w:rPr>
          <w:rFonts w:ascii="Calibri" w:eastAsia="Times New Roman" w:hAnsi="Calibri" w:cs="Calibri"/>
          <w:b/>
          <w:bCs/>
          <w:color w:val="000000"/>
          <w:sz w:val="24"/>
          <w:szCs w:val="24"/>
          <w:u w:val="single"/>
          <w:shd w:val="clear" w:color="auto" w:fill="FFFF00"/>
        </w:rPr>
        <w:t xml:space="preserve"> agreements resulting from multilateral trade negotiations</w:t>
      </w:r>
      <w:r w:rsidRPr="003018E5">
        <w:rPr>
          <w:rFonts w:ascii="Calibri" w:eastAsia="Times New Roman" w:hAnsi="Calibri" w:cs="Calibri"/>
          <w:b/>
          <w:bCs/>
          <w:color w:val="000000"/>
          <w:sz w:val="16"/>
          <w:szCs w:val="16"/>
          <w:u w:val="single"/>
        </w:rPr>
        <w:t xml:space="preserve"> </w:t>
      </w:r>
      <w:r w:rsidRPr="003018E5">
        <w:rPr>
          <w:rFonts w:ascii="Calibri" w:eastAsia="Times New Roman" w:hAnsi="Calibri" w:cs="Calibri"/>
          <w:color w:val="000000"/>
          <w:sz w:val="16"/>
          <w:szCs w:val="16"/>
        </w:rPr>
        <w:t xml:space="preserve">since 1947. The WTO encompassed and succeeded the GATT, established in 1947 among the United States and 22 other countries. </w:t>
      </w:r>
      <w:r w:rsidRPr="003018E5">
        <w:rPr>
          <w:rFonts w:ascii="Calibri" w:eastAsia="Times New Roman" w:hAnsi="Calibri" w:cs="Calibri"/>
          <w:b/>
          <w:bCs/>
          <w:color w:val="000000"/>
          <w:sz w:val="24"/>
          <w:szCs w:val="24"/>
          <w:u w:val="single"/>
          <w:shd w:val="clear" w:color="auto" w:fill="FFFF00"/>
        </w:rPr>
        <w:t>Through the</w:t>
      </w:r>
      <w:r w:rsidRPr="003018E5">
        <w:rPr>
          <w:rFonts w:ascii="Calibri" w:eastAsia="Times New Roman" w:hAnsi="Calibri" w:cs="Calibri"/>
          <w:color w:val="000000"/>
          <w:sz w:val="16"/>
          <w:szCs w:val="16"/>
        </w:rPr>
        <w:t xml:space="preserve"> GATT and</w:t>
      </w:r>
      <w:r w:rsidRPr="003018E5">
        <w:rPr>
          <w:rFonts w:ascii="Calibri" w:eastAsia="Times New Roman" w:hAnsi="Calibri" w:cs="Calibri"/>
          <w:color w:val="000000"/>
          <w:sz w:val="24"/>
          <w:szCs w:val="24"/>
        </w:rPr>
        <w:t xml:space="preserve"> </w:t>
      </w:r>
      <w:r w:rsidRPr="003018E5">
        <w:rPr>
          <w:rFonts w:ascii="Calibri" w:eastAsia="Times New Roman" w:hAnsi="Calibri" w:cs="Calibri"/>
          <w:b/>
          <w:bCs/>
          <w:color w:val="000000"/>
          <w:sz w:val="24"/>
          <w:szCs w:val="24"/>
          <w:u w:val="single"/>
          <w:shd w:val="clear" w:color="auto" w:fill="FFFF00"/>
        </w:rPr>
        <w:t>WTO, the United States</w:t>
      </w:r>
      <w:r w:rsidRPr="003018E5">
        <w:rPr>
          <w:rFonts w:ascii="Calibri" w:eastAsia="Times New Roman" w:hAnsi="Calibri" w:cs="Calibri"/>
          <w:color w:val="000000"/>
          <w:sz w:val="16"/>
          <w:szCs w:val="16"/>
        </w:rPr>
        <w:t>, with other countries,</w:t>
      </w:r>
      <w:r w:rsidRPr="003018E5">
        <w:rPr>
          <w:rFonts w:ascii="Calibri" w:eastAsia="Times New Roman" w:hAnsi="Calibri" w:cs="Calibri"/>
          <w:b/>
          <w:bCs/>
          <w:color w:val="000000"/>
          <w:sz w:val="16"/>
          <w:szCs w:val="16"/>
          <w:u w:val="single"/>
        </w:rPr>
        <w:t xml:space="preserve"> </w:t>
      </w:r>
      <w:r w:rsidRPr="003018E5">
        <w:rPr>
          <w:rFonts w:ascii="Calibri" w:eastAsia="Times New Roman" w:hAnsi="Calibri" w:cs="Calibri"/>
          <w:b/>
          <w:bCs/>
          <w:color w:val="000000"/>
          <w:sz w:val="24"/>
          <w:szCs w:val="24"/>
          <w:u w:val="single"/>
          <w:shd w:val="clear" w:color="auto" w:fill="FFFF00"/>
        </w:rPr>
        <w:t>sought to establish a more</w:t>
      </w:r>
      <w:r w:rsidRPr="003018E5">
        <w:rPr>
          <w:rFonts w:ascii="Calibri" w:eastAsia="Times New Roman" w:hAnsi="Calibri" w:cs="Calibri"/>
          <w:b/>
          <w:bCs/>
          <w:color w:val="000000"/>
          <w:sz w:val="24"/>
          <w:szCs w:val="24"/>
          <w:u w:val="single"/>
        </w:rPr>
        <w:t xml:space="preserve"> open, </w:t>
      </w:r>
      <w:r w:rsidRPr="003018E5">
        <w:rPr>
          <w:rFonts w:ascii="Calibri" w:eastAsia="Times New Roman" w:hAnsi="Calibri" w:cs="Calibri"/>
          <w:b/>
          <w:bCs/>
          <w:color w:val="000000"/>
          <w:sz w:val="24"/>
          <w:szCs w:val="24"/>
          <w:u w:val="single"/>
          <w:shd w:val="clear" w:color="auto" w:fill="FFFF00"/>
        </w:rPr>
        <w:t>rules-based trading system in the postwar era</w:t>
      </w:r>
      <w:r w:rsidRPr="003018E5">
        <w:rPr>
          <w:rFonts w:ascii="Calibri" w:eastAsia="Times New Roman" w:hAnsi="Calibri" w:cs="Calibri"/>
          <w:color w:val="000000"/>
          <w:sz w:val="24"/>
          <w:szCs w:val="24"/>
        </w:rPr>
        <w:t>,</w:t>
      </w:r>
      <w:r w:rsidRPr="003018E5">
        <w:rPr>
          <w:rFonts w:ascii="Calibri" w:eastAsia="Times New Roman" w:hAnsi="Calibri" w:cs="Calibri"/>
          <w:color w:val="000000"/>
          <w:sz w:val="16"/>
          <w:szCs w:val="16"/>
        </w:rPr>
        <w:t xml:space="preserve"> with the goal of fostering international economic cooperation and raising economic prosperity worldwide. Today, 98% of global trade is among WTO members. </w:t>
      </w:r>
    </w:p>
    <w:p w14:paraId="49B6C0D5" w14:textId="77777777" w:rsidR="00F84335" w:rsidRPr="003018E5" w:rsidRDefault="00F84335" w:rsidP="00F84335">
      <w:pPr>
        <w:spacing w:after="0" w:line="240" w:lineRule="auto"/>
        <w:rPr>
          <w:rFonts w:ascii="Times New Roman" w:eastAsia="Times New Roman" w:hAnsi="Times New Roman" w:cs="Times New Roman"/>
          <w:sz w:val="24"/>
          <w:szCs w:val="24"/>
        </w:rPr>
      </w:pPr>
    </w:p>
    <w:p w14:paraId="0310854C"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26"/>
          <w:szCs w:val="26"/>
        </w:rPr>
        <w:t>Affirming perpetuates the establishment of the United States through the WTO, a government who forcefully colonized the land it rests upon, as the existence of the WTO is one of the things that helps the US to defend global trade interests, as well as being a result of the US taking on the “white man’s burden”, believing that they had a responsibility to raise the world’s economic prosperity and cooperation.</w:t>
      </w:r>
    </w:p>
    <w:p w14:paraId="2BD666E3" w14:textId="77777777" w:rsidR="00F84335" w:rsidRPr="003018E5" w:rsidRDefault="00F84335" w:rsidP="00F84335">
      <w:pPr>
        <w:spacing w:before="400" w:after="120" w:line="240" w:lineRule="auto"/>
        <w:jc w:val="center"/>
        <w:outlineLvl w:val="0"/>
        <w:rPr>
          <w:rFonts w:ascii="Times New Roman" w:eastAsia="Times New Roman" w:hAnsi="Times New Roman" w:cs="Times New Roman"/>
          <w:b/>
          <w:bCs/>
          <w:kern w:val="36"/>
          <w:sz w:val="48"/>
          <w:szCs w:val="48"/>
        </w:rPr>
      </w:pPr>
      <w:r w:rsidRPr="003018E5">
        <w:rPr>
          <w:rFonts w:ascii="Calibri" w:eastAsia="Times New Roman" w:hAnsi="Calibri" w:cs="Calibri"/>
          <w:b/>
          <w:bCs/>
          <w:color w:val="000000"/>
          <w:kern w:val="36"/>
          <w:sz w:val="40"/>
          <w:szCs w:val="40"/>
        </w:rPr>
        <w:t>Impact</w:t>
      </w:r>
    </w:p>
    <w:p w14:paraId="5B35E7BC"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6"/>
          <w:szCs w:val="26"/>
        </w:rPr>
        <w:t>By legitimizing the United States and helping to perpetuate its existence, the affirmative perpetuates a world of settler-colonialism, which in term continues a legacy of oppression, erasure, and genocide.</w:t>
      </w:r>
    </w:p>
    <w:p w14:paraId="3E07FCE6" w14:textId="77777777" w:rsidR="00F84335" w:rsidRPr="003018E5" w:rsidRDefault="00F84335" w:rsidP="00F84335">
      <w:pPr>
        <w:spacing w:after="0" w:line="240" w:lineRule="auto"/>
        <w:outlineLvl w:val="1"/>
        <w:rPr>
          <w:rFonts w:ascii="Times New Roman" w:eastAsia="Times New Roman" w:hAnsi="Times New Roman" w:cs="Times New Roman"/>
          <w:b/>
          <w:bCs/>
          <w:sz w:val="36"/>
          <w:szCs w:val="36"/>
        </w:rPr>
      </w:pPr>
      <w:r w:rsidRPr="003018E5">
        <w:rPr>
          <w:rFonts w:ascii="Calibri" w:eastAsia="Times New Roman" w:hAnsi="Calibri" w:cs="Calibri"/>
          <w:b/>
          <w:bCs/>
          <w:color w:val="000000"/>
          <w:sz w:val="24"/>
          <w:szCs w:val="24"/>
          <w:u w:val="single"/>
        </w:rPr>
        <w:t>Wolfe 06:</w:t>
      </w:r>
    </w:p>
    <w:p w14:paraId="537DE915"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 xml:space="preserve">Wolfe, </w:t>
      </w:r>
      <w:proofErr w:type="spellStart"/>
      <w:proofErr w:type="gramStart"/>
      <w:r w:rsidRPr="003018E5">
        <w:rPr>
          <w:rFonts w:ascii="Calibri" w:eastAsia="Times New Roman" w:hAnsi="Calibri" w:cs="Calibri"/>
          <w:color w:val="000000"/>
          <w:sz w:val="16"/>
          <w:szCs w:val="16"/>
        </w:rPr>
        <w:t>Patrick.“</w:t>
      </w:r>
      <w:proofErr w:type="gramEnd"/>
      <w:r w:rsidRPr="003018E5">
        <w:rPr>
          <w:rFonts w:ascii="Calibri" w:eastAsia="Times New Roman" w:hAnsi="Calibri" w:cs="Calibri"/>
          <w:color w:val="000000"/>
          <w:sz w:val="16"/>
          <w:szCs w:val="16"/>
        </w:rPr>
        <w:t>Settler</w:t>
      </w:r>
      <w:proofErr w:type="spellEnd"/>
      <w:r w:rsidRPr="003018E5">
        <w:rPr>
          <w:rFonts w:ascii="Calibri" w:eastAsia="Times New Roman" w:hAnsi="Calibri" w:cs="Calibri"/>
          <w:color w:val="000000"/>
          <w:sz w:val="16"/>
          <w:szCs w:val="16"/>
        </w:rPr>
        <w:t xml:space="preserve"> Colonialism and the elimination of the native.” Journal of Genocide Research, Dec 21 2006, https://www.tandfonline.com/doi/full/10.1080/14623520601056240.</w:t>
      </w:r>
    </w:p>
    <w:p w14:paraId="2063A931" w14:textId="77777777" w:rsidR="00F84335" w:rsidRPr="003018E5" w:rsidRDefault="00F84335" w:rsidP="00F84335">
      <w:pPr>
        <w:spacing w:before="260" w:after="26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The logic of elimination not only refers to the summary liquidation of Indigenous people, though it includes that. In common with genocide as Raphaël Lemkin characterized it,</w:t>
      </w:r>
      <w:hyperlink r:id="rId4" w:history="1">
        <w:r w:rsidRPr="003018E5">
          <w:rPr>
            <w:rFonts w:ascii="Calibri" w:eastAsia="Times New Roman" w:hAnsi="Calibri" w:cs="Calibri"/>
            <w:color w:val="000000"/>
            <w:sz w:val="16"/>
            <w:szCs w:val="16"/>
            <w:u w:val="single"/>
          </w:rPr>
          <w:t>6</w:t>
        </w:r>
      </w:hyperlink>
      <w:r w:rsidRPr="003018E5">
        <w:rPr>
          <w:rFonts w:ascii="Calibri" w:eastAsia="Times New Roman" w:hAnsi="Calibri" w:cs="Calibri"/>
          <w:color w:val="000000"/>
          <w:sz w:val="16"/>
          <w:szCs w:val="16"/>
          <w:u w:val="single"/>
        </w:rPr>
        <w:t xml:space="preserve"> </w:t>
      </w:r>
      <w:r w:rsidRPr="003018E5">
        <w:rPr>
          <w:rFonts w:ascii="Calibri" w:eastAsia="Times New Roman" w:hAnsi="Calibri" w:cs="Calibri"/>
          <w:b/>
          <w:bCs/>
          <w:color w:val="000000"/>
          <w:sz w:val="24"/>
          <w:szCs w:val="24"/>
          <w:u w:val="single"/>
          <w:shd w:val="clear" w:color="auto" w:fill="FFFF00"/>
        </w:rPr>
        <w:t>settler colonialism</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 xml:space="preserve">has both negative and positive dimensions. Negatively, it </w:t>
      </w:r>
      <w:r w:rsidRPr="003018E5">
        <w:rPr>
          <w:rFonts w:ascii="Calibri" w:eastAsia="Times New Roman" w:hAnsi="Calibri" w:cs="Calibri"/>
          <w:b/>
          <w:bCs/>
          <w:color w:val="000000"/>
          <w:sz w:val="24"/>
          <w:szCs w:val="24"/>
          <w:u w:val="single"/>
          <w:shd w:val="clear" w:color="auto" w:fill="FFFF00"/>
        </w:rPr>
        <w:t>strives for the dissolution of native societies</w:t>
      </w:r>
      <w:r w:rsidRPr="003018E5">
        <w:rPr>
          <w:rFonts w:ascii="Calibri" w:eastAsia="Times New Roman" w:hAnsi="Calibri" w:cs="Calibri"/>
          <w:color w:val="000000"/>
          <w:sz w:val="24"/>
          <w:szCs w:val="24"/>
        </w:rPr>
        <w:t xml:space="preserve">. Positively, </w:t>
      </w:r>
      <w:r w:rsidRPr="003018E5">
        <w:rPr>
          <w:rFonts w:ascii="Calibri" w:eastAsia="Times New Roman" w:hAnsi="Calibri" w:cs="Calibri"/>
          <w:b/>
          <w:bCs/>
          <w:color w:val="000000"/>
          <w:sz w:val="24"/>
          <w:szCs w:val="24"/>
          <w:u w:val="single"/>
        </w:rPr>
        <w:t>it erects a new colonial society on the expropriated land base</w:t>
      </w:r>
      <w:r w:rsidRPr="003018E5">
        <w:rPr>
          <w:rFonts w:ascii="Calibri" w:eastAsia="Times New Roman" w:hAnsi="Calibri" w:cs="Calibri"/>
          <w:color w:val="000000"/>
          <w:sz w:val="24"/>
          <w:szCs w:val="24"/>
        </w:rPr>
        <w:t xml:space="preserve">—as I put it, </w:t>
      </w:r>
      <w:r w:rsidRPr="003018E5">
        <w:rPr>
          <w:rFonts w:ascii="Calibri" w:eastAsia="Times New Roman" w:hAnsi="Calibri" w:cs="Calibri"/>
          <w:b/>
          <w:bCs/>
          <w:color w:val="000000"/>
          <w:sz w:val="24"/>
          <w:szCs w:val="24"/>
          <w:u w:val="single"/>
          <w:shd w:val="clear" w:color="auto" w:fill="FFFF00"/>
        </w:rPr>
        <w:t>settler colonizers come to stay: invasion is a structure not an event</w:t>
      </w:r>
      <w:r w:rsidRPr="003018E5">
        <w:rPr>
          <w:rFonts w:ascii="Calibri" w:eastAsia="Times New Roman" w:hAnsi="Calibri" w:cs="Calibri"/>
          <w:color w:val="000000"/>
          <w:sz w:val="24"/>
          <w:szCs w:val="24"/>
          <w:shd w:val="clear" w:color="auto" w:fill="FFFF00"/>
        </w:rPr>
        <w:t>.</w:t>
      </w:r>
      <w:hyperlink r:id="rId5" w:history="1">
        <w:r w:rsidRPr="003018E5">
          <w:rPr>
            <w:rFonts w:ascii="Calibri" w:eastAsia="Times New Roman" w:hAnsi="Calibri" w:cs="Calibri"/>
            <w:color w:val="000000"/>
            <w:sz w:val="24"/>
            <w:szCs w:val="24"/>
            <w:u w:val="single"/>
          </w:rPr>
          <w:t>7</w:t>
        </w:r>
      </w:hyperlink>
      <w:r w:rsidRPr="003018E5">
        <w:rPr>
          <w:rFonts w:ascii="Calibri" w:eastAsia="Times New Roman" w:hAnsi="Calibri" w:cs="Calibri"/>
          <w:color w:val="000000"/>
          <w:sz w:val="24"/>
          <w:szCs w:val="24"/>
        </w:rPr>
        <w:t xml:space="preserve"> In its positive aspect, </w:t>
      </w:r>
      <w:r w:rsidRPr="003018E5">
        <w:rPr>
          <w:rFonts w:ascii="Calibri" w:eastAsia="Times New Roman" w:hAnsi="Calibri" w:cs="Calibri"/>
          <w:b/>
          <w:bCs/>
          <w:color w:val="000000"/>
          <w:sz w:val="24"/>
          <w:szCs w:val="24"/>
          <w:u w:val="single"/>
          <w:shd w:val="clear" w:color="auto" w:fill="FFFF00"/>
        </w:rPr>
        <w:t>elimination is an organizing principal of settler-colonial society rather than a one-off</w:t>
      </w:r>
      <w:r w:rsidRPr="003018E5">
        <w:rPr>
          <w:rFonts w:ascii="Calibri" w:eastAsia="Times New Roman" w:hAnsi="Calibri" w:cs="Calibri"/>
          <w:b/>
          <w:bCs/>
          <w:color w:val="000000"/>
          <w:sz w:val="24"/>
          <w:szCs w:val="24"/>
          <w:u w:val="single"/>
        </w:rPr>
        <w:t xml:space="preserve"> (and superseded) </w:t>
      </w:r>
      <w:r w:rsidRPr="003018E5">
        <w:rPr>
          <w:rFonts w:ascii="Calibri" w:eastAsia="Times New Roman" w:hAnsi="Calibri" w:cs="Calibri"/>
          <w:b/>
          <w:bCs/>
          <w:color w:val="000000"/>
          <w:sz w:val="24"/>
          <w:szCs w:val="24"/>
          <w:u w:val="single"/>
          <w:shd w:val="clear" w:color="auto" w:fill="FFFF00"/>
        </w:rPr>
        <w:t>occurrence</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The</w:t>
      </w:r>
      <w:r w:rsidRPr="003018E5">
        <w:rPr>
          <w:rFonts w:ascii="Calibri" w:eastAsia="Times New Roman" w:hAnsi="Calibri" w:cs="Calibri"/>
          <w:color w:val="000000"/>
          <w:sz w:val="8"/>
          <w:szCs w:val="8"/>
        </w:rPr>
        <w:t xml:space="preserve"> </w:t>
      </w:r>
      <w:r w:rsidRPr="003018E5">
        <w:rPr>
          <w:rFonts w:ascii="Calibri" w:eastAsia="Times New Roman" w:hAnsi="Calibri" w:cs="Calibri"/>
          <w:color w:val="000000"/>
          <w:sz w:val="16"/>
          <w:szCs w:val="16"/>
        </w:rPr>
        <w:t>positive</w:t>
      </w:r>
      <w:r w:rsidRPr="003018E5">
        <w:rPr>
          <w:rFonts w:ascii="Calibri" w:eastAsia="Times New Roman" w:hAnsi="Calibri" w:cs="Calibri"/>
          <w:b/>
          <w:bCs/>
          <w:color w:val="000000"/>
          <w:sz w:val="24"/>
          <w:szCs w:val="24"/>
          <w:u w:val="single"/>
        </w:rPr>
        <w:t xml:space="preserve"> </w:t>
      </w:r>
      <w:r w:rsidRPr="003018E5">
        <w:rPr>
          <w:rFonts w:ascii="Calibri" w:eastAsia="Times New Roman" w:hAnsi="Calibri" w:cs="Calibri"/>
          <w:b/>
          <w:bCs/>
          <w:color w:val="000000"/>
          <w:sz w:val="24"/>
          <w:szCs w:val="24"/>
          <w:u w:val="single"/>
          <w:shd w:val="clear" w:color="auto" w:fill="FFFF00"/>
        </w:rPr>
        <w:t>outcomes of</w:t>
      </w:r>
      <w:r w:rsidRPr="003018E5">
        <w:rPr>
          <w:rFonts w:ascii="Calibri" w:eastAsia="Times New Roman" w:hAnsi="Calibri" w:cs="Calibri"/>
          <w:color w:val="000000"/>
          <w:sz w:val="24"/>
          <w:szCs w:val="24"/>
          <w:shd w:val="clear" w:color="auto" w:fill="FFFF00"/>
        </w:rPr>
        <w:t xml:space="preserve"> </w:t>
      </w:r>
      <w:r w:rsidRPr="003018E5">
        <w:rPr>
          <w:rFonts w:ascii="Calibri" w:eastAsia="Times New Roman" w:hAnsi="Calibri" w:cs="Calibri"/>
          <w:color w:val="000000"/>
          <w:sz w:val="16"/>
          <w:szCs w:val="16"/>
        </w:rPr>
        <w:t>the logic of</w:t>
      </w:r>
      <w:r w:rsidRPr="003018E5">
        <w:rPr>
          <w:rFonts w:ascii="Calibri" w:eastAsia="Times New Roman" w:hAnsi="Calibri" w:cs="Calibri"/>
          <w:b/>
          <w:bCs/>
          <w:color w:val="000000"/>
          <w:sz w:val="16"/>
          <w:szCs w:val="16"/>
          <w:u w:val="single"/>
        </w:rPr>
        <w:t xml:space="preserve"> </w:t>
      </w:r>
      <w:r w:rsidRPr="003018E5">
        <w:rPr>
          <w:rFonts w:ascii="Calibri" w:eastAsia="Times New Roman" w:hAnsi="Calibri" w:cs="Calibri"/>
          <w:b/>
          <w:bCs/>
          <w:color w:val="000000"/>
          <w:sz w:val="24"/>
          <w:szCs w:val="24"/>
          <w:u w:val="single"/>
          <w:shd w:val="clear" w:color="auto" w:fill="FFFF00"/>
        </w:rPr>
        <w:t>elimination</w:t>
      </w:r>
      <w:r w:rsidRPr="003018E5">
        <w:rPr>
          <w:rFonts w:ascii="Calibri" w:eastAsia="Times New Roman" w:hAnsi="Calibri" w:cs="Calibri"/>
          <w:color w:val="000000"/>
          <w:sz w:val="24"/>
          <w:szCs w:val="24"/>
          <w:shd w:val="clear" w:color="auto" w:fill="FFFF00"/>
        </w:rPr>
        <w:t xml:space="preserve"> </w:t>
      </w:r>
      <w:r w:rsidRPr="003018E5">
        <w:rPr>
          <w:rFonts w:ascii="Calibri" w:eastAsia="Times New Roman" w:hAnsi="Calibri" w:cs="Calibri"/>
          <w:color w:val="000000"/>
          <w:sz w:val="16"/>
          <w:szCs w:val="16"/>
        </w:rPr>
        <w:t xml:space="preserve">can </w:t>
      </w:r>
      <w:r w:rsidRPr="003018E5">
        <w:rPr>
          <w:rFonts w:ascii="Calibri" w:eastAsia="Times New Roman" w:hAnsi="Calibri" w:cs="Calibri"/>
          <w:b/>
          <w:bCs/>
          <w:color w:val="000000"/>
          <w:sz w:val="24"/>
          <w:szCs w:val="24"/>
          <w:u w:val="single"/>
          <w:shd w:val="clear" w:color="auto" w:fill="FFFF00"/>
        </w:rPr>
        <w:t>include officially encouraged miscegenation, the breaking-down of native title into alienable individual freeholds, native citizenship,</w:t>
      </w:r>
      <w:r w:rsidRPr="003018E5">
        <w:rPr>
          <w:rFonts w:ascii="Calibri" w:eastAsia="Times New Roman" w:hAnsi="Calibri" w:cs="Calibri"/>
          <w:b/>
          <w:bCs/>
          <w:color w:val="000000"/>
          <w:sz w:val="24"/>
          <w:szCs w:val="24"/>
          <w:u w:val="single"/>
        </w:rPr>
        <w:t xml:space="preserve"> child abduction, religious conversion, resocialization in total institutions such as missions or boarding schools, </w:t>
      </w:r>
      <w:r w:rsidRPr="003018E5">
        <w:rPr>
          <w:rFonts w:ascii="Calibri" w:eastAsia="Times New Roman" w:hAnsi="Calibri" w:cs="Calibri"/>
          <w:b/>
          <w:bCs/>
          <w:color w:val="000000"/>
          <w:sz w:val="24"/>
          <w:szCs w:val="24"/>
          <w:u w:val="single"/>
          <w:shd w:val="clear" w:color="auto" w:fill="FFFF00"/>
        </w:rPr>
        <w:t>and a whole range of cognate biocultural assimilations.</w:t>
      </w:r>
      <w:r w:rsidRPr="003018E5">
        <w:rPr>
          <w:rFonts w:ascii="Calibri" w:eastAsia="Times New Roman" w:hAnsi="Calibri" w:cs="Calibri"/>
          <w:b/>
          <w:bCs/>
          <w:color w:val="000000"/>
          <w:sz w:val="24"/>
          <w:szCs w:val="24"/>
          <w:u w:val="single"/>
        </w:rPr>
        <w:t xml:space="preserve"> All these strategies, including frontier homicide, are characteristic of settler colonialism.</w:t>
      </w:r>
      <w:r w:rsidRPr="003018E5">
        <w:rPr>
          <w:rFonts w:ascii="Calibri" w:eastAsia="Times New Roman" w:hAnsi="Calibri" w:cs="Calibri"/>
          <w:color w:val="000000"/>
          <w:sz w:val="16"/>
          <w:szCs w:val="16"/>
        </w:rPr>
        <w:t xml:space="preserve"> Some of them are more controversial in genocide studies than others.</w:t>
      </w:r>
      <w:r w:rsidRPr="003018E5">
        <w:rPr>
          <w:rFonts w:ascii="Calibri" w:eastAsia="Times New Roman" w:hAnsi="Calibri" w:cs="Calibri"/>
          <w:color w:val="000000"/>
          <w:sz w:val="16"/>
          <w:szCs w:val="16"/>
          <w:shd w:val="clear" w:color="auto" w:fill="FFFF00"/>
        </w:rPr>
        <w:t xml:space="preserve"> </w:t>
      </w:r>
      <w:r w:rsidRPr="003018E5">
        <w:rPr>
          <w:rFonts w:ascii="Calibri" w:eastAsia="Times New Roman" w:hAnsi="Calibri" w:cs="Calibri"/>
          <w:b/>
          <w:bCs/>
          <w:color w:val="000000"/>
          <w:sz w:val="24"/>
          <w:szCs w:val="24"/>
          <w:u w:val="single"/>
          <w:shd w:val="clear" w:color="auto" w:fill="FFFF00"/>
        </w:rPr>
        <w:t>Settler colonialism destroys to replace.</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As Theodor Herzl, founding father of Zionism, observed in his allegorical manifesto/novel, “If I wish to substitute a new building for an old one, I must demolish before I construct.”</w:t>
      </w:r>
      <w:hyperlink r:id="rId6" w:history="1">
        <w:r w:rsidRPr="003018E5">
          <w:rPr>
            <w:rFonts w:ascii="Calibri" w:eastAsia="Times New Roman" w:hAnsi="Calibri" w:cs="Calibri"/>
            <w:color w:val="000000"/>
            <w:sz w:val="16"/>
            <w:szCs w:val="16"/>
            <w:u w:val="single"/>
          </w:rPr>
          <w:t>8</w:t>
        </w:r>
      </w:hyperlink>
      <w:r w:rsidRPr="003018E5">
        <w:rPr>
          <w:rFonts w:ascii="Calibri" w:eastAsia="Times New Roman" w:hAnsi="Calibri" w:cs="Calibri"/>
          <w:color w:val="000000"/>
          <w:sz w:val="16"/>
          <w:szCs w:val="16"/>
        </w:rPr>
        <w:t xml:space="preserve"> In a kind of realization that took place half a century later, one-time deputy-mayor of West Jerusalem Meron </w:t>
      </w:r>
      <w:proofErr w:type="spellStart"/>
      <w:r w:rsidRPr="003018E5">
        <w:rPr>
          <w:rFonts w:ascii="Calibri" w:eastAsia="Times New Roman" w:hAnsi="Calibri" w:cs="Calibri"/>
          <w:color w:val="000000"/>
          <w:sz w:val="16"/>
          <w:szCs w:val="16"/>
        </w:rPr>
        <w:t>Benvenisti</w:t>
      </w:r>
      <w:proofErr w:type="spellEnd"/>
      <w:r w:rsidRPr="003018E5">
        <w:rPr>
          <w:rFonts w:ascii="Calibri" w:eastAsia="Times New Roman" w:hAnsi="Calibri" w:cs="Calibri"/>
          <w:color w:val="000000"/>
          <w:sz w:val="16"/>
          <w:szCs w:val="16"/>
        </w:rPr>
        <w:t xml:space="preserve"> recalled, “As a member of a pioneering youth movement, I myself ‘made the desert bloom’ by uprooting the ancient olive trees of al-</w:t>
      </w:r>
      <w:proofErr w:type="spellStart"/>
      <w:r w:rsidRPr="003018E5">
        <w:rPr>
          <w:rFonts w:ascii="Calibri" w:eastAsia="Times New Roman" w:hAnsi="Calibri" w:cs="Calibri"/>
          <w:color w:val="000000"/>
          <w:sz w:val="16"/>
          <w:szCs w:val="16"/>
        </w:rPr>
        <w:t>Bassa</w:t>
      </w:r>
      <w:proofErr w:type="spellEnd"/>
      <w:r w:rsidRPr="003018E5">
        <w:rPr>
          <w:rFonts w:ascii="Calibri" w:eastAsia="Times New Roman" w:hAnsi="Calibri" w:cs="Calibri"/>
          <w:color w:val="000000"/>
          <w:sz w:val="16"/>
          <w:szCs w:val="16"/>
        </w:rPr>
        <w:t xml:space="preserve"> to clear the ground for a banana grove, as required by the ‘planned farming’ principles of my kibbutz, Rosh Haniqra.”</w:t>
      </w:r>
      <w:hyperlink r:id="rId7" w:history="1">
        <w:r w:rsidRPr="003018E5">
          <w:rPr>
            <w:rFonts w:ascii="Calibri" w:eastAsia="Times New Roman" w:hAnsi="Calibri" w:cs="Calibri"/>
            <w:color w:val="000000"/>
            <w:sz w:val="16"/>
            <w:szCs w:val="16"/>
            <w:u w:val="single"/>
          </w:rPr>
          <w:t>9</w:t>
        </w:r>
      </w:hyperlink>
      <w:r w:rsidRPr="003018E5">
        <w:rPr>
          <w:rFonts w:ascii="Calibri" w:eastAsia="Times New Roman" w:hAnsi="Calibri" w:cs="Calibri"/>
          <w:color w:val="000000"/>
          <w:sz w:val="16"/>
          <w:szCs w:val="16"/>
        </w:rPr>
        <w:t xml:space="preserve"> Renaming is central to the cadastral effacement/replacement of the Palestinian Arab presence that </w:t>
      </w:r>
      <w:proofErr w:type="spellStart"/>
      <w:r w:rsidRPr="003018E5">
        <w:rPr>
          <w:rFonts w:ascii="Calibri" w:eastAsia="Times New Roman" w:hAnsi="Calibri" w:cs="Calibri"/>
          <w:color w:val="000000"/>
          <w:sz w:val="16"/>
          <w:szCs w:val="16"/>
        </w:rPr>
        <w:t>Benvenisti</w:t>
      </w:r>
      <w:proofErr w:type="spellEnd"/>
      <w:r w:rsidRPr="003018E5">
        <w:rPr>
          <w:rFonts w:ascii="Calibri" w:eastAsia="Times New Roman" w:hAnsi="Calibri" w:cs="Calibri"/>
          <w:color w:val="000000"/>
          <w:sz w:val="16"/>
          <w:szCs w:val="16"/>
        </w:rPr>
        <w:t xml:space="preserve"> poignantly recounts.</w:t>
      </w:r>
      <w:hyperlink r:id="rId8" w:history="1">
        <w:r w:rsidRPr="003018E5">
          <w:rPr>
            <w:rFonts w:ascii="Calibri" w:eastAsia="Times New Roman" w:hAnsi="Calibri" w:cs="Calibri"/>
            <w:color w:val="000000"/>
            <w:sz w:val="16"/>
            <w:szCs w:val="16"/>
            <w:u w:val="single"/>
          </w:rPr>
          <w:t>10</w:t>
        </w:r>
      </w:hyperlink>
      <w:r w:rsidRPr="003018E5">
        <w:rPr>
          <w:rFonts w:ascii="Calibri" w:eastAsia="Times New Roman" w:hAnsi="Calibri" w:cs="Calibri"/>
          <w:color w:val="000000"/>
          <w:sz w:val="16"/>
          <w:szCs w:val="16"/>
        </w:rPr>
        <w:t xml:space="preserve"> Comparably, though with reference to Australia, Tony Birch has charted the contradictory process whereby White residents sought to frustrate the (re-) renaming of </w:t>
      </w:r>
      <w:proofErr w:type="spellStart"/>
      <w:r w:rsidRPr="003018E5">
        <w:rPr>
          <w:rFonts w:ascii="Calibri" w:eastAsia="Times New Roman" w:hAnsi="Calibri" w:cs="Calibri"/>
          <w:color w:val="000000"/>
          <w:sz w:val="16"/>
          <w:szCs w:val="16"/>
        </w:rPr>
        <w:t>Gariwerd</w:t>
      </w:r>
      <w:proofErr w:type="spellEnd"/>
      <w:r w:rsidRPr="003018E5">
        <w:rPr>
          <w:rFonts w:ascii="Calibri" w:eastAsia="Times New Roman" w:hAnsi="Calibri" w:cs="Calibri"/>
          <w:color w:val="000000"/>
          <w:sz w:val="16"/>
          <w:szCs w:val="16"/>
        </w:rPr>
        <w:t xml:space="preserve"> back from the derivative “Grampians” that these hills had become in the wake of their original owners' forcible dispossession in the nineteenth century.</w:t>
      </w:r>
      <w:hyperlink r:id="rId9" w:history="1">
        <w:r w:rsidRPr="003018E5">
          <w:rPr>
            <w:rFonts w:ascii="Calibri" w:eastAsia="Times New Roman" w:hAnsi="Calibri" w:cs="Calibri"/>
            <w:color w:val="000000"/>
            <w:sz w:val="16"/>
            <w:szCs w:val="16"/>
            <w:u w:val="single"/>
          </w:rPr>
          <w:t>11</w:t>
        </w:r>
      </w:hyperlink>
      <w:r w:rsidRPr="003018E5">
        <w:rPr>
          <w:rFonts w:ascii="Calibri" w:eastAsia="Times New Roman" w:hAnsi="Calibri" w:cs="Calibri"/>
          <w:color w:val="000000"/>
          <w:sz w:val="16"/>
          <w:szCs w:val="16"/>
        </w:rPr>
        <w:t xml:space="preserve"> Ideologically, however, there is a major difference between the Australian and Israeli cases. The prospect of Israeli authorities changing the Hebrew place-names whose invention </w:t>
      </w:r>
      <w:proofErr w:type="spellStart"/>
      <w:r w:rsidRPr="003018E5">
        <w:rPr>
          <w:rFonts w:ascii="Calibri" w:eastAsia="Times New Roman" w:hAnsi="Calibri" w:cs="Calibri"/>
          <w:color w:val="000000"/>
          <w:sz w:val="16"/>
          <w:szCs w:val="16"/>
        </w:rPr>
        <w:t>Benvenisti</w:t>
      </w:r>
      <w:proofErr w:type="spellEnd"/>
      <w:r w:rsidRPr="003018E5">
        <w:rPr>
          <w:rFonts w:ascii="Calibri" w:eastAsia="Times New Roman" w:hAnsi="Calibri" w:cs="Calibri"/>
          <w:color w:val="000000"/>
          <w:sz w:val="16"/>
          <w:szCs w:val="16"/>
        </w:rPr>
        <w:t xml:space="preserve"> has described back to their Arabic counterparts is almost unimaginable. In Australia, by contrast (as in many other settler societies), the erasure of indigeneity conflicts with the assertion of settler nationalism. On the one hand, settler society required the practical elimination of the natives in order to establish itself on their territory. On the symbolic level, however, settler society subsequently sought to recuperate indigeneity in order to express its difference—and, accordingly, its independence—from the mother country. Hence it is not surprising that a progressive Australian state government should wish to attach an indigenous aura to a geographical feature that bore the second-hand name of a British mountain range. Australian public buildings and official symbolism, along with the national airlines, film industry, sports teams and the like, are distinguished by the ostentatious borrowing of Aboriginal motifs. For nationalist purposes, it is hard to see an alternative to this contradictory reappropriation of a foundationally disavowed Aboriginality. The ideological justification for the dispossession of Aborigines was that “we” could use the land better than they could, not that we had been on the land primordially and were merely returning home. One cannot imagine the Al-Quds/Jerusalem suburb of </w:t>
      </w:r>
      <w:proofErr w:type="spellStart"/>
      <w:r w:rsidRPr="003018E5">
        <w:rPr>
          <w:rFonts w:ascii="Calibri" w:eastAsia="Times New Roman" w:hAnsi="Calibri" w:cs="Calibri"/>
          <w:color w:val="000000"/>
          <w:sz w:val="16"/>
          <w:szCs w:val="16"/>
        </w:rPr>
        <w:t>Kfar</w:t>
      </w:r>
      <w:proofErr w:type="spellEnd"/>
      <w:r w:rsidRPr="003018E5">
        <w:rPr>
          <w:rFonts w:ascii="Calibri" w:eastAsia="Times New Roman" w:hAnsi="Calibri" w:cs="Calibri"/>
          <w:color w:val="000000"/>
          <w:sz w:val="16"/>
          <w:szCs w:val="16"/>
        </w:rPr>
        <w:t xml:space="preserve"> </w:t>
      </w:r>
      <w:proofErr w:type="spellStart"/>
      <w:r w:rsidRPr="003018E5">
        <w:rPr>
          <w:rFonts w:ascii="Calibri" w:eastAsia="Times New Roman" w:hAnsi="Calibri" w:cs="Calibri"/>
          <w:color w:val="000000"/>
          <w:sz w:val="16"/>
          <w:szCs w:val="16"/>
        </w:rPr>
        <w:t>Sha'ul</w:t>
      </w:r>
      <w:proofErr w:type="spellEnd"/>
      <w:r w:rsidRPr="003018E5">
        <w:rPr>
          <w:rFonts w:ascii="Calibri" w:eastAsia="Times New Roman" w:hAnsi="Calibri" w:cs="Calibri"/>
          <w:color w:val="000000"/>
          <w:sz w:val="16"/>
          <w:szCs w:val="16"/>
        </w:rPr>
        <w:t xml:space="preserve"> being renamed Deir Yasin. Despite this major ideological difference, however, Zionism still betrays a need to distance itself from its European origins that recalls the settler anxieties that characterize Australian national discourse. Yiddish, for instance, was decisively rejected in </w:t>
      </w:r>
      <w:proofErr w:type="spellStart"/>
      <w:r w:rsidRPr="003018E5">
        <w:rPr>
          <w:rFonts w:ascii="Calibri" w:eastAsia="Times New Roman" w:hAnsi="Calibri" w:cs="Calibri"/>
          <w:color w:val="000000"/>
          <w:sz w:val="16"/>
          <w:szCs w:val="16"/>
        </w:rPr>
        <w:t>favour</w:t>
      </w:r>
      <w:proofErr w:type="spellEnd"/>
      <w:r w:rsidRPr="003018E5">
        <w:rPr>
          <w:rFonts w:ascii="Calibri" w:eastAsia="Times New Roman" w:hAnsi="Calibri" w:cs="Calibri"/>
          <w:color w:val="000000"/>
          <w:sz w:val="16"/>
          <w:szCs w:val="16"/>
        </w:rPr>
        <w:t xml:space="preserve"> of Hebrew—a Hebrew inflected, what is more, with the accents of the otherwise derided Yemeni </w:t>
      </w:r>
      <w:proofErr w:type="spellStart"/>
      <w:r w:rsidRPr="003018E5">
        <w:rPr>
          <w:rFonts w:ascii="Calibri" w:eastAsia="Times New Roman" w:hAnsi="Calibri" w:cs="Calibri"/>
          <w:color w:val="000000"/>
          <w:sz w:val="16"/>
          <w:szCs w:val="16"/>
        </w:rPr>
        <w:t>mizrachim</w:t>
      </w:r>
      <w:proofErr w:type="spellEnd"/>
      <w:r w:rsidRPr="003018E5">
        <w:rPr>
          <w:rFonts w:ascii="Calibri" w:eastAsia="Times New Roman" w:hAnsi="Calibri" w:cs="Calibri"/>
          <w:color w:val="000000"/>
          <w:sz w:val="16"/>
          <w:szCs w:val="16"/>
        </w:rPr>
        <w:t xml:space="preserve">. Analogously, as Mark LeVine has noted, though the Zionist modernization of the Arab city of Jaffa was intended to have a certain site specificity, “in fact Jaffa has had to be emptied of its Arab past and Arab inhabitants in order for architects to be able to </w:t>
      </w:r>
      <w:proofErr w:type="spellStart"/>
      <w:r w:rsidRPr="003018E5">
        <w:rPr>
          <w:rFonts w:ascii="Calibri" w:eastAsia="Times New Roman" w:hAnsi="Calibri" w:cs="Calibri"/>
          <w:color w:val="000000"/>
          <w:sz w:val="16"/>
          <w:szCs w:val="16"/>
        </w:rPr>
        <w:t>reenvision</w:t>
      </w:r>
      <w:proofErr w:type="spellEnd"/>
      <w:r w:rsidRPr="003018E5">
        <w:rPr>
          <w:rFonts w:ascii="Calibri" w:eastAsia="Times New Roman" w:hAnsi="Calibri" w:cs="Calibri"/>
          <w:color w:val="000000"/>
          <w:sz w:val="16"/>
          <w:szCs w:val="16"/>
        </w:rPr>
        <w:t xml:space="preserve"> the region as a ‘typical Middle Eastern city’.”</w:t>
      </w:r>
    </w:p>
    <w:p w14:paraId="2A5E791F" w14:textId="77777777" w:rsidR="00F84335" w:rsidRPr="003018E5" w:rsidRDefault="00F84335" w:rsidP="00F84335">
      <w:pPr>
        <w:spacing w:before="260" w:after="26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24"/>
          <w:szCs w:val="24"/>
        </w:rPr>
        <w:t>[...]</w:t>
      </w:r>
    </w:p>
    <w:p w14:paraId="05595635" w14:textId="77777777" w:rsidR="00F84335" w:rsidRPr="003018E5" w:rsidRDefault="00F84335" w:rsidP="00F84335">
      <w:pPr>
        <w:spacing w:before="260" w:after="26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4"/>
          <w:szCs w:val="24"/>
          <w:u w:val="single"/>
        </w:rPr>
        <w:t>The tide of history canonizes the fait accompli, harnessing the diplomatic niceties of the law of nations to the maverick rapine of the squatters' posse within a cohesive project that implicates individual and nation-state, official and unofficial alike</w:t>
      </w:r>
      <w:r w:rsidRPr="003018E5">
        <w:rPr>
          <w:rFonts w:ascii="Calibri" w:eastAsia="Times New Roman" w:hAnsi="Calibri" w:cs="Calibri"/>
          <w:color w:val="000000"/>
          <w:sz w:val="24"/>
          <w:szCs w:val="24"/>
        </w:rPr>
        <w:t>.</w:t>
      </w:r>
      <w:r w:rsidRPr="003018E5">
        <w:rPr>
          <w:rFonts w:ascii="Calibri" w:eastAsia="Times New Roman" w:hAnsi="Calibri" w:cs="Calibri"/>
          <w:color w:val="000000"/>
          <w:sz w:val="16"/>
          <w:szCs w:val="16"/>
        </w:rPr>
        <w:t xml:space="preserve"> Over the Green Line today, </w:t>
      </w:r>
      <w:proofErr w:type="spellStart"/>
      <w:r w:rsidRPr="003018E5">
        <w:rPr>
          <w:rFonts w:ascii="Calibri" w:eastAsia="Times New Roman" w:hAnsi="Calibri" w:cs="Calibri"/>
          <w:color w:val="000000"/>
          <w:sz w:val="16"/>
          <w:szCs w:val="16"/>
        </w:rPr>
        <w:t>Ammana</w:t>
      </w:r>
      <w:proofErr w:type="spellEnd"/>
      <w:r w:rsidRPr="003018E5">
        <w:rPr>
          <w:rFonts w:ascii="Calibri" w:eastAsia="Times New Roman" w:hAnsi="Calibri" w:cs="Calibri"/>
          <w:color w:val="000000"/>
          <w:sz w:val="16"/>
          <w:szCs w:val="16"/>
        </w:rPr>
        <w:t xml:space="preserve">, the settler advance-guard of the fundamentalist Gush </w:t>
      </w:r>
      <w:proofErr w:type="spellStart"/>
      <w:r w:rsidRPr="003018E5">
        <w:rPr>
          <w:rFonts w:ascii="Calibri" w:eastAsia="Times New Roman" w:hAnsi="Calibri" w:cs="Calibri"/>
          <w:color w:val="000000"/>
          <w:sz w:val="16"/>
          <w:szCs w:val="16"/>
        </w:rPr>
        <w:t>Emunim</w:t>
      </w:r>
      <w:proofErr w:type="spellEnd"/>
      <w:r w:rsidRPr="003018E5">
        <w:rPr>
          <w:rFonts w:ascii="Calibri" w:eastAsia="Times New Roman" w:hAnsi="Calibri" w:cs="Calibri"/>
          <w:color w:val="000000"/>
          <w:sz w:val="16"/>
          <w:szCs w:val="16"/>
        </w:rPr>
        <w:t xml:space="preserve"> movement, hastens apace with the construction of its facts on the ground. In this regard, the settlers are maintaining a tried and tested Zionist strategy—Israel's 1949 campaign to seize the Negev before the impending armistice was codenamed </w:t>
      </w:r>
      <w:proofErr w:type="spellStart"/>
      <w:r w:rsidRPr="003018E5">
        <w:rPr>
          <w:rFonts w:ascii="Calibri" w:eastAsia="Times New Roman" w:hAnsi="Calibri" w:cs="Calibri"/>
          <w:color w:val="000000"/>
          <w:sz w:val="16"/>
          <w:szCs w:val="16"/>
        </w:rPr>
        <w:t>Uvda</w:t>
      </w:r>
      <w:proofErr w:type="spellEnd"/>
      <w:r w:rsidRPr="003018E5">
        <w:rPr>
          <w:rFonts w:ascii="Calibri" w:eastAsia="Times New Roman" w:hAnsi="Calibri" w:cs="Calibri"/>
          <w:color w:val="000000"/>
          <w:sz w:val="16"/>
          <w:szCs w:val="16"/>
        </w:rPr>
        <w:t xml:space="preserve">, Hebrew for “fact.”29 As Bernard </w:t>
      </w:r>
      <w:proofErr w:type="spellStart"/>
      <w:r w:rsidRPr="003018E5">
        <w:rPr>
          <w:rFonts w:ascii="Calibri" w:eastAsia="Times New Roman" w:hAnsi="Calibri" w:cs="Calibri"/>
          <w:color w:val="000000"/>
          <w:sz w:val="16"/>
          <w:szCs w:val="16"/>
        </w:rPr>
        <w:t>Avishai</w:t>
      </w:r>
      <w:proofErr w:type="spellEnd"/>
      <w:r w:rsidRPr="003018E5">
        <w:rPr>
          <w:rFonts w:ascii="Calibri" w:eastAsia="Times New Roman" w:hAnsi="Calibri" w:cs="Calibri"/>
          <w:color w:val="000000"/>
          <w:sz w:val="16"/>
          <w:szCs w:val="16"/>
        </w:rPr>
        <w:t xml:space="preserve"> lamented of the country he had volunteered to defend, “settlements were made in the territories beyond the Green Line so effortlessly after 1967 because the Zionist institutions that built them and the laws that drove them … had all been going full throttle within the Green Line before 1967. To focus merely on West Bank settlers was always to beg the question.”30 In sum, then, </w:t>
      </w:r>
      <w:r w:rsidRPr="003018E5">
        <w:rPr>
          <w:rFonts w:ascii="Calibri" w:eastAsia="Times New Roman" w:hAnsi="Calibri" w:cs="Calibri"/>
          <w:b/>
          <w:bCs/>
          <w:color w:val="000000"/>
          <w:sz w:val="24"/>
          <w:szCs w:val="24"/>
          <w:u w:val="single"/>
        </w:rPr>
        <w:t>settler colonialism is an inclusive, land-</w:t>
      </w:r>
      <w:proofErr w:type="spellStart"/>
      <w:r w:rsidRPr="003018E5">
        <w:rPr>
          <w:rFonts w:ascii="Calibri" w:eastAsia="Times New Roman" w:hAnsi="Calibri" w:cs="Calibri"/>
          <w:b/>
          <w:bCs/>
          <w:color w:val="000000"/>
          <w:sz w:val="24"/>
          <w:szCs w:val="24"/>
          <w:u w:val="single"/>
        </w:rPr>
        <w:t>centred</w:t>
      </w:r>
      <w:proofErr w:type="spellEnd"/>
      <w:r w:rsidRPr="003018E5">
        <w:rPr>
          <w:rFonts w:ascii="Calibri" w:eastAsia="Times New Roman" w:hAnsi="Calibri" w:cs="Calibri"/>
          <w:b/>
          <w:bCs/>
          <w:color w:val="000000"/>
          <w:sz w:val="24"/>
          <w:szCs w:val="24"/>
          <w:u w:val="single"/>
        </w:rPr>
        <w:t xml:space="preserve"> project that coordinates a comprehensive range of agencies, from the metropolitan </w:t>
      </w:r>
      <w:proofErr w:type="spellStart"/>
      <w:r w:rsidRPr="003018E5">
        <w:rPr>
          <w:rFonts w:ascii="Calibri" w:eastAsia="Times New Roman" w:hAnsi="Calibri" w:cs="Calibri"/>
          <w:b/>
          <w:bCs/>
          <w:color w:val="000000"/>
          <w:sz w:val="24"/>
          <w:szCs w:val="24"/>
          <w:u w:val="single"/>
        </w:rPr>
        <w:t>centre</w:t>
      </w:r>
      <w:proofErr w:type="spellEnd"/>
      <w:r w:rsidRPr="003018E5">
        <w:rPr>
          <w:rFonts w:ascii="Calibri" w:eastAsia="Times New Roman" w:hAnsi="Calibri" w:cs="Calibri"/>
          <w:b/>
          <w:bCs/>
          <w:color w:val="000000"/>
          <w:sz w:val="24"/>
          <w:szCs w:val="24"/>
          <w:u w:val="single"/>
        </w:rPr>
        <w:t xml:space="preserve"> to the frontier encampment, with a view to eliminating Indigenous societies.</w:t>
      </w:r>
      <w:r w:rsidRPr="003018E5">
        <w:rPr>
          <w:rFonts w:ascii="Calibri" w:eastAsia="Times New Roman" w:hAnsi="Calibri" w:cs="Calibri"/>
          <w:color w:val="000000"/>
          <w:sz w:val="24"/>
          <w:szCs w:val="24"/>
        </w:rPr>
        <w:t xml:space="preserve"> </w:t>
      </w:r>
      <w:r w:rsidRPr="003018E5">
        <w:rPr>
          <w:rFonts w:ascii="Calibri" w:eastAsia="Times New Roman" w:hAnsi="Calibri" w:cs="Calibri"/>
          <w:color w:val="000000"/>
          <w:sz w:val="16"/>
          <w:szCs w:val="16"/>
        </w:rPr>
        <w:t>Its operations are not dependent on the presence or absence of formal state institutions or functionaries. Accordingly—to begin to move toward the issue of genocide—the occasions on or the extent to which settler colonialism conduces to genocide are not a matter of the presence or absence of the formal apparatus of the state.</w:t>
      </w:r>
    </w:p>
    <w:p w14:paraId="4F4CEEB8" w14:textId="77777777" w:rsidR="00F84335" w:rsidRPr="003018E5" w:rsidRDefault="00F84335" w:rsidP="00F84335">
      <w:pPr>
        <w:spacing w:before="400" w:after="120" w:line="240" w:lineRule="auto"/>
        <w:jc w:val="center"/>
        <w:outlineLvl w:val="0"/>
        <w:rPr>
          <w:rFonts w:ascii="Times New Roman" w:eastAsia="Times New Roman" w:hAnsi="Times New Roman" w:cs="Times New Roman"/>
          <w:b/>
          <w:bCs/>
          <w:kern w:val="36"/>
          <w:sz w:val="48"/>
          <w:szCs w:val="48"/>
        </w:rPr>
      </w:pPr>
      <w:r w:rsidRPr="003018E5">
        <w:rPr>
          <w:rFonts w:ascii="Calibri" w:eastAsia="Times New Roman" w:hAnsi="Calibri" w:cs="Calibri"/>
          <w:b/>
          <w:bCs/>
          <w:color w:val="000000"/>
          <w:kern w:val="36"/>
          <w:sz w:val="40"/>
          <w:szCs w:val="40"/>
        </w:rPr>
        <w:t>Alt</w:t>
      </w:r>
    </w:p>
    <w:p w14:paraId="556EDCEA" w14:textId="77777777" w:rsidR="00F84335" w:rsidRPr="003018E5" w:rsidRDefault="00F84335" w:rsidP="00F84335">
      <w:pPr>
        <w:spacing w:after="0" w:line="240" w:lineRule="auto"/>
        <w:rPr>
          <w:rFonts w:ascii="Times New Roman" w:eastAsia="Times New Roman" w:hAnsi="Times New Roman" w:cs="Times New Roman"/>
          <w:sz w:val="24"/>
          <w:szCs w:val="24"/>
        </w:rPr>
      </w:pPr>
    </w:p>
    <w:p w14:paraId="191DCF35"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6"/>
          <w:szCs w:val="26"/>
        </w:rPr>
        <w:t>The alternative is decolonization, which allows us to reject prevailing narratives of settler colonialism.</w:t>
      </w:r>
    </w:p>
    <w:p w14:paraId="27A2E1B2" w14:textId="77777777" w:rsidR="00F84335" w:rsidRPr="003018E5" w:rsidRDefault="00F84335" w:rsidP="00F84335">
      <w:pPr>
        <w:spacing w:after="0" w:line="240" w:lineRule="auto"/>
        <w:outlineLvl w:val="1"/>
        <w:rPr>
          <w:rFonts w:ascii="Times New Roman" w:eastAsia="Times New Roman" w:hAnsi="Times New Roman" w:cs="Times New Roman"/>
          <w:b/>
          <w:bCs/>
          <w:sz w:val="36"/>
          <w:szCs w:val="36"/>
        </w:rPr>
      </w:pPr>
      <w:r w:rsidRPr="003018E5">
        <w:rPr>
          <w:rFonts w:ascii="Calibri" w:eastAsia="Times New Roman" w:hAnsi="Calibri" w:cs="Calibri"/>
          <w:b/>
          <w:bCs/>
          <w:color w:val="000000"/>
          <w:sz w:val="24"/>
          <w:szCs w:val="24"/>
          <w:u w:val="single"/>
        </w:rPr>
        <w:t>Cox 17:</w:t>
      </w:r>
    </w:p>
    <w:p w14:paraId="2EB94168"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sz w:val="16"/>
          <w:szCs w:val="16"/>
        </w:rPr>
        <w:t xml:space="preserve">Alicia Cox 26 July 2017. “Settler Colonialism.” </w:t>
      </w:r>
      <w:r w:rsidRPr="003018E5">
        <w:rPr>
          <w:rFonts w:ascii="Calibri" w:eastAsia="Times New Roman" w:hAnsi="Calibri" w:cs="Calibri"/>
          <w:i/>
          <w:iCs/>
          <w:color w:val="000000"/>
          <w:sz w:val="16"/>
          <w:szCs w:val="16"/>
        </w:rPr>
        <w:t>Oxford Bibliographies</w:t>
      </w:r>
      <w:r w:rsidRPr="003018E5">
        <w:rPr>
          <w:rFonts w:ascii="Calibri" w:eastAsia="Times New Roman" w:hAnsi="Calibri" w:cs="Calibri"/>
          <w:color w:val="000000"/>
          <w:sz w:val="16"/>
          <w:szCs w:val="16"/>
        </w:rPr>
        <w:t>, https://www.oxfordbibliographies.com/view/document/obo-9780190221911/obo-9780190221911-0029.xml.</w:t>
      </w:r>
    </w:p>
    <w:p w14:paraId="140F0129"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b/>
          <w:bCs/>
          <w:color w:val="000000"/>
          <w:sz w:val="24"/>
          <w:szCs w:val="24"/>
          <w:u w:val="single"/>
          <w:shd w:val="clear" w:color="auto" w:fill="FFFF00"/>
        </w:rPr>
        <w:t>Decolonizing theories and narratives reject the notion of Western superiority. Decolonization remains an evolving concept that assumes we may transform current colonial conditions and work to build indigenous peoples’ futurity in the face of ongoing settler-colonial attempts to eliminate native peoples.</w:t>
      </w:r>
      <w:r w:rsidRPr="003018E5">
        <w:rPr>
          <w:rFonts w:ascii="Calibri" w:eastAsia="Times New Roman" w:hAnsi="Calibri" w:cs="Calibri"/>
          <w:color w:val="000000"/>
          <w:sz w:val="16"/>
          <w:szCs w:val="16"/>
          <w:shd w:val="clear" w:color="auto" w:fill="FFFF00"/>
        </w:rPr>
        <w:t xml:space="preserve"> </w:t>
      </w:r>
      <w:proofErr w:type="spellStart"/>
      <w:r w:rsidRPr="003018E5">
        <w:rPr>
          <w:rFonts w:ascii="Calibri" w:eastAsia="Times New Roman" w:hAnsi="Calibri" w:cs="Calibri"/>
          <w:color w:val="000000"/>
          <w:sz w:val="16"/>
          <w:szCs w:val="16"/>
        </w:rPr>
        <w:t>Haunani</w:t>
      </w:r>
      <w:proofErr w:type="spellEnd"/>
      <w:r w:rsidRPr="003018E5">
        <w:rPr>
          <w:rFonts w:ascii="Calibri" w:eastAsia="Times New Roman" w:hAnsi="Calibri" w:cs="Calibri"/>
          <w:color w:val="000000"/>
          <w:sz w:val="16"/>
          <w:szCs w:val="16"/>
        </w:rPr>
        <w:t>-Kay Trask (</w:t>
      </w:r>
      <w:hyperlink r:id="rId10" w:anchor="obo-9780190221911-0029-bibItem-0046" w:history="1">
        <w:r w:rsidRPr="003018E5">
          <w:rPr>
            <w:rFonts w:ascii="Calibri" w:eastAsia="Times New Roman" w:hAnsi="Calibri" w:cs="Calibri"/>
            <w:color w:val="000000"/>
            <w:sz w:val="16"/>
            <w:szCs w:val="16"/>
            <w:u w:val="single"/>
          </w:rPr>
          <w:t>Trask 1999</w:t>
        </w:r>
      </w:hyperlink>
      <w:r w:rsidRPr="003018E5">
        <w:rPr>
          <w:rFonts w:ascii="Calibri" w:eastAsia="Times New Roman" w:hAnsi="Calibri" w:cs="Calibri"/>
          <w:color w:val="000000"/>
          <w:sz w:val="16"/>
          <w:szCs w:val="16"/>
        </w:rPr>
        <w:t>) and other scholars define</w:t>
      </w:r>
      <w:r w:rsidRPr="003018E5">
        <w:rPr>
          <w:rFonts w:ascii="Calibri" w:eastAsia="Times New Roman" w:hAnsi="Calibri" w:cs="Calibri"/>
          <w:color w:val="000000"/>
          <w:sz w:val="24"/>
          <w:szCs w:val="24"/>
        </w:rPr>
        <w:t xml:space="preserve"> </w:t>
      </w:r>
      <w:r w:rsidRPr="003018E5">
        <w:rPr>
          <w:rFonts w:ascii="Calibri" w:eastAsia="Times New Roman" w:hAnsi="Calibri" w:cs="Calibri"/>
          <w:b/>
          <w:bCs/>
          <w:color w:val="000000"/>
          <w:sz w:val="24"/>
          <w:szCs w:val="24"/>
          <w:u w:val="single"/>
        </w:rPr>
        <w:t>decolonization as the theory and practice of working to achieve indigenous peoples’ empowerment and justice</w:t>
      </w:r>
      <w:r w:rsidRPr="003018E5">
        <w:rPr>
          <w:rFonts w:ascii="Calibri" w:eastAsia="Times New Roman" w:hAnsi="Calibri" w:cs="Calibri"/>
          <w:color w:val="000000"/>
          <w:sz w:val="24"/>
          <w:szCs w:val="24"/>
        </w:rPr>
        <w:t>.</w:t>
      </w:r>
      <w:r w:rsidRPr="003018E5">
        <w:rPr>
          <w:rFonts w:ascii="Calibri" w:eastAsia="Times New Roman" w:hAnsi="Calibri" w:cs="Calibri"/>
          <w:color w:val="000000"/>
          <w:sz w:val="16"/>
          <w:szCs w:val="16"/>
        </w:rPr>
        <w:t xml:space="preserve"> Some scholars contend that the de- in decolonization falsely suggests that we can undo the processes of colonization and return to a pure, authentic precolonial way of being indigenous. This fantasy is a dangerous one not only because it is impossible but because it excludes indigenous people who don’t meet traditional standards of native identity. </w:t>
      </w:r>
      <w:hyperlink r:id="rId11" w:anchor="obo-9780190221911-0029-bibItem-0043" w:history="1">
        <w:r w:rsidRPr="003018E5">
          <w:rPr>
            <w:rFonts w:ascii="Calibri" w:eastAsia="Times New Roman" w:hAnsi="Calibri" w:cs="Calibri"/>
            <w:color w:val="000000"/>
            <w:sz w:val="16"/>
            <w:szCs w:val="16"/>
            <w:u w:val="single"/>
          </w:rPr>
          <w:t>Goodyear-</w:t>
        </w:r>
        <w:proofErr w:type="spellStart"/>
        <w:proofErr w:type="gramStart"/>
        <w:r w:rsidRPr="003018E5">
          <w:rPr>
            <w:rFonts w:ascii="Calibri" w:eastAsia="Times New Roman" w:hAnsi="Calibri" w:cs="Calibri"/>
            <w:color w:val="000000"/>
            <w:sz w:val="16"/>
            <w:szCs w:val="16"/>
            <w:u w:val="single"/>
          </w:rPr>
          <w:t>Ka‘</w:t>
        </w:r>
        <w:proofErr w:type="gramEnd"/>
        <w:r w:rsidRPr="003018E5">
          <w:rPr>
            <w:rFonts w:ascii="Calibri" w:eastAsia="Times New Roman" w:hAnsi="Calibri" w:cs="Calibri"/>
            <w:color w:val="000000"/>
            <w:sz w:val="16"/>
            <w:szCs w:val="16"/>
            <w:u w:val="single"/>
          </w:rPr>
          <w:t>ōpua</w:t>
        </w:r>
        <w:proofErr w:type="spellEnd"/>
        <w:r w:rsidRPr="003018E5">
          <w:rPr>
            <w:rFonts w:ascii="Calibri" w:eastAsia="Times New Roman" w:hAnsi="Calibri" w:cs="Calibri"/>
            <w:color w:val="000000"/>
            <w:sz w:val="16"/>
            <w:szCs w:val="16"/>
            <w:u w:val="single"/>
          </w:rPr>
          <w:t xml:space="preserve"> 2013</w:t>
        </w:r>
      </w:hyperlink>
      <w:r w:rsidRPr="003018E5">
        <w:rPr>
          <w:rFonts w:ascii="Calibri" w:eastAsia="Times New Roman" w:hAnsi="Calibri" w:cs="Calibri"/>
          <w:color w:val="000000"/>
          <w:sz w:val="16"/>
          <w:szCs w:val="16"/>
        </w:rPr>
        <w:t xml:space="preserve"> addresses the difficulties of putting decolonization theories into practice. </w:t>
      </w:r>
      <w:hyperlink r:id="rId12" w:anchor="obo-9780190221911-0029-bibItem-0041" w:history="1">
        <w:r w:rsidRPr="003018E5">
          <w:rPr>
            <w:rFonts w:ascii="Calibri" w:eastAsia="Times New Roman" w:hAnsi="Calibri" w:cs="Calibri"/>
            <w:color w:val="000000"/>
            <w:sz w:val="16"/>
            <w:szCs w:val="16"/>
            <w:u w:val="single"/>
          </w:rPr>
          <w:t>Arvin, et al. 2013</w:t>
        </w:r>
      </w:hyperlink>
      <w:r w:rsidRPr="003018E5">
        <w:rPr>
          <w:rFonts w:ascii="Calibri" w:eastAsia="Times New Roman" w:hAnsi="Calibri" w:cs="Calibri"/>
          <w:color w:val="000000"/>
          <w:sz w:val="16"/>
          <w:szCs w:val="16"/>
        </w:rPr>
        <w:t xml:space="preserve"> and </w:t>
      </w:r>
      <w:hyperlink r:id="rId13" w:anchor="obo-9780190221911-0029-bibItem-0045" w:history="1">
        <w:r w:rsidRPr="003018E5">
          <w:rPr>
            <w:rFonts w:ascii="Calibri" w:eastAsia="Times New Roman" w:hAnsi="Calibri" w:cs="Calibri"/>
            <w:color w:val="000000"/>
            <w:sz w:val="16"/>
            <w:szCs w:val="16"/>
            <w:u w:val="single"/>
          </w:rPr>
          <w:t>Smith 2012</w:t>
        </w:r>
      </w:hyperlink>
      <w:r w:rsidRPr="003018E5">
        <w:rPr>
          <w:rFonts w:ascii="Calibri" w:eastAsia="Times New Roman" w:hAnsi="Calibri" w:cs="Calibri"/>
          <w:color w:val="000000"/>
          <w:sz w:val="16"/>
          <w:szCs w:val="16"/>
        </w:rPr>
        <w:t xml:space="preserve"> argue that</w:t>
      </w:r>
      <w:r w:rsidRPr="003018E5">
        <w:rPr>
          <w:rFonts w:ascii="Calibri" w:eastAsia="Times New Roman" w:hAnsi="Calibri" w:cs="Calibri"/>
          <w:color w:val="000000"/>
          <w:sz w:val="24"/>
          <w:szCs w:val="24"/>
        </w:rPr>
        <w:t xml:space="preserve"> </w:t>
      </w:r>
      <w:r w:rsidRPr="003018E5">
        <w:rPr>
          <w:rFonts w:ascii="Calibri" w:eastAsia="Times New Roman" w:hAnsi="Calibri" w:cs="Calibri"/>
          <w:b/>
          <w:bCs/>
          <w:color w:val="000000"/>
          <w:sz w:val="24"/>
          <w:szCs w:val="24"/>
          <w:u w:val="single"/>
          <w:shd w:val="clear" w:color="auto" w:fill="FFFF00"/>
        </w:rPr>
        <w:t>decolonization involves indigenous peoples’ interventions in scholarship about native peoples and the creation of alliances to transform settler-colonial processes in the academy</w:t>
      </w:r>
      <w:r w:rsidRPr="003018E5">
        <w:rPr>
          <w:rFonts w:ascii="Calibri" w:eastAsia="Times New Roman" w:hAnsi="Calibri" w:cs="Calibri"/>
          <w:color w:val="000000"/>
          <w:sz w:val="24"/>
          <w:szCs w:val="24"/>
          <w:shd w:val="clear" w:color="auto" w:fill="FFFF00"/>
        </w:rPr>
        <w:t>.</w:t>
      </w:r>
      <w:r w:rsidRPr="003018E5">
        <w:rPr>
          <w:rFonts w:ascii="Calibri" w:eastAsia="Times New Roman" w:hAnsi="Calibri" w:cs="Calibri"/>
          <w:color w:val="000000"/>
          <w:sz w:val="24"/>
          <w:szCs w:val="24"/>
        </w:rPr>
        <w:t xml:space="preserve"> </w:t>
      </w:r>
      <w:hyperlink r:id="rId14" w:anchor="obo-9780190221911-0029-bibItem-0042" w:history="1">
        <w:r w:rsidRPr="003018E5">
          <w:rPr>
            <w:rFonts w:ascii="Calibri" w:eastAsia="Times New Roman" w:hAnsi="Calibri" w:cs="Calibri"/>
            <w:color w:val="000000"/>
            <w:sz w:val="16"/>
            <w:szCs w:val="16"/>
            <w:u w:val="single"/>
          </w:rPr>
          <w:t>Brooks 2008</w:t>
        </w:r>
      </w:hyperlink>
      <w:r w:rsidRPr="003018E5">
        <w:rPr>
          <w:rFonts w:ascii="Calibri" w:eastAsia="Times New Roman" w:hAnsi="Calibri" w:cs="Calibri"/>
          <w:color w:val="000000"/>
          <w:sz w:val="16"/>
          <w:szCs w:val="16"/>
        </w:rPr>
        <w:t xml:space="preserve"> and </w:t>
      </w:r>
      <w:hyperlink r:id="rId15" w:anchor="obo-9780190221911-0029-bibItem-0044" w:history="1">
        <w:r w:rsidRPr="003018E5">
          <w:rPr>
            <w:rFonts w:ascii="Calibri" w:eastAsia="Times New Roman" w:hAnsi="Calibri" w:cs="Calibri"/>
            <w:color w:val="000000"/>
            <w:sz w:val="16"/>
            <w:szCs w:val="16"/>
            <w:u w:val="single"/>
          </w:rPr>
          <w:t>Silva 2004</w:t>
        </w:r>
      </w:hyperlink>
      <w:r w:rsidRPr="003018E5">
        <w:rPr>
          <w:rFonts w:ascii="Calibri" w:eastAsia="Times New Roman" w:hAnsi="Calibri" w:cs="Calibri"/>
          <w:color w:val="000000"/>
          <w:sz w:val="16"/>
          <w:szCs w:val="16"/>
        </w:rPr>
        <w:t xml:space="preserve"> highlight native peoples’ use of writing to provide revisionist histories of settler colonization.</w:t>
      </w:r>
    </w:p>
    <w:p w14:paraId="1EAC3539" w14:textId="77777777" w:rsidR="00F84335" w:rsidRPr="003018E5" w:rsidRDefault="00F84335" w:rsidP="00F84335">
      <w:pPr>
        <w:spacing w:after="240" w:line="240" w:lineRule="auto"/>
        <w:rPr>
          <w:rFonts w:ascii="Times New Roman" w:eastAsia="Times New Roman" w:hAnsi="Times New Roman" w:cs="Times New Roman"/>
          <w:sz w:val="24"/>
          <w:szCs w:val="24"/>
        </w:rPr>
      </w:pPr>
    </w:p>
    <w:p w14:paraId="4F828F71" w14:textId="77777777" w:rsidR="00F84335" w:rsidRPr="003018E5" w:rsidRDefault="00F84335" w:rsidP="00F84335">
      <w:pPr>
        <w:spacing w:after="0" w:line="240" w:lineRule="auto"/>
        <w:rPr>
          <w:rFonts w:ascii="Times New Roman" w:eastAsia="Times New Roman" w:hAnsi="Times New Roman" w:cs="Times New Roman"/>
          <w:sz w:val="24"/>
          <w:szCs w:val="24"/>
        </w:rPr>
      </w:pPr>
      <w:r w:rsidRPr="003018E5">
        <w:rPr>
          <w:rFonts w:ascii="Calibri" w:eastAsia="Times New Roman" w:hAnsi="Calibri" w:cs="Calibri"/>
          <w:color w:val="000000"/>
        </w:rPr>
        <w:tab/>
      </w:r>
      <w:r w:rsidRPr="003018E5">
        <w:rPr>
          <w:rFonts w:ascii="Calibri" w:eastAsia="Times New Roman" w:hAnsi="Calibri" w:cs="Calibri"/>
          <w:color w:val="000000"/>
        </w:rPr>
        <w:tab/>
      </w:r>
      <w:r w:rsidRPr="003018E5">
        <w:rPr>
          <w:rFonts w:ascii="Calibri" w:eastAsia="Times New Roman" w:hAnsi="Calibri" w:cs="Calibri"/>
          <w:color w:val="000000"/>
        </w:rPr>
        <w:tab/>
      </w:r>
      <w:r w:rsidRPr="003018E5">
        <w:rPr>
          <w:rFonts w:ascii="Calibri" w:eastAsia="Times New Roman" w:hAnsi="Calibri" w:cs="Calibri"/>
          <w:color w:val="000000"/>
        </w:rPr>
        <w:tab/>
      </w:r>
      <w:r w:rsidRPr="003018E5">
        <w:rPr>
          <w:rFonts w:ascii="Calibri" w:eastAsia="Times New Roman" w:hAnsi="Calibri" w:cs="Calibri"/>
          <w:color w:val="000000"/>
        </w:rPr>
        <w:tab/>
      </w:r>
      <w:r w:rsidRPr="003018E5">
        <w:rPr>
          <w:rFonts w:ascii="Calibri" w:eastAsia="Times New Roman" w:hAnsi="Calibri" w:cs="Calibri"/>
          <w:b/>
          <w:bCs/>
          <w:color w:val="000000"/>
          <w:sz w:val="26"/>
          <w:szCs w:val="26"/>
          <w:u w:val="single"/>
        </w:rPr>
        <w:t>ROB/ROJ</w:t>
      </w:r>
    </w:p>
    <w:p w14:paraId="5EC5C3AE" w14:textId="77777777" w:rsidR="00F84335" w:rsidRDefault="00F84335" w:rsidP="00F84335">
      <w:r w:rsidRPr="003018E5">
        <w:rPr>
          <w:rFonts w:ascii="Calibri" w:eastAsia="Times New Roman" w:hAnsi="Calibri" w:cs="Calibri"/>
          <w:color w:val="000000"/>
        </w:rPr>
        <w:tab/>
      </w:r>
      <w:r w:rsidRPr="003018E5">
        <w:rPr>
          <w:rFonts w:ascii="Calibri" w:eastAsia="Times New Roman" w:hAnsi="Calibri" w:cs="Calibri"/>
          <w:b/>
          <w:bCs/>
          <w:color w:val="000000"/>
          <w:sz w:val="26"/>
          <w:szCs w:val="26"/>
        </w:rPr>
        <w:t xml:space="preserve">The role of the ballot is to vote for the debater who best confronts the consequences of settler colonialism. This requires the </w:t>
      </w:r>
      <w:proofErr w:type="spellStart"/>
      <w:r w:rsidRPr="003018E5">
        <w:rPr>
          <w:rFonts w:ascii="Calibri" w:eastAsia="Times New Roman" w:hAnsi="Calibri" w:cs="Calibri"/>
          <w:b/>
          <w:bCs/>
          <w:color w:val="000000"/>
          <w:sz w:val="26"/>
          <w:szCs w:val="26"/>
        </w:rPr>
        <w:t>neg’s</w:t>
      </w:r>
      <w:proofErr w:type="spellEnd"/>
      <w:r w:rsidRPr="003018E5">
        <w:rPr>
          <w:rFonts w:ascii="Calibri" w:eastAsia="Times New Roman" w:hAnsi="Calibri" w:cs="Calibri"/>
          <w:b/>
          <w:bCs/>
          <w:color w:val="000000"/>
          <w:sz w:val="26"/>
          <w:szCs w:val="26"/>
        </w:rPr>
        <w:t xml:space="preserve"> approach of decolonization, since education of colonial ideologies is active decolonization. More ballots allow us to spread our advocacy, and this is inherently beneficial for education and the debate space. We seek to increase voices against structures such as the WTO that increase structural violence against native tribes.</w:t>
      </w:r>
    </w:p>
    <w:p w14:paraId="156400E8" w14:textId="63F0DE0C" w:rsidR="00056BB9" w:rsidRDefault="00056BB9"/>
    <w:p w14:paraId="2A836B85" w14:textId="0EC09C25" w:rsidR="00F84335" w:rsidRDefault="00F84335"/>
    <w:p w14:paraId="5A9F1D3A" w14:textId="77777777" w:rsidR="00F84335" w:rsidRPr="00F84335" w:rsidRDefault="00F84335" w:rsidP="00F84335">
      <w:pPr>
        <w:spacing w:before="360" w:after="80" w:line="240" w:lineRule="auto"/>
        <w:jc w:val="center"/>
        <w:outlineLvl w:val="1"/>
        <w:rPr>
          <w:rFonts w:ascii="Times New Roman" w:eastAsia="Times New Roman" w:hAnsi="Times New Roman" w:cs="Times New Roman"/>
          <w:b/>
          <w:bCs/>
          <w:sz w:val="36"/>
          <w:szCs w:val="36"/>
        </w:rPr>
      </w:pPr>
      <w:r w:rsidRPr="00F84335">
        <w:rPr>
          <w:rFonts w:ascii="Calibri" w:eastAsia="Times New Roman" w:hAnsi="Calibri" w:cs="Calibri"/>
          <w:b/>
          <w:bCs/>
          <w:color w:val="000000"/>
          <w:sz w:val="44"/>
          <w:szCs w:val="44"/>
          <w:u w:val="single"/>
        </w:rPr>
        <w:t>T</w:t>
      </w:r>
    </w:p>
    <w:p w14:paraId="253113E9" w14:textId="77777777" w:rsidR="00F84335" w:rsidRPr="00F84335" w:rsidRDefault="00F84335" w:rsidP="00F84335">
      <w:pPr>
        <w:spacing w:before="280" w:after="80" w:line="240" w:lineRule="auto"/>
        <w:jc w:val="center"/>
        <w:outlineLvl w:val="2"/>
        <w:rPr>
          <w:rFonts w:ascii="Times New Roman" w:eastAsia="Times New Roman" w:hAnsi="Times New Roman" w:cs="Times New Roman"/>
          <w:b/>
          <w:bCs/>
          <w:sz w:val="27"/>
          <w:szCs w:val="27"/>
        </w:rPr>
      </w:pPr>
      <w:r w:rsidRPr="00F84335">
        <w:rPr>
          <w:rFonts w:ascii="Calibri" w:eastAsia="Times New Roman" w:hAnsi="Calibri" w:cs="Calibri"/>
          <w:b/>
          <w:bCs/>
          <w:color w:val="000000"/>
          <w:sz w:val="32"/>
          <w:szCs w:val="32"/>
          <w:u w:val="single"/>
        </w:rPr>
        <w:t>Interpretation: The affirmative may not defend a subset of medicines </w:t>
      </w:r>
    </w:p>
    <w:p w14:paraId="66D5A350"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6"/>
          <w:szCs w:val="26"/>
        </w:rPr>
        <w:t>Violation: they do</w:t>
      </w:r>
    </w:p>
    <w:p w14:paraId="2CE733D1"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Specific instances don’t affirm generics – past topics prove</w:t>
      </w:r>
    </w:p>
    <w:p w14:paraId="3CBBA727" w14:textId="77777777" w:rsidR="00F84335" w:rsidRPr="00F84335" w:rsidRDefault="00F84335" w:rsidP="00F84335">
      <w:pPr>
        <w:spacing w:line="240" w:lineRule="auto"/>
        <w:rPr>
          <w:rFonts w:ascii="Times New Roman" w:eastAsia="Times New Roman" w:hAnsi="Times New Roman" w:cs="Times New Roman"/>
          <w:sz w:val="24"/>
          <w:szCs w:val="24"/>
        </w:rPr>
      </w:pPr>
      <w:proofErr w:type="spellStart"/>
      <w:r w:rsidRPr="00F84335">
        <w:rPr>
          <w:rFonts w:ascii="Calibri" w:eastAsia="Times New Roman" w:hAnsi="Calibri" w:cs="Calibri"/>
          <w:b/>
          <w:bCs/>
          <w:color w:val="000000"/>
          <w:u w:val="single"/>
        </w:rPr>
        <w:t>Nebel</w:t>
      </w:r>
      <w:proofErr w:type="spellEnd"/>
      <w:r w:rsidRPr="00F84335">
        <w:rPr>
          <w:rFonts w:ascii="Calibri" w:eastAsia="Times New Roman" w:hAnsi="Calibri" w:cs="Calibri"/>
          <w:b/>
          <w:bCs/>
          <w:color w:val="000000"/>
          <w:u w:val="single"/>
        </w:rPr>
        <w:t xml:space="preserve"> 19</w:t>
      </w:r>
      <w:r w:rsidRPr="00F84335">
        <w:rPr>
          <w:rFonts w:ascii="Calibri" w:eastAsia="Times New Roman" w:hAnsi="Calibri" w:cs="Calibri"/>
          <w:color w:val="000000"/>
        </w:rPr>
        <w:t xml:space="preserve"> (Jake </w:t>
      </w:r>
      <w:proofErr w:type="spellStart"/>
      <w:r w:rsidRPr="00F84335">
        <w:rPr>
          <w:rFonts w:ascii="Calibri" w:eastAsia="Times New Roman" w:hAnsi="Calibri" w:cs="Calibri"/>
          <w:color w:val="000000"/>
        </w:rPr>
        <w:t>Nebel</w:t>
      </w:r>
      <w:proofErr w:type="spellEnd"/>
      <w:r w:rsidRPr="00F84335">
        <w:rPr>
          <w:rFonts w:ascii="Calibri" w:eastAsia="Times New Roman" w:hAnsi="Calibri" w:cs="Calibri"/>
          <w:color w:val="000000"/>
        </w:rPr>
        <w:t xml:space="preserve">, assistant professor of philosophy at the University of Southern California and executive director of Victory Briefs, “Genericity on the Standardized Tests Resolution” August 12 2019, </w:t>
      </w:r>
      <w:proofErr w:type="spellStart"/>
      <w:r w:rsidRPr="00F84335">
        <w:rPr>
          <w:rFonts w:ascii="Calibri" w:eastAsia="Times New Roman" w:hAnsi="Calibri" w:cs="Calibri"/>
          <w:color w:val="000000"/>
        </w:rPr>
        <w:t>vbriefly</w:t>
      </w:r>
      <w:proofErr w:type="spellEnd"/>
      <w:r w:rsidRPr="00F84335">
        <w:rPr>
          <w:rFonts w:ascii="Calibri" w:eastAsia="Times New Roman" w:hAnsi="Calibri" w:cs="Calibri"/>
          <w:color w:val="000000"/>
        </w:rPr>
        <w:t>,</w:t>
      </w:r>
      <w:hyperlink r:id="rId16" w:history="1">
        <w:r w:rsidRPr="00F84335">
          <w:rPr>
            <w:rFonts w:ascii="Calibri" w:eastAsia="Times New Roman" w:hAnsi="Calibri" w:cs="Calibri"/>
            <w:color w:val="000000"/>
            <w:u w:val="single"/>
          </w:rPr>
          <w:t xml:space="preserve"> </w:t>
        </w:r>
        <w:r w:rsidRPr="00F84335">
          <w:rPr>
            <w:rFonts w:ascii="Calibri" w:eastAsia="Times New Roman" w:hAnsi="Calibri" w:cs="Calibri"/>
            <w:color w:val="000000"/>
            <w:sz w:val="24"/>
            <w:szCs w:val="24"/>
            <w:u w:val="single"/>
          </w:rPr>
          <w:t>https://www.vbriefly.com/2019/08/12/genericity-on-the-standardized-tests-resolution/?fbclid=IwAR0hUkKdDzHWrNeqEVI7m59pwsnmqLl490n4uRLQTe7bWmWDO_avWCNzi14</w:t>
        </w:r>
      </w:hyperlink>
      <w:r w:rsidRPr="00F84335">
        <w:rPr>
          <w:rFonts w:ascii="Calibri" w:eastAsia="Times New Roman" w:hAnsi="Calibri" w:cs="Calibri"/>
          <w:color w:val="000000"/>
        </w:rPr>
        <w:t>) //triumph debate</w:t>
      </w:r>
    </w:p>
    <w:p w14:paraId="06084EED" w14:textId="77777777" w:rsidR="00F84335" w:rsidRPr="00F84335" w:rsidRDefault="00F84335" w:rsidP="00F84335">
      <w:pPr>
        <w:spacing w:line="240" w:lineRule="auto"/>
        <w:rPr>
          <w:rFonts w:ascii="Times New Roman" w:eastAsia="Times New Roman" w:hAnsi="Times New Roman" w:cs="Times New Roman"/>
          <w:sz w:val="24"/>
          <w:szCs w:val="24"/>
        </w:rPr>
      </w:pPr>
      <w:r w:rsidRPr="00F84335">
        <w:rPr>
          <w:rFonts w:ascii="Calibri" w:eastAsia="Times New Roman" w:hAnsi="Calibri" w:cs="Calibri"/>
          <w:color w:val="000000"/>
          <w:sz w:val="16"/>
          <w:szCs w:val="16"/>
        </w:rPr>
        <w:t xml:space="preserve">Both distinctions are important. </w:t>
      </w:r>
      <w:r w:rsidRPr="00F84335">
        <w:rPr>
          <w:rFonts w:ascii="Calibri" w:eastAsia="Times New Roman" w:hAnsi="Calibri" w:cs="Calibri"/>
          <w:color w:val="000000"/>
          <w:u w:val="single"/>
          <w:shd w:val="clear" w:color="auto" w:fill="FFFF00"/>
        </w:rPr>
        <w:t>Generic resolutions can’t be affirmed by specifying particular instances</w:t>
      </w:r>
      <w:r w:rsidRPr="00F84335">
        <w:rPr>
          <w:rFonts w:ascii="Calibri" w:eastAsia="Times New Roman" w:hAnsi="Calibri" w:cs="Calibri"/>
          <w:color w:val="000000"/>
          <w:sz w:val="16"/>
          <w:szCs w:val="16"/>
        </w:rPr>
        <w:t xml:space="preserve">. But, since generics tolerate exceptions, plan-inclusive counterplans (PICs) do not negate generic resolutions. </w:t>
      </w:r>
      <w:r w:rsidRPr="00F84335">
        <w:rPr>
          <w:rFonts w:ascii="Calibri" w:eastAsia="Times New Roman" w:hAnsi="Calibri" w:cs="Calibri"/>
          <w:color w:val="000000"/>
          <w:u w:val="single"/>
          <w:shd w:val="clear" w:color="auto" w:fill="FFFF00"/>
        </w:rPr>
        <w:t>Bare plurals are typically used to</w:t>
      </w:r>
      <w:r w:rsidRPr="00F84335">
        <w:rPr>
          <w:rFonts w:ascii="Calibri" w:eastAsia="Times New Roman" w:hAnsi="Calibri" w:cs="Calibri"/>
          <w:color w:val="000000"/>
          <w:u w:val="single"/>
          <w:shd w:val="clear" w:color="auto" w:fill="00FF00"/>
        </w:rPr>
        <w:t xml:space="preserve"> </w:t>
      </w:r>
      <w:r w:rsidRPr="00F84335">
        <w:rPr>
          <w:rFonts w:ascii="Calibri" w:eastAsia="Times New Roman" w:hAnsi="Calibri" w:cs="Calibri"/>
          <w:color w:val="000000"/>
          <w:u w:val="single"/>
          <w:shd w:val="clear" w:color="auto" w:fill="FFFF00"/>
        </w:rPr>
        <w:t>express generic generalizations</w:t>
      </w:r>
      <w:r w:rsidRPr="00F84335">
        <w:rPr>
          <w:rFonts w:ascii="Calibri" w:eastAsia="Times New Roman" w:hAnsi="Calibri" w:cs="Calibri"/>
          <w:color w:val="000000"/>
          <w:sz w:val="16"/>
          <w:szCs w:val="16"/>
        </w:rPr>
        <w:t xml:space="preserve">. But there are two important things to keep in mind. First, generic generalizations are also often expressed via other means (e.g., definite singulars, indefinite singulars, and bare singulars). </w:t>
      </w:r>
      <w:r w:rsidRPr="00F84335">
        <w:rPr>
          <w:rFonts w:ascii="Calibri" w:eastAsia="Times New Roman" w:hAnsi="Calibri" w:cs="Calibri"/>
          <w:color w:val="000000"/>
          <w:u w:val="single"/>
        </w:rPr>
        <w:t>Second, and more importantly for present purposes</w:t>
      </w:r>
      <w:r w:rsidRPr="00F84335">
        <w:rPr>
          <w:rFonts w:ascii="Calibri" w:eastAsia="Times New Roman" w:hAnsi="Calibri" w:cs="Calibri"/>
          <w:color w:val="000000"/>
          <w:u w:val="single"/>
          <w:shd w:val="clear" w:color="auto" w:fill="FFFF00"/>
        </w:rPr>
        <w:t>, bare plurals can also be used to express existential generalizations</w:t>
      </w:r>
      <w:r w:rsidRPr="00F84335">
        <w:rPr>
          <w:rFonts w:ascii="Calibri" w:eastAsia="Times New Roman" w:hAnsi="Calibri" w:cs="Calibri"/>
          <w:color w:val="000000"/>
          <w:u w:val="single"/>
        </w:rPr>
        <w:t xml:space="preserve">. </w:t>
      </w:r>
      <w:r w:rsidRPr="00F84335">
        <w:rPr>
          <w:rFonts w:ascii="Calibri" w:eastAsia="Times New Roman" w:hAnsi="Calibri" w:cs="Calibri"/>
          <w:color w:val="000000"/>
          <w:sz w:val="16"/>
          <w:szCs w:val="16"/>
        </w:rPr>
        <w:t xml:space="preserve">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“Colleges and universities” </w:t>
      </w:r>
      <w:proofErr w:type="gramStart"/>
      <w:r w:rsidRPr="00F84335">
        <w:rPr>
          <w:rFonts w:ascii="Calibri" w:eastAsia="Times New Roman" w:hAnsi="Calibri" w:cs="Calibri"/>
          <w:color w:val="000000"/>
          <w:sz w:val="16"/>
          <w:szCs w:val="16"/>
        </w:rPr>
        <w:t>is</w:t>
      </w:r>
      <w:proofErr w:type="gramEnd"/>
      <w:r w:rsidRPr="00F84335">
        <w:rPr>
          <w:rFonts w:ascii="Calibri" w:eastAsia="Times New Roman" w:hAnsi="Calibri" w:cs="Calibri"/>
          <w:color w:val="000000"/>
          <w:sz w:val="16"/>
          <w:szCs w:val="16"/>
        </w:rPr>
        <w:t xml:space="preserve"> a generic bare plural. I don’t think this claim should require any argument, when you think about it, but here are a few reasons. First, ask yourself, honestly, whether the following speech sounds good to you: </w:t>
      </w:r>
      <w:r w:rsidRPr="00F84335">
        <w:rPr>
          <w:rFonts w:ascii="Calibri" w:eastAsia="Times New Roman" w:hAnsi="Calibri" w:cs="Calibri"/>
          <w:color w:val="000000"/>
          <w:u w:val="single"/>
        </w:rPr>
        <w:t xml:space="preserve">“Eight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w:t>
      </w:r>
      <w:r w:rsidRPr="00F84335">
        <w:rPr>
          <w:rFonts w:ascii="Calibri" w:eastAsia="Times New Roman" w:hAnsi="Calibri" w:cs="Calibri"/>
          <w:color w:val="000000"/>
          <w:sz w:val="16"/>
          <w:szCs w:val="16"/>
        </w:rPr>
        <w:t xml:space="preserve">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F84335">
        <w:rPr>
          <w:rFonts w:ascii="Calibri" w:eastAsia="Times New Roman" w:hAnsi="Calibri" w:cs="Calibri"/>
          <w:color w:val="000000"/>
          <w:u w:val="single"/>
        </w:rPr>
        <w:t>If the resolution were existential with respect to “colleges and universities,” then the Ivy League argument above would be a valid inference. Since it’s not a valid inference, “colleges and universities” must be a generic bare plural</w:t>
      </w:r>
      <w:r w:rsidRPr="00F84335">
        <w:rPr>
          <w:rFonts w:ascii="Calibri" w:eastAsia="Times New Roman" w:hAnsi="Calibri" w:cs="Calibri"/>
          <w:color w:val="000000"/>
          <w:sz w:val="16"/>
          <w:szCs w:val="16"/>
        </w:rPr>
        <w:t>. Second, “colleges and universities” fails the</w:t>
      </w:r>
      <w:hyperlink r:id="rId17" w:anchor="IsolGeneInte" w:history="1">
        <w:r w:rsidRPr="00F84335">
          <w:rPr>
            <w:rFonts w:ascii="Calibri" w:eastAsia="Times New Roman" w:hAnsi="Calibri" w:cs="Calibri"/>
            <w:color w:val="000000"/>
            <w:sz w:val="16"/>
            <w:szCs w:val="16"/>
            <w:u w:val="single"/>
          </w:rPr>
          <w:t xml:space="preserve"> upward-entailment test</w:t>
        </w:r>
      </w:hyperlink>
      <w:r w:rsidRPr="00F84335">
        <w:rPr>
          <w:rFonts w:ascii="Calibri" w:eastAsia="Times New Roman" w:hAnsi="Calibri" w:cs="Calibri"/>
          <w:color w:val="000000"/>
          <w:sz w:val="16"/>
          <w:szCs w:val="16"/>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This shows that “colleges and universities” is generic, because it fails the upward-entailment test for existential bare plurals. Third, “colleges and universities” fails the adverb of quantification test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w:t>
      </w:r>
    </w:p>
    <w:p w14:paraId="07C87FB7"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Standards –</w:t>
      </w:r>
    </w:p>
    <w:p w14:paraId="31D84A00"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 xml:space="preserve">1 – precision – debating the topic as written is key to precise engagement – anything else sets a norm of arbitrarily changing words and phrases in the res – this makes negating impossible because the neg has the burden of rejoined and the </w:t>
      </w:r>
      <w:proofErr w:type="spellStart"/>
      <w:r w:rsidRPr="00F84335">
        <w:rPr>
          <w:rFonts w:ascii="Calibri" w:eastAsia="Times New Roman" w:hAnsi="Calibri" w:cs="Calibri"/>
          <w:b/>
          <w:bCs/>
          <w:color w:val="000000"/>
          <w:sz w:val="24"/>
          <w:szCs w:val="24"/>
        </w:rPr>
        <w:t>aff</w:t>
      </w:r>
      <w:proofErr w:type="spellEnd"/>
      <w:r w:rsidRPr="00F84335">
        <w:rPr>
          <w:rFonts w:ascii="Calibri" w:eastAsia="Times New Roman" w:hAnsi="Calibri" w:cs="Calibri"/>
          <w:b/>
          <w:bCs/>
          <w:color w:val="000000"/>
          <w:sz w:val="24"/>
          <w:szCs w:val="24"/>
        </w:rPr>
        <w:t xml:space="preserve"> is a moving target. Kills fairness because the neg can never link offense into the </w:t>
      </w:r>
      <w:proofErr w:type="spellStart"/>
      <w:r w:rsidRPr="00F84335">
        <w:rPr>
          <w:rFonts w:ascii="Calibri" w:eastAsia="Times New Roman" w:hAnsi="Calibri" w:cs="Calibri"/>
          <w:b/>
          <w:bCs/>
          <w:color w:val="000000"/>
          <w:sz w:val="24"/>
          <w:szCs w:val="24"/>
        </w:rPr>
        <w:t>aff</w:t>
      </w:r>
      <w:proofErr w:type="spellEnd"/>
      <w:r w:rsidRPr="00F84335">
        <w:rPr>
          <w:rFonts w:ascii="Calibri" w:eastAsia="Times New Roman" w:hAnsi="Calibri" w:cs="Calibri"/>
          <w:b/>
          <w:bCs/>
          <w:color w:val="000000"/>
          <w:sz w:val="24"/>
          <w:szCs w:val="24"/>
        </w:rPr>
        <w:t xml:space="preserve"> –</w:t>
      </w:r>
    </w:p>
    <w:p w14:paraId="519BB685"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 xml:space="preserve">2 – limits- kills neg ability to prep because there are infinite plans that can all no-link neg offense – </w:t>
      </w:r>
      <w:proofErr w:type="gramStart"/>
      <w:r w:rsidRPr="00F84335">
        <w:rPr>
          <w:rFonts w:ascii="Calibri" w:eastAsia="Times New Roman" w:hAnsi="Calibri" w:cs="Calibri"/>
          <w:b/>
          <w:bCs/>
          <w:color w:val="000000"/>
          <w:sz w:val="24"/>
          <w:szCs w:val="24"/>
        </w:rPr>
        <w:t>topic  generics</w:t>
      </w:r>
      <w:proofErr w:type="gramEnd"/>
      <w:r w:rsidRPr="00F84335">
        <w:rPr>
          <w:rFonts w:ascii="Calibri" w:eastAsia="Times New Roman" w:hAnsi="Calibri" w:cs="Calibri"/>
          <w:b/>
          <w:bCs/>
          <w:color w:val="000000"/>
          <w:sz w:val="24"/>
          <w:szCs w:val="24"/>
        </w:rPr>
        <w:t xml:space="preserve"> don’t solve because spec plans can no link them. kills fairness because under resourced debaters can’t keep up with thousands of tiny </w:t>
      </w:r>
      <w:proofErr w:type="spellStart"/>
      <w:r w:rsidRPr="00F84335">
        <w:rPr>
          <w:rFonts w:ascii="Calibri" w:eastAsia="Times New Roman" w:hAnsi="Calibri" w:cs="Calibri"/>
          <w:b/>
          <w:bCs/>
          <w:color w:val="000000"/>
          <w:sz w:val="24"/>
          <w:szCs w:val="24"/>
        </w:rPr>
        <w:t>affs</w:t>
      </w:r>
      <w:proofErr w:type="spellEnd"/>
      <w:r w:rsidRPr="00F84335">
        <w:rPr>
          <w:rFonts w:ascii="Calibri" w:eastAsia="Times New Roman" w:hAnsi="Calibri" w:cs="Calibri"/>
          <w:b/>
          <w:bCs/>
          <w:color w:val="000000"/>
          <w:sz w:val="24"/>
          <w:szCs w:val="24"/>
        </w:rPr>
        <w:t xml:space="preserve"> and kills education because we never get in depth engagement. </w:t>
      </w:r>
    </w:p>
    <w:p w14:paraId="5DB5E1F5"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 xml:space="preserve">3 – ground – spec </w:t>
      </w:r>
      <w:proofErr w:type="spellStart"/>
      <w:r w:rsidRPr="00F84335">
        <w:rPr>
          <w:rFonts w:ascii="Calibri" w:eastAsia="Times New Roman" w:hAnsi="Calibri" w:cs="Calibri"/>
          <w:b/>
          <w:bCs/>
          <w:color w:val="000000"/>
          <w:sz w:val="24"/>
          <w:szCs w:val="24"/>
        </w:rPr>
        <w:t>affs</w:t>
      </w:r>
      <w:proofErr w:type="spellEnd"/>
      <w:r w:rsidRPr="00F84335">
        <w:rPr>
          <w:rFonts w:ascii="Calibri" w:eastAsia="Times New Roman" w:hAnsi="Calibri" w:cs="Calibri"/>
          <w:b/>
          <w:bCs/>
          <w:color w:val="000000"/>
          <w:sz w:val="24"/>
          <w:szCs w:val="24"/>
        </w:rPr>
        <w:t xml:space="preserve"> kill neg ground by taking away </w:t>
      </w:r>
      <w:proofErr w:type="spellStart"/>
      <w:r w:rsidRPr="00F84335">
        <w:rPr>
          <w:rFonts w:ascii="Calibri" w:eastAsia="Times New Roman" w:hAnsi="Calibri" w:cs="Calibri"/>
          <w:b/>
          <w:bCs/>
          <w:color w:val="000000"/>
          <w:sz w:val="24"/>
          <w:szCs w:val="24"/>
        </w:rPr>
        <w:t>wholeres</w:t>
      </w:r>
      <w:proofErr w:type="spellEnd"/>
      <w:r w:rsidRPr="00F84335">
        <w:rPr>
          <w:rFonts w:ascii="Calibri" w:eastAsia="Times New Roman" w:hAnsi="Calibri" w:cs="Calibri"/>
          <w:b/>
          <w:bCs/>
          <w:color w:val="000000"/>
          <w:sz w:val="24"/>
          <w:szCs w:val="24"/>
        </w:rPr>
        <w:t xml:space="preserve"> </w:t>
      </w:r>
      <w:proofErr w:type="spellStart"/>
      <w:r w:rsidRPr="00F84335">
        <w:rPr>
          <w:rFonts w:ascii="Calibri" w:eastAsia="Times New Roman" w:hAnsi="Calibri" w:cs="Calibri"/>
          <w:b/>
          <w:bCs/>
          <w:color w:val="000000"/>
          <w:sz w:val="24"/>
          <w:szCs w:val="24"/>
        </w:rPr>
        <w:t>disads</w:t>
      </w:r>
      <w:proofErr w:type="spellEnd"/>
      <w:r w:rsidRPr="00F84335">
        <w:rPr>
          <w:rFonts w:ascii="Calibri" w:eastAsia="Times New Roman" w:hAnsi="Calibri" w:cs="Calibri"/>
          <w:b/>
          <w:bCs/>
          <w:color w:val="000000"/>
          <w:sz w:val="24"/>
          <w:szCs w:val="24"/>
        </w:rPr>
        <w:t xml:space="preserve"> and counterplans – mooting neg generics sets a terrible norm that incentivizes affirmative debaters to write the tiniest, most </w:t>
      </w:r>
      <w:proofErr w:type="spellStart"/>
      <w:r w:rsidRPr="00F84335">
        <w:rPr>
          <w:rFonts w:ascii="Calibri" w:eastAsia="Times New Roman" w:hAnsi="Calibri" w:cs="Calibri"/>
          <w:b/>
          <w:bCs/>
          <w:color w:val="000000"/>
          <w:sz w:val="24"/>
          <w:szCs w:val="24"/>
        </w:rPr>
        <w:t>unnegatable</w:t>
      </w:r>
      <w:proofErr w:type="spellEnd"/>
      <w:r w:rsidRPr="00F84335">
        <w:rPr>
          <w:rFonts w:ascii="Calibri" w:eastAsia="Times New Roman" w:hAnsi="Calibri" w:cs="Calibri"/>
          <w:b/>
          <w:bCs/>
          <w:color w:val="000000"/>
          <w:sz w:val="24"/>
          <w:szCs w:val="24"/>
        </w:rPr>
        <w:t xml:space="preserve"> </w:t>
      </w:r>
      <w:proofErr w:type="spellStart"/>
      <w:r w:rsidRPr="00F84335">
        <w:rPr>
          <w:rFonts w:ascii="Calibri" w:eastAsia="Times New Roman" w:hAnsi="Calibri" w:cs="Calibri"/>
          <w:b/>
          <w:bCs/>
          <w:color w:val="000000"/>
          <w:sz w:val="24"/>
          <w:szCs w:val="24"/>
        </w:rPr>
        <w:t>affs</w:t>
      </w:r>
      <w:proofErr w:type="spellEnd"/>
      <w:r w:rsidRPr="00F84335">
        <w:rPr>
          <w:rFonts w:ascii="Calibri" w:eastAsia="Times New Roman" w:hAnsi="Calibri" w:cs="Calibri"/>
          <w:b/>
          <w:bCs/>
          <w:color w:val="000000"/>
          <w:sz w:val="24"/>
          <w:szCs w:val="24"/>
        </w:rPr>
        <w:t xml:space="preserve"> – kills fairness because </w:t>
      </w:r>
      <w:proofErr w:type="spellStart"/>
      <w:r w:rsidRPr="00F84335">
        <w:rPr>
          <w:rFonts w:ascii="Calibri" w:eastAsia="Times New Roman" w:hAnsi="Calibri" w:cs="Calibri"/>
          <w:b/>
          <w:bCs/>
          <w:color w:val="000000"/>
          <w:sz w:val="24"/>
          <w:szCs w:val="24"/>
        </w:rPr>
        <w:t>aff</w:t>
      </w:r>
      <w:proofErr w:type="spellEnd"/>
      <w:r w:rsidRPr="00F84335">
        <w:rPr>
          <w:rFonts w:ascii="Calibri" w:eastAsia="Times New Roman" w:hAnsi="Calibri" w:cs="Calibri"/>
          <w:b/>
          <w:bCs/>
          <w:color w:val="000000"/>
          <w:sz w:val="24"/>
          <w:szCs w:val="24"/>
        </w:rPr>
        <w:t xml:space="preserve"> always wins if there’s no neg lit base and kills education because the neg can’t debate the topic and is forced to read generics everyone’s already heard</w:t>
      </w:r>
    </w:p>
    <w:p w14:paraId="25AA6573" w14:textId="77777777" w:rsidR="00F84335" w:rsidRPr="00F84335" w:rsidRDefault="00F84335" w:rsidP="00F84335">
      <w:pPr>
        <w:spacing w:line="240" w:lineRule="auto"/>
        <w:rPr>
          <w:rFonts w:ascii="Times New Roman" w:eastAsia="Times New Roman" w:hAnsi="Times New Roman" w:cs="Times New Roman"/>
          <w:sz w:val="24"/>
          <w:szCs w:val="24"/>
        </w:rPr>
      </w:pPr>
      <w:r w:rsidRPr="00F84335">
        <w:rPr>
          <w:rFonts w:ascii="Calibri" w:eastAsia="Times New Roman" w:hAnsi="Calibri" w:cs="Calibri"/>
          <w:color w:val="000000"/>
        </w:rPr>
        <w:t> </w:t>
      </w:r>
    </w:p>
    <w:p w14:paraId="1502A068"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 xml:space="preserve">TVA – read your </w:t>
      </w:r>
      <w:proofErr w:type="spellStart"/>
      <w:r w:rsidRPr="00F84335">
        <w:rPr>
          <w:rFonts w:ascii="Calibri" w:eastAsia="Times New Roman" w:hAnsi="Calibri" w:cs="Calibri"/>
          <w:b/>
          <w:bCs/>
          <w:color w:val="000000"/>
          <w:sz w:val="24"/>
          <w:szCs w:val="24"/>
        </w:rPr>
        <w:t>aff</w:t>
      </w:r>
      <w:proofErr w:type="spellEnd"/>
      <w:r w:rsidRPr="00F84335">
        <w:rPr>
          <w:rFonts w:ascii="Calibri" w:eastAsia="Times New Roman" w:hAnsi="Calibri" w:cs="Calibri"/>
          <w:b/>
          <w:bCs/>
          <w:color w:val="000000"/>
          <w:sz w:val="24"/>
          <w:szCs w:val="24"/>
        </w:rPr>
        <w:t xml:space="preserve"> as an advantage of a </w:t>
      </w:r>
      <w:proofErr w:type="spellStart"/>
      <w:r w:rsidRPr="00F84335">
        <w:rPr>
          <w:rFonts w:ascii="Calibri" w:eastAsia="Times New Roman" w:hAnsi="Calibri" w:cs="Calibri"/>
          <w:b/>
          <w:bCs/>
          <w:color w:val="000000"/>
          <w:sz w:val="24"/>
          <w:szCs w:val="24"/>
        </w:rPr>
        <w:t>wholeres</w:t>
      </w:r>
      <w:proofErr w:type="spellEnd"/>
      <w:r w:rsidRPr="00F84335">
        <w:rPr>
          <w:rFonts w:ascii="Calibri" w:eastAsia="Times New Roman" w:hAnsi="Calibri" w:cs="Calibri"/>
          <w:b/>
          <w:bCs/>
          <w:color w:val="000000"/>
          <w:sz w:val="24"/>
          <w:szCs w:val="24"/>
        </w:rPr>
        <w:t xml:space="preserve"> plan</w:t>
      </w:r>
    </w:p>
    <w:p w14:paraId="20D06F07"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Voters –</w:t>
      </w:r>
    </w:p>
    <w:p w14:paraId="774030B0"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1 -- Fairness – you need fairness to evaluate debate rounds – the judge needs to vote for the better debater not the better cheater. Unfair advantages in debate rounds make decisions illegitimate and hurt our ability to access real world skills. If they try to go for “fairness bad” then just vote neg because it means you’re under no obligation to evaluate their arguments fairly.</w:t>
      </w:r>
    </w:p>
    <w:p w14:paraId="7498C546"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 xml:space="preserve">2 – education – it’s a voter because it’s the reason schools fund debate and the only portable skills we gain from debate are a result of education – knowing how to discuss the merits of broad policy options has more </w:t>
      </w:r>
      <w:proofErr w:type="gramStart"/>
      <w:r w:rsidRPr="00F84335">
        <w:rPr>
          <w:rFonts w:ascii="Calibri" w:eastAsia="Times New Roman" w:hAnsi="Calibri" w:cs="Calibri"/>
          <w:b/>
          <w:bCs/>
          <w:color w:val="000000"/>
          <w:sz w:val="24"/>
          <w:szCs w:val="24"/>
        </w:rPr>
        <w:t>real world</w:t>
      </w:r>
      <w:proofErr w:type="gramEnd"/>
      <w:r w:rsidRPr="00F84335">
        <w:rPr>
          <w:rFonts w:ascii="Calibri" w:eastAsia="Times New Roman" w:hAnsi="Calibri" w:cs="Calibri"/>
          <w:b/>
          <w:bCs/>
          <w:color w:val="000000"/>
          <w:sz w:val="24"/>
          <w:szCs w:val="24"/>
        </w:rPr>
        <w:t xml:space="preserve"> implications than knowing how to go for an </w:t>
      </w:r>
      <w:proofErr w:type="spellStart"/>
      <w:r w:rsidRPr="00F84335">
        <w:rPr>
          <w:rFonts w:ascii="Calibri" w:eastAsia="Times New Roman" w:hAnsi="Calibri" w:cs="Calibri"/>
          <w:b/>
          <w:bCs/>
          <w:color w:val="000000"/>
          <w:sz w:val="24"/>
          <w:szCs w:val="24"/>
        </w:rPr>
        <w:t>rvi</w:t>
      </w:r>
      <w:proofErr w:type="spellEnd"/>
      <w:r w:rsidRPr="00F84335">
        <w:rPr>
          <w:rFonts w:ascii="Calibri" w:eastAsia="Times New Roman" w:hAnsi="Calibri" w:cs="Calibri"/>
          <w:b/>
          <w:bCs/>
          <w:color w:val="000000"/>
          <w:sz w:val="24"/>
          <w:szCs w:val="24"/>
        </w:rPr>
        <w:t xml:space="preserve"> or knowing how to defend policies that are so obscure they’d never be passed.</w:t>
      </w:r>
    </w:p>
    <w:p w14:paraId="23D4F9A7"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Paradigm issues – </w:t>
      </w:r>
    </w:p>
    <w:p w14:paraId="3C7A52CF"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1 – No RVIs </w:t>
      </w:r>
    </w:p>
    <w:p w14:paraId="3BC7B28E"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a] logic – you don’t get to win just for proving you’re topical</w:t>
      </w:r>
    </w:p>
    <w:p w14:paraId="7719C5E1" w14:textId="77777777" w:rsidR="00F84335" w:rsidRPr="00F84335" w:rsidRDefault="00F84335" w:rsidP="00F84335">
      <w:pPr>
        <w:spacing w:line="240" w:lineRule="auto"/>
        <w:rPr>
          <w:rFonts w:ascii="Times New Roman" w:eastAsia="Times New Roman" w:hAnsi="Times New Roman" w:cs="Times New Roman"/>
          <w:sz w:val="24"/>
          <w:szCs w:val="24"/>
        </w:rPr>
      </w:pPr>
      <w:r w:rsidRPr="00F84335">
        <w:rPr>
          <w:rFonts w:ascii="Calibri" w:eastAsia="Times New Roman" w:hAnsi="Calibri" w:cs="Calibri"/>
          <w:color w:val="000000"/>
        </w:rPr>
        <w:t> </w:t>
      </w:r>
    </w:p>
    <w:p w14:paraId="32C92FD7"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2 – competing interpretations over reasonability</w:t>
      </w:r>
    </w:p>
    <w:p w14:paraId="6B3D228B"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a] arbitrariness – reasonability is arbitrary and invites judge intervention</w:t>
      </w:r>
    </w:p>
    <w:p w14:paraId="23632DBA"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 xml:space="preserve">b] </w:t>
      </w:r>
      <w:proofErr w:type="spellStart"/>
      <w:r w:rsidRPr="00F84335">
        <w:rPr>
          <w:rFonts w:ascii="Calibri" w:eastAsia="Times New Roman" w:hAnsi="Calibri" w:cs="Calibri"/>
          <w:b/>
          <w:bCs/>
          <w:color w:val="000000"/>
          <w:sz w:val="24"/>
          <w:szCs w:val="24"/>
        </w:rPr>
        <w:t>brightlines</w:t>
      </w:r>
      <w:proofErr w:type="spellEnd"/>
      <w:r w:rsidRPr="00F84335">
        <w:rPr>
          <w:rFonts w:ascii="Calibri" w:eastAsia="Times New Roman" w:hAnsi="Calibri" w:cs="Calibri"/>
          <w:b/>
          <w:bCs/>
          <w:color w:val="000000"/>
          <w:sz w:val="24"/>
          <w:szCs w:val="24"/>
        </w:rPr>
        <w:t xml:space="preserve"> mean competing </w:t>
      </w:r>
      <w:proofErr w:type="spellStart"/>
      <w:r w:rsidRPr="00F84335">
        <w:rPr>
          <w:rFonts w:ascii="Calibri" w:eastAsia="Times New Roman" w:hAnsi="Calibri" w:cs="Calibri"/>
          <w:b/>
          <w:bCs/>
          <w:color w:val="000000"/>
          <w:sz w:val="24"/>
          <w:szCs w:val="24"/>
        </w:rPr>
        <w:t>interps</w:t>
      </w:r>
      <w:proofErr w:type="spellEnd"/>
      <w:r w:rsidRPr="00F84335">
        <w:rPr>
          <w:rFonts w:ascii="Calibri" w:eastAsia="Times New Roman" w:hAnsi="Calibri" w:cs="Calibri"/>
          <w:b/>
          <w:bCs/>
          <w:color w:val="000000"/>
          <w:sz w:val="24"/>
          <w:szCs w:val="24"/>
        </w:rPr>
        <w:t xml:space="preserve"> – it becomes a debate of whose </w:t>
      </w:r>
      <w:proofErr w:type="spellStart"/>
      <w:r w:rsidRPr="00F84335">
        <w:rPr>
          <w:rFonts w:ascii="Calibri" w:eastAsia="Times New Roman" w:hAnsi="Calibri" w:cs="Calibri"/>
          <w:b/>
          <w:bCs/>
          <w:color w:val="000000"/>
          <w:sz w:val="24"/>
          <w:szCs w:val="24"/>
        </w:rPr>
        <w:t>brightline</w:t>
      </w:r>
      <w:proofErr w:type="spellEnd"/>
      <w:r w:rsidRPr="00F84335">
        <w:rPr>
          <w:rFonts w:ascii="Calibri" w:eastAsia="Times New Roman" w:hAnsi="Calibri" w:cs="Calibri"/>
          <w:b/>
          <w:bCs/>
          <w:color w:val="000000"/>
          <w:sz w:val="24"/>
          <w:szCs w:val="24"/>
        </w:rPr>
        <w:t xml:space="preserve"> is best which is the same thing as competing </w:t>
      </w:r>
      <w:proofErr w:type="spellStart"/>
      <w:r w:rsidRPr="00F84335">
        <w:rPr>
          <w:rFonts w:ascii="Calibri" w:eastAsia="Times New Roman" w:hAnsi="Calibri" w:cs="Calibri"/>
          <w:b/>
          <w:bCs/>
          <w:color w:val="000000"/>
          <w:sz w:val="24"/>
          <w:szCs w:val="24"/>
        </w:rPr>
        <w:t>interps</w:t>
      </w:r>
      <w:proofErr w:type="spellEnd"/>
      <w:r w:rsidRPr="00F84335">
        <w:rPr>
          <w:rFonts w:ascii="Calibri" w:eastAsia="Times New Roman" w:hAnsi="Calibri" w:cs="Calibri"/>
          <w:b/>
          <w:bCs/>
          <w:color w:val="000000"/>
          <w:sz w:val="24"/>
          <w:szCs w:val="24"/>
        </w:rPr>
        <w:t xml:space="preserve"> – you’re debating about whose model is best </w:t>
      </w:r>
    </w:p>
    <w:p w14:paraId="2EDDFC88" w14:textId="77777777" w:rsidR="00F84335" w:rsidRPr="00F84335" w:rsidRDefault="00F84335" w:rsidP="00F84335">
      <w:pPr>
        <w:spacing w:line="240" w:lineRule="auto"/>
        <w:rPr>
          <w:rFonts w:ascii="Times New Roman" w:eastAsia="Times New Roman" w:hAnsi="Times New Roman" w:cs="Times New Roman"/>
          <w:sz w:val="24"/>
          <w:szCs w:val="24"/>
        </w:rPr>
      </w:pPr>
      <w:r w:rsidRPr="00F84335">
        <w:rPr>
          <w:rFonts w:ascii="Calibri" w:eastAsia="Times New Roman" w:hAnsi="Calibri" w:cs="Calibri"/>
          <w:color w:val="000000"/>
        </w:rPr>
        <w:t> </w:t>
      </w:r>
    </w:p>
    <w:p w14:paraId="152DBD95"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3 – drop the debater </w:t>
      </w:r>
    </w:p>
    <w:p w14:paraId="16CEBE3F" w14:textId="77777777" w:rsidR="00F84335" w:rsidRPr="00F84335" w:rsidRDefault="00F84335" w:rsidP="00F84335">
      <w:pPr>
        <w:spacing w:before="240" w:after="40" w:line="240" w:lineRule="auto"/>
        <w:outlineLvl w:val="3"/>
        <w:rPr>
          <w:rFonts w:ascii="Times New Roman" w:eastAsia="Times New Roman" w:hAnsi="Times New Roman" w:cs="Times New Roman"/>
          <w:b/>
          <w:bCs/>
          <w:sz w:val="24"/>
          <w:szCs w:val="24"/>
        </w:rPr>
      </w:pPr>
      <w:r w:rsidRPr="00F84335">
        <w:rPr>
          <w:rFonts w:ascii="Calibri" w:eastAsia="Times New Roman" w:hAnsi="Calibri" w:cs="Calibri"/>
          <w:b/>
          <w:bCs/>
          <w:color w:val="000000"/>
          <w:sz w:val="24"/>
          <w:szCs w:val="24"/>
        </w:rPr>
        <w:t xml:space="preserve">a] logic – drop the argument doesn’t make sense – the shell </w:t>
      </w:r>
      <w:proofErr w:type="spellStart"/>
      <w:r w:rsidRPr="00F84335">
        <w:rPr>
          <w:rFonts w:ascii="Calibri" w:eastAsia="Times New Roman" w:hAnsi="Calibri" w:cs="Calibri"/>
          <w:b/>
          <w:bCs/>
          <w:color w:val="000000"/>
          <w:sz w:val="24"/>
          <w:szCs w:val="24"/>
        </w:rPr>
        <w:t>indics</w:t>
      </w:r>
      <w:proofErr w:type="spellEnd"/>
      <w:r w:rsidRPr="00F84335">
        <w:rPr>
          <w:rFonts w:ascii="Calibri" w:eastAsia="Times New Roman" w:hAnsi="Calibri" w:cs="Calibri"/>
          <w:b/>
          <w:bCs/>
          <w:color w:val="000000"/>
          <w:sz w:val="24"/>
          <w:szCs w:val="24"/>
        </w:rPr>
        <w:t xml:space="preserve"> their entire advocacy </w:t>
      </w:r>
    </w:p>
    <w:p w14:paraId="0E32EE38" w14:textId="77777777" w:rsidR="00F84335" w:rsidRDefault="00F84335"/>
    <w:sectPr w:rsidR="00F843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335"/>
    <w:rsid w:val="00056BB9"/>
    <w:rsid w:val="00F84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5C821"/>
  <w15:chartTrackingRefBased/>
  <w15:docId w15:val="{539B76FA-BA77-438C-9F42-5A47EBD5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335"/>
  </w:style>
  <w:style w:type="paragraph" w:styleId="Heading2">
    <w:name w:val="heading 2"/>
    <w:basedOn w:val="Normal"/>
    <w:link w:val="Heading2Char"/>
    <w:uiPriority w:val="9"/>
    <w:qFormat/>
    <w:rsid w:val="00F843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8433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8433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8433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8433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8433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8433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843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6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14623520601056240" TargetMode="External"/><Relationship Id="rId13" Type="http://schemas.openxmlformats.org/officeDocument/2006/relationships/hyperlink" Target="https://www.oxfordbibliographies.com/view/document/obo-9780190221911/obo-9780190221911-0029.x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andfonline.com/doi/full/10.1080/14623520601056240" TargetMode="External"/><Relationship Id="rId12" Type="http://schemas.openxmlformats.org/officeDocument/2006/relationships/hyperlink" Target="https://www.oxfordbibliographies.com/view/document/obo-9780190221911/obo-9780190221911-0029.xml" TargetMode="External"/><Relationship Id="rId17" Type="http://schemas.openxmlformats.org/officeDocument/2006/relationships/hyperlink" Target="https://plato.stanford.edu/entries/generics/" TargetMode="External"/><Relationship Id="rId2" Type="http://schemas.openxmlformats.org/officeDocument/2006/relationships/settings" Target="settings.xml"/><Relationship Id="rId16" Type="http://schemas.openxmlformats.org/officeDocument/2006/relationships/hyperlink" Target="https://www.vbriefly.com/2019/08/12/genericity-on-the-standardized-tests-resolution/?fbclid=IwAR0hUkKdDzHWrNeqEVI7m59pwsnmqLl490n4uRLQTe7bWmWDO_avWCNzi14" TargetMode="External"/><Relationship Id="rId1" Type="http://schemas.openxmlformats.org/officeDocument/2006/relationships/styles" Target="styles.xml"/><Relationship Id="rId6" Type="http://schemas.openxmlformats.org/officeDocument/2006/relationships/hyperlink" Target="https://www.tandfonline.com/doi/full/10.1080/14623520601056240" TargetMode="External"/><Relationship Id="rId11" Type="http://schemas.openxmlformats.org/officeDocument/2006/relationships/hyperlink" Target="https://www.oxfordbibliographies.com/view/document/obo-9780190221911/obo-9780190221911-0029.xml" TargetMode="External"/><Relationship Id="rId5" Type="http://schemas.openxmlformats.org/officeDocument/2006/relationships/hyperlink" Target="https://www.tandfonline.com/doi/full/10.1080/14623520601056240" TargetMode="External"/><Relationship Id="rId15" Type="http://schemas.openxmlformats.org/officeDocument/2006/relationships/hyperlink" Target="https://www.oxfordbibliographies.com/view/document/obo-9780190221911/obo-9780190221911-0029.xml" TargetMode="External"/><Relationship Id="rId10" Type="http://schemas.openxmlformats.org/officeDocument/2006/relationships/hyperlink" Target="https://www.oxfordbibliographies.com/view/document/obo-9780190221911/obo-9780190221911-0029.xml" TargetMode="External"/><Relationship Id="rId19" Type="http://schemas.openxmlformats.org/officeDocument/2006/relationships/theme" Target="theme/theme1.xml"/><Relationship Id="rId4" Type="http://schemas.openxmlformats.org/officeDocument/2006/relationships/hyperlink" Target="https://www.tandfonline.com/doi/full/10.1080/14623520601056240" TargetMode="External"/><Relationship Id="rId9" Type="http://schemas.openxmlformats.org/officeDocument/2006/relationships/hyperlink" Target="https://www.tandfonline.com/doi/full/10.1080/14623520601056240" TargetMode="External"/><Relationship Id="rId14" Type="http://schemas.openxmlformats.org/officeDocument/2006/relationships/hyperlink" Target="https://www.oxfordbibliographies.com/view/document/obo-9780190221911/obo-9780190221911-0029.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3514</Words>
  <Characters>20030</Characters>
  <Application>Microsoft Office Word</Application>
  <DocSecurity>0</DocSecurity>
  <Lines>166</Lines>
  <Paragraphs>46</Paragraphs>
  <ScaleCrop>false</ScaleCrop>
  <Company/>
  <LinksUpToDate>false</LinksUpToDate>
  <CharactersWithSpaces>23498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1</cp:revision>
  <dcterms:created xsi:type="dcterms:W3CDTF">2021-09-20T02:05:00Z</dcterms:created>
  <dcterms:modified xsi:type="dcterms:W3CDTF">2021-09-20T02:06:00Z</dcterms:modified>
</cp:coreProperties>
</file>