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BD275" w14:textId="431E30BA" w:rsidR="00175329" w:rsidRDefault="00175329" w:rsidP="00CD2B56">
      <w:pPr>
        <w:pStyle w:val="Heading2"/>
      </w:pPr>
      <w:r>
        <w:t xml:space="preserve">Off </w:t>
      </w:r>
    </w:p>
    <w:p w14:paraId="51140C38" w14:textId="77777777" w:rsidR="00175329" w:rsidRDefault="00175329" w:rsidP="00175329">
      <w:pPr>
        <w:pStyle w:val="Heading4"/>
        <w:shd w:val="clear" w:color="auto" w:fill="FFFFFF"/>
        <w:spacing w:before="0" w:line="276" w:lineRule="auto"/>
        <w:rPr>
          <w:rFonts w:eastAsia="Times New Roman" w:cs="Calibri"/>
          <w:color w:val="000000" w:themeColor="text1"/>
        </w:rPr>
      </w:pPr>
      <w:r w:rsidRPr="00453186">
        <w:rPr>
          <w:rFonts w:cs="Calibri"/>
          <w:color w:val="000000" w:themeColor="text1"/>
        </w:rPr>
        <w:t xml:space="preserve">Interp: </w:t>
      </w:r>
      <w:r w:rsidRPr="00453186">
        <w:rPr>
          <w:rFonts w:eastAsia="Times New Roman" w:cs="Calibri"/>
          <w:color w:val="000000" w:themeColor="text1"/>
        </w:rPr>
        <w:t xml:space="preserve">The affirmative may only garner offense from the </w:t>
      </w:r>
      <w:r>
        <w:rPr>
          <w:rFonts w:eastAsia="Times New Roman" w:cs="Calibri"/>
          <w:color w:val="000000" w:themeColor="text1"/>
        </w:rPr>
        <w:t>legal recognition of the right to strike.</w:t>
      </w:r>
    </w:p>
    <w:p w14:paraId="0925ADD1" w14:textId="77777777" w:rsidR="00175329" w:rsidRDefault="00175329" w:rsidP="00175329">
      <w:pPr>
        <w:pStyle w:val="Heading4"/>
      </w:pPr>
      <w:r>
        <w:t xml:space="preserve">Violation they don’t that was cx – they defend that the workers </w:t>
      </w:r>
    </w:p>
    <w:p w14:paraId="0589ECDE" w14:textId="77777777" w:rsidR="00175329" w:rsidRPr="008579FC" w:rsidRDefault="00175329" w:rsidP="00175329"/>
    <w:p w14:paraId="1750AE22" w14:textId="77777777" w:rsidR="00175329" w:rsidRDefault="00175329" w:rsidP="00175329">
      <w:pPr>
        <w:pStyle w:val="Heading4"/>
        <w:rPr>
          <w:rFonts w:eastAsia="Calibri" w:cs="Calibri"/>
        </w:rPr>
      </w:pPr>
      <w:r w:rsidRPr="00453186">
        <w:rPr>
          <w:rFonts w:eastAsia="Calibri" w:cs="Calibri"/>
        </w:rPr>
        <w:t xml:space="preserve">Resolved requires </w:t>
      </w:r>
      <w:r>
        <w:rPr>
          <w:rFonts w:eastAsia="Calibri" w:cs="Calibri"/>
        </w:rPr>
        <w:t>legislative</w:t>
      </w:r>
      <w:r w:rsidRPr="00453186">
        <w:rPr>
          <w:rFonts w:eastAsia="Calibri" w:cs="Calibri"/>
        </w:rPr>
        <w:t xml:space="preserve"> action</w:t>
      </w:r>
    </w:p>
    <w:p w14:paraId="0D350BA5" w14:textId="77777777" w:rsidR="00175329" w:rsidRPr="004670E7" w:rsidRDefault="00175329" w:rsidP="00175329">
      <w:pPr>
        <w:rPr>
          <w:rStyle w:val="Style13ptBold"/>
        </w:rPr>
      </w:pPr>
      <w:r w:rsidRPr="004670E7">
        <w:rPr>
          <w:rStyle w:val="Style13ptBold"/>
        </w:rPr>
        <w:t xml:space="preserve">Words and Phrases 64 </w:t>
      </w:r>
    </w:p>
    <w:p w14:paraId="470C82BF" w14:textId="77777777" w:rsidR="00175329" w:rsidRPr="004670E7" w:rsidRDefault="00175329" w:rsidP="00175329">
      <w:r w:rsidRPr="004670E7">
        <w:t>Words and Phrases Permanent Edition. “Resolved”. 1964.</w:t>
      </w:r>
    </w:p>
    <w:p w14:paraId="4600B001" w14:textId="77777777" w:rsidR="00175329" w:rsidRDefault="00175329" w:rsidP="00175329">
      <w:pPr>
        <w:rPr>
          <w:rFonts w:asciiTheme="minorHAnsi" w:hAnsiTheme="minorHAnsi" w:cstheme="minorHAnsi"/>
        </w:rPr>
      </w:pPr>
      <w:r w:rsidRPr="004670E7">
        <w:rPr>
          <w:rStyle w:val="StyleUnderline"/>
          <w:rFonts w:asciiTheme="minorHAnsi" w:hAnsiTheme="minorHAnsi" w:cstheme="minorHAnsi"/>
        </w:rPr>
        <w:t>Definition of the word “</w:t>
      </w:r>
      <w:r w:rsidRPr="00BA4EFB">
        <w:rPr>
          <w:rStyle w:val="StyleUnderline"/>
          <w:rFonts w:asciiTheme="minorHAnsi" w:hAnsiTheme="minorHAnsi" w:cstheme="minorHAnsi"/>
          <w:highlight w:val="green"/>
        </w:rPr>
        <w:t>resolve</w:t>
      </w:r>
      <w:r w:rsidRPr="004670E7">
        <w:rPr>
          <w:rStyle w:val="StyleUnderline"/>
          <w:rFonts w:asciiTheme="minorHAnsi" w:hAnsiTheme="minorHAnsi" w:cstheme="minorHAnsi"/>
        </w:rPr>
        <w:t xml:space="preserve">,” given by Webster </w:t>
      </w:r>
      <w:r w:rsidRPr="00BA4EFB">
        <w:rPr>
          <w:rStyle w:val="StyleUnderline"/>
          <w:rFonts w:asciiTheme="minorHAnsi" w:hAnsiTheme="minorHAnsi" w:cstheme="minorHAnsi"/>
          <w:highlight w:val="green"/>
        </w:rPr>
        <w:t>is</w:t>
      </w:r>
      <w:r w:rsidRPr="004670E7">
        <w:rPr>
          <w:rStyle w:val="StyleUnderline"/>
          <w:rFonts w:asciiTheme="minorHAnsi" w:hAnsiTheme="minorHAnsi" w:cstheme="minorHAnsi"/>
        </w:rPr>
        <w:t xml:space="preserve"> “to express an opinion or </w:t>
      </w:r>
      <w:r w:rsidRPr="00BA4EFB">
        <w:rPr>
          <w:rStyle w:val="StyleUnderline"/>
          <w:rFonts w:asciiTheme="minorHAnsi" w:hAnsiTheme="minorHAnsi" w:cstheme="minorHAnsi"/>
          <w:highlight w:val="green"/>
        </w:rPr>
        <w:t>determination by</w:t>
      </w:r>
      <w:r w:rsidRPr="004670E7">
        <w:rPr>
          <w:rStyle w:val="StyleUnderline"/>
          <w:rFonts w:asciiTheme="minorHAnsi" w:hAnsiTheme="minorHAnsi" w:cstheme="minorHAnsi"/>
        </w:rPr>
        <w:t xml:space="preserve"> resolution or vote; as ‘it was resolved by the </w:t>
      </w:r>
      <w:r w:rsidRPr="00BA4EFB">
        <w:rPr>
          <w:rStyle w:val="StyleUnderline"/>
          <w:rFonts w:asciiTheme="minorHAnsi" w:hAnsiTheme="minorHAnsi" w:cstheme="minorHAnsi"/>
          <w:highlight w:val="green"/>
        </w:rPr>
        <w:t>legislature</w:t>
      </w:r>
      <w:r w:rsidRPr="004670E7">
        <w:rPr>
          <w:rFonts w:asciiTheme="minorHAnsi" w:hAnsiTheme="minorHAnsi" w:cstheme="minorHAnsi"/>
        </w:rPr>
        <w:t>;” It is of similar force to the word “enact,” which is defined by Bouvier as meaning “</w:t>
      </w:r>
      <w:r w:rsidRPr="00BA4EFB">
        <w:rPr>
          <w:rStyle w:val="StyleUnderline"/>
          <w:rFonts w:asciiTheme="minorHAnsi" w:hAnsiTheme="minorHAnsi" w:cstheme="minorHAnsi"/>
          <w:highlight w:val="green"/>
        </w:rPr>
        <w:t>to establish by law</w:t>
      </w:r>
      <w:r w:rsidRPr="004670E7">
        <w:rPr>
          <w:rFonts w:asciiTheme="minorHAnsi" w:hAnsiTheme="minorHAnsi" w:cstheme="minorHAnsi"/>
        </w:rPr>
        <w:t>”.</w:t>
      </w:r>
    </w:p>
    <w:p w14:paraId="236CEF4E" w14:textId="77777777" w:rsidR="00175329" w:rsidRDefault="00175329" w:rsidP="00175329">
      <w:pPr>
        <w:pStyle w:val="Heading4"/>
      </w:pPr>
      <w:r>
        <w:t>Government</w:t>
      </w:r>
    </w:p>
    <w:p w14:paraId="25254E1E" w14:textId="77777777" w:rsidR="00175329" w:rsidRDefault="00175329" w:rsidP="00175329">
      <w:r w:rsidRPr="00E548A6">
        <w:rPr>
          <w:rStyle w:val="Style13ptBold"/>
        </w:rPr>
        <w:t>Oxford</w:t>
      </w:r>
      <w:r w:rsidRPr="00E548A6">
        <w:t xml:space="preserve"> Lexico. Definition of </w:t>
      </w:r>
      <w:r>
        <w:t>government</w:t>
      </w:r>
      <w:r w:rsidRPr="00E548A6">
        <w:t xml:space="preserve"> in English. </w:t>
      </w:r>
      <w:hyperlink r:id="rId6" w:history="1">
        <w:r w:rsidRPr="00DC55D6">
          <w:rPr>
            <w:rStyle w:val="Hyperlink"/>
          </w:rPr>
          <w:t>https://www.lexico.com/en/definition/government</w:t>
        </w:r>
      </w:hyperlink>
    </w:p>
    <w:p w14:paraId="23329304" w14:textId="77777777" w:rsidR="00175329" w:rsidRDefault="00175329" w:rsidP="00175329">
      <w:pPr>
        <w:rPr>
          <w:rStyle w:val="StyleUnderline"/>
        </w:rPr>
      </w:pPr>
      <w:r>
        <w:rPr>
          <w:rStyle w:val="StyleUnderline"/>
        </w:rPr>
        <w:t xml:space="preserve">The </w:t>
      </w:r>
      <w:r w:rsidRPr="00BA4EFB">
        <w:rPr>
          <w:rStyle w:val="StyleUnderline"/>
          <w:highlight w:val="green"/>
        </w:rPr>
        <w:t>governing body of a nation, state, or community</w:t>
      </w:r>
      <w:r>
        <w:rPr>
          <w:rStyle w:val="StyleUnderline"/>
        </w:rPr>
        <w:t>. ‘an agency of the federal government’</w:t>
      </w:r>
    </w:p>
    <w:p w14:paraId="663ECA2E" w14:textId="77777777" w:rsidR="00175329" w:rsidRPr="00FB17BA" w:rsidRDefault="00175329" w:rsidP="00175329">
      <w:pPr>
        <w:pStyle w:val="Heading4"/>
      </w:pPr>
      <w:r w:rsidRPr="00FB17BA">
        <w:t>Recognize</w:t>
      </w:r>
    </w:p>
    <w:p w14:paraId="11DF3CBA" w14:textId="77777777" w:rsidR="00175329" w:rsidRDefault="00175329" w:rsidP="00175329">
      <w:r w:rsidRPr="00E548A6">
        <w:rPr>
          <w:rStyle w:val="Style13ptBold"/>
        </w:rPr>
        <w:t>Oxford</w:t>
      </w:r>
      <w:r w:rsidRPr="00E548A6">
        <w:t xml:space="preserve"> Lexico. Definition of recognize in English. </w:t>
      </w:r>
      <w:hyperlink r:id="rId7" w:history="1">
        <w:r w:rsidRPr="00DC55D6">
          <w:rPr>
            <w:rStyle w:val="Hyperlink"/>
          </w:rPr>
          <w:t>https://www.lexico.com/en/definition/recognize</w:t>
        </w:r>
      </w:hyperlink>
    </w:p>
    <w:p w14:paraId="3C296245" w14:textId="77777777" w:rsidR="00175329" w:rsidRDefault="00175329" w:rsidP="00175329">
      <w:r w:rsidRPr="00BA4EFB">
        <w:rPr>
          <w:rStyle w:val="StyleUnderline"/>
          <w:highlight w:val="green"/>
        </w:rPr>
        <w:t>Acknowledge</w:t>
      </w:r>
      <w:r w:rsidRPr="00E548A6">
        <w:rPr>
          <w:rStyle w:val="StyleUnderline"/>
        </w:rPr>
        <w:t xml:space="preserve"> the </w:t>
      </w:r>
      <w:r w:rsidRPr="00BA4EFB">
        <w:rPr>
          <w:rStyle w:val="StyleUnderline"/>
          <w:highlight w:val="green"/>
        </w:rPr>
        <w:t>existence</w:t>
      </w:r>
      <w:r w:rsidRPr="00E548A6">
        <w:rPr>
          <w:rStyle w:val="StyleUnderline"/>
        </w:rPr>
        <w:t xml:space="preserve">, </w:t>
      </w:r>
      <w:r w:rsidRPr="00BA4EFB">
        <w:rPr>
          <w:rStyle w:val="StyleUnderline"/>
          <w:highlight w:val="green"/>
        </w:rPr>
        <w:t>validity, or legality of</w:t>
      </w:r>
      <w:r>
        <w:t>. ‘the defense is recognized in Mexican law’</w:t>
      </w:r>
    </w:p>
    <w:p w14:paraId="1AABBB79" w14:textId="77777777" w:rsidR="00175329" w:rsidRDefault="00175329" w:rsidP="00175329">
      <w:pPr>
        <w:pStyle w:val="Heading4"/>
      </w:pPr>
      <w:r>
        <w:t>Unconditional</w:t>
      </w:r>
    </w:p>
    <w:p w14:paraId="4943D298" w14:textId="77777777" w:rsidR="00175329" w:rsidRDefault="00175329" w:rsidP="00175329">
      <w:r w:rsidRPr="00FB17BA">
        <w:rPr>
          <w:rStyle w:val="Style13ptBold"/>
        </w:rPr>
        <w:t>US Legal.</w:t>
      </w:r>
      <w:r>
        <w:t xml:space="preserve"> Unconditional Law and Legal Definition. </w:t>
      </w:r>
      <w:r w:rsidRPr="00FB17BA">
        <w:t>https://definitions.uslegal.com/u/unconditional/</w:t>
      </w:r>
    </w:p>
    <w:p w14:paraId="49F2EF8E" w14:textId="77777777" w:rsidR="00175329" w:rsidRPr="00CC2744" w:rsidRDefault="00175329" w:rsidP="00175329">
      <w:pPr>
        <w:rPr>
          <w:u w:val="single"/>
        </w:rPr>
      </w:pPr>
      <w:r w:rsidRPr="00BA4EFB">
        <w:rPr>
          <w:rStyle w:val="StyleUnderline"/>
          <w:highlight w:val="green"/>
        </w:rPr>
        <w:t>Unconditional means without conditions</w:t>
      </w:r>
      <w:r w:rsidRPr="00FB17BA">
        <w:rPr>
          <w:rStyle w:val="StyleUnderline"/>
        </w:rPr>
        <w:t xml:space="preserve">; without </w:t>
      </w:r>
      <w:r w:rsidRPr="00BA4EFB">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07DCE85E" w14:textId="77777777" w:rsidR="00175329" w:rsidRDefault="00175329" w:rsidP="00175329">
      <w:pPr>
        <w:rPr>
          <w:rFonts w:eastAsiaTheme="majorEastAsia"/>
          <w:b/>
          <w:iCs/>
          <w:color w:val="FF0000"/>
          <w:sz w:val="26"/>
        </w:rPr>
      </w:pPr>
      <w:r w:rsidRPr="00453186">
        <w:rPr>
          <w:rFonts w:eastAsiaTheme="majorEastAsia"/>
          <w:b/>
          <w:iCs/>
          <w:sz w:val="26"/>
        </w:rPr>
        <w:t xml:space="preserve">Violation: </w:t>
      </w:r>
      <w:r>
        <w:rPr>
          <w:rFonts w:eastAsiaTheme="majorEastAsia"/>
          <w:b/>
          <w:iCs/>
          <w:color w:val="FF0000"/>
          <w:sz w:val="26"/>
        </w:rPr>
        <w:t>You defend a revolutionary movement</w:t>
      </w:r>
    </w:p>
    <w:p w14:paraId="40CB0017" w14:textId="77777777" w:rsidR="00175329" w:rsidRDefault="00175329" w:rsidP="00175329">
      <w:pPr>
        <w:pStyle w:val="Heading4"/>
      </w:pPr>
      <w:r>
        <w:t>Revolutionary tactics are insufficient. The term “Right to strike” entails legal action—the plan must make strikes not just legal but legally protected, or else it’s the mere freedom to strike</w:t>
      </w:r>
    </w:p>
    <w:p w14:paraId="46CF570F" w14:textId="77777777" w:rsidR="00175329" w:rsidRPr="00F140B2" w:rsidRDefault="00175329" w:rsidP="00175329">
      <w:pPr>
        <w:rPr>
          <w:rStyle w:val="Style13ptBold"/>
        </w:rPr>
      </w:pPr>
      <w:r>
        <w:rPr>
          <w:rStyle w:val="Style13ptBold"/>
        </w:rPr>
        <w:t>Malebye 14</w:t>
      </w:r>
    </w:p>
    <w:p w14:paraId="1B4BB916" w14:textId="77777777" w:rsidR="00175329" w:rsidRPr="00F140B2" w:rsidRDefault="00175329" w:rsidP="00175329">
      <w:pPr>
        <w:rPr>
          <w:sz w:val="16"/>
        </w:rPr>
      </w:pPr>
      <w:r w:rsidRPr="00F140B2">
        <w:rPr>
          <w:sz w:val="16"/>
        </w:rPr>
        <w:t xml:space="preserve">Cynthia Dithato Malebye (Department of Mercantile Law, University of Pretoria). “The Right to Strike in Respect of Employment Relationships and Collective Bargaining.” Dissertation. University of Pretoria, April 2014. JDN. </w:t>
      </w:r>
      <w:hyperlink r:id="rId8" w:history="1">
        <w:r w:rsidRPr="00F140B2">
          <w:rPr>
            <w:rStyle w:val="Hyperlink"/>
            <w:sz w:val="16"/>
          </w:rPr>
          <w:t>https://repository.up.ac.za/bitstream/handle/2263/43163/Malebye_Right_2014.pdf?sequence=1</w:t>
        </w:r>
      </w:hyperlink>
    </w:p>
    <w:p w14:paraId="43084447" w14:textId="77777777" w:rsidR="00175329" w:rsidRDefault="00175329" w:rsidP="00175329"/>
    <w:p w14:paraId="2F3035FB" w14:textId="77777777" w:rsidR="00175329" w:rsidRPr="00371533" w:rsidRDefault="00175329" w:rsidP="00175329">
      <w:pPr>
        <w:rPr>
          <w:u w:val="single"/>
        </w:rPr>
      </w:pPr>
      <w:r w:rsidRPr="00371533">
        <w:rPr>
          <w:highlight w:val="yellow"/>
          <w:u w:val="single"/>
        </w:rPr>
        <w:lastRenderedPageBreak/>
        <w:t>Before</w:t>
      </w:r>
      <w:r w:rsidRPr="00371533">
        <w:rPr>
          <w:u w:val="single"/>
        </w:rPr>
        <w:t xml:space="preserve"> the </w:t>
      </w:r>
      <w:r w:rsidRPr="00371533">
        <w:rPr>
          <w:highlight w:val="yellow"/>
          <w:u w:val="single"/>
        </w:rPr>
        <w:t>implementation of the new Constitution</w:t>
      </w:r>
      <w:r w:rsidRPr="00371533">
        <w:rPr>
          <w:u w:val="single"/>
        </w:rPr>
        <w:t xml:space="preserve"> in South Africa, </w:t>
      </w:r>
      <w:r w:rsidRPr="00371533">
        <w:rPr>
          <w:highlight w:val="yellow"/>
          <w:u w:val="single"/>
        </w:rPr>
        <w:t xml:space="preserve">employees only enjoyed </w:t>
      </w:r>
      <w:r w:rsidRPr="00371533">
        <w:rPr>
          <w:b/>
          <w:highlight w:val="yellow"/>
          <w:u w:val="single"/>
          <w:bdr w:val="single" w:sz="18" w:space="0" w:color="auto"/>
        </w:rPr>
        <w:t>the freedom to strike but not the right to strike.</w:t>
      </w:r>
      <w:r w:rsidRPr="00371533">
        <w:rPr>
          <w:highlight w:val="yellow"/>
          <w:u w:val="single"/>
        </w:rPr>
        <w:t xml:space="preserve"> This</w:t>
      </w:r>
      <w:r w:rsidRPr="00371533">
        <w:rPr>
          <w:u w:val="single"/>
        </w:rPr>
        <w:t xml:space="preserve"> past situation </w:t>
      </w:r>
      <w:r w:rsidRPr="00371533">
        <w:rPr>
          <w:highlight w:val="yellow"/>
          <w:u w:val="single"/>
        </w:rPr>
        <w:t>implied that</w:t>
      </w:r>
      <w:r w:rsidRPr="00371533">
        <w:rPr>
          <w:u w:val="single"/>
        </w:rPr>
        <w:t xml:space="preserve"> the </w:t>
      </w:r>
      <w:r w:rsidRPr="00371533">
        <w:rPr>
          <w:highlight w:val="yellow"/>
          <w:u w:val="single"/>
        </w:rPr>
        <w:t>employees who embarked on a strike</w:t>
      </w:r>
      <w:r w:rsidRPr="00371533">
        <w:rPr>
          <w:u w:val="single"/>
        </w:rPr>
        <w:t xml:space="preserve">, even if it was a legal strike </w:t>
      </w:r>
      <w:r w:rsidRPr="00371533">
        <w:rPr>
          <w:b/>
          <w:highlight w:val="yellow"/>
          <w:u w:val="single"/>
          <w:bdr w:val="single" w:sz="18" w:space="0" w:color="auto"/>
        </w:rPr>
        <w:t>were not protected from dismissal</w:t>
      </w:r>
      <w:r w:rsidRPr="00371533">
        <w:rPr>
          <w:u w:val="single"/>
        </w:rPr>
        <w:t xml:space="preserve"> as in effect they were in breach of their employment contracts in terms of common law. </w:t>
      </w:r>
      <w:r w:rsidRPr="00371533">
        <w:rPr>
          <w:highlight w:val="yellow"/>
          <w:u w:val="single"/>
        </w:rPr>
        <w:t xml:space="preserve">A fundamental right contained in the Constitution is that workers will have “the right to strike for purposes of collective bargaining.” In other words, </w:t>
      </w:r>
      <w:r w:rsidRPr="00371533">
        <w:rPr>
          <w:b/>
          <w:highlight w:val="yellow"/>
          <w:u w:val="single"/>
          <w:bdr w:val="single" w:sz="18" w:space="0" w:color="auto"/>
        </w:rPr>
        <w:t>the right must be functional</w:t>
      </w:r>
      <w:r w:rsidRPr="00371533">
        <w:rPr>
          <w:u w:val="single"/>
        </w:rPr>
        <w:t xml:space="preserve"> to collective bargaining.</w:t>
      </w:r>
    </w:p>
    <w:p w14:paraId="67939E05" w14:textId="77777777" w:rsidR="00175329" w:rsidRPr="00420031" w:rsidRDefault="00175329" w:rsidP="00175329">
      <w:pPr>
        <w:rPr>
          <w:rStyle w:val="Emphasis"/>
          <w:rFonts w:eastAsiaTheme="majorEastAsia"/>
          <w:sz w:val="26"/>
          <w:u w:val="none"/>
        </w:rPr>
      </w:pPr>
    </w:p>
    <w:p w14:paraId="25221CBB" w14:textId="77777777" w:rsidR="00175329" w:rsidRDefault="00175329" w:rsidP="00175329"/>
    <w:p w14:paraId="28B4EF87" w14:textId="77777777" w:rsidR="00175329" w:rsidRDefault="00175329" w:rsidP="00175329">
      <w:pPr>
        <w:pStyle w:val="Heading4"/>
      </w:pPr>
      <w:r>
        <w:t>5 Standards:</w:t>
      </w:r>
    </w:p>
    <w:p w14:paraId="4055CD5C" w14:textId="77777777" w:rsidR="00175329" w:rsidRDefault="00175329" w:rsidP="00175329">
      <w:pPr>
        <w:pStyle w:val="Heading4"/>
        <w:rPr>
          <w:rFonts w:cs="Calibri"/>
        </w:rPr>
      </w:pPr>
      <w:r>
        <w:t xml:space="preserve">1] </w:t>
      </w:r>
      <w:r>
        <w:rPr>
          <w:u w:val="single"/>
        </w:rPr>
        <w:t>F</w:t>
      </w:r>
      <w:r w:rsidRPr="00561D16">
        <w:rPr>
          <w:u w:val="single"/>
        </w:rPr>
        <w:t>airness</w:t>
      </w:r>
      <w:r>
        <w:t xml:space="preserve"> – </w:t>
      </w:r>
      <w:r w:rsidRPr="00453186">
        <w:rPr>
          <w:rFonts w:cs="Calibri"/>
        </w:rPr>
        <w:t xml:space="preserve">their model has no resolutional bound and creates the possibility for literally an infinite number of 1ACs. </w:t>
      </w:r>
      <w:r>
        <w:rPr>
          <w:rFonts w:cs="Calibri"/>
        </w:rPr>
        <w:t>It allows</w:t>
      </w:r>
      <w:r w:rsidRPr="00453186">
        <w:rPr>
          <w:rFonts w:cs="Calibri"/>
        </w:rPr>
        <w:t xml:space="preserve"> someone to specialize in one area 4 years giving a</w:t>
      </w:r>
      <w:r>
        <w:rPr>
          <w:rFonts w:cs="Calibri"/>
        </w:rPr>
        <w:t>n</w:t>
      </w:r>
      <w:r w:rsidRPr="00453186">
        <w:rPr>
          <w:rFonts w:cs="Calibri"/>
        </w:rPr>
        <w:t xml:space="preserve"> huge edge over people who switch research focus ever 2 months</w:t>
      </w:r>
    </w:p>
    <w:p w14:paraId="36B4088E" w14:textId="77777777" w:rsidR="00175329" w:rsidRDefault="00175329" w:rsidP="00175329"/>
    <w:p w14:paraId="33B90A07" w14:textId="77777777" w:rsidR="00175329" w:rsidRDefault="00175329" w:rsidP="00175329">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movement building and </w:t>
      </w:r>
      <w:r w:rsidRPr="005373CD">
        <w:rPr>
          <w:rFonts w:asciiTheme="minorHAnsi" w:hAnsiTheme="minorHAnsi" w:cstheme="minorHAnsi"/>
        </w:rPr>
        <w:t>revolutionary potential</w:t>
      </w:r>
    </w:p>
    <w:p w14:paraId="5CC26B3C" w14:textId="77777777" w:rsidR="00175329" w:rsidRPr="005373CD" w:rsidRDefault="00175329" w:rsidP="00175329"/>
    <w:p w14:paraId="2998BB95" w14:textId="77777777" w:rsidR="00175329" w:rsidRPr="00453186" w:rsidRDefault="00175329" w:rsidP="00175329">
      <w:pPr>
        <w:pStyle w:val="Heading4"/>
        <w:rPr>
          <w:rFonts w:cs="Calibri"/>
        </w:rPr>
      </w:pPr>
      <w:r>
        <w:t xml:space="preserve">3] </w:t>
      </w:r>
      <w:r>
        <w:rPr>
          <w:u w:val="single"/>
        </w:rPr>
        <w:t>SSD</w:t>
      </w:r>
      <w:r>
        <w:t xml:space="preserve"> – a]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 and b] that </w:t>
      </w:r>
      <w:r w:rsidRPr="00453186">
        <w:rPr>
          <w:rFonts w:cs="Calibri"/>
        </w:rPr>
        <w:t xml:space="preserve">means their arguments are presumptively false because they haven’t been subject to well-researched </w:t>
      </w:r>
      <w:r>
        <w:rPr>
          <w:rFonts w:cs="Calibri"/>
        </w:rPr>
        <w:t>scrutiny</w:t>
      </w:r>
      <w:r w:rsidRPr="00453186">
        <w:rPr>
          <w:rFonts w:cs="Calibri"/>
        </w:rPr>
        <w:t xml:space="preserve">. </w:t>
      </w:r>
    </w:p>
    <w:p w14:paraId="63611459" w14:textId="77777777" w:rsidR="00175329" w:rsidRDefault="00175329" w:rsidP="00175329"/>
    <w:p w14:paraId="1E5696A4" w14:textId="77777777" w:rsidR="00175329" w:rsidRDefault="00175329" w:rsidP="00175329">
      <w:pPr>
        <w:pStyle w:val="Heading4"/>
      </w:pPr>
      <w:r>
        <w:t xml:space="preserve">4] </w:t>
      </w:r>
      <w:r w:rsidRPr="005373CD">
        <w:rPr>
          <w:u w:val="single"/>
        </w:rPr>
        <w:t>Real-world ed</w:t>
      </w:r>
      <w:r>
        <w:t xml:space="preserve">.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7ADDD22A" w14:textId="77777777" w:rsidR="00175329" w:rsidRPr="007C580E" w:rsidRDefault="00175329" w:rsidP="00175329">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2AD48521" w14:textId="77777777" w:rsidR="00175329" w:rsidRPr="007C580E" w:rsidRDefault="00175329" w:rsidP="00175329">
      <w:pPr>
        <w:rPr>
          <w:sz w:val="16"/>
        </w:rPr>
      </w:pPr>
      <w:r w:rsidRPr="00BA4EFB">
        <w:rPr>
          <w:rStyle w:val="StyleUnderline"/>
          <w:highlight w:val="green"/>
        </w:rPr>
        <w:lastRenderedPageBreak/>
        <w:t>Political justice lawyers must be able to break</w:t>
      </w:r>
      <w:r w:rsidRPr="005278CD">
        <w:rPr>
          <w:rStyle w:val="StyleUnderline"/>
        </w:rPr>
        <w:t xml:space="preserve"> apart </w:t>
      </w:r>
      <w:r w:rsidRPr="00BA4EFB">
        <w:rPr>
          <w:rStyle w:val="StyleUnderline"/>
          <w:highlight w:val="green"/>
        </w:rPr>
        <w:t xml:space="preserve">a systemic problem </w:t>
      </w:r>
      <w:r w:rsidRPr="00BA4EFB">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BA4EFB">
        <w:rPr>
          <w:rStyle w:val="StyleUnderline"/>
          <w:highlight w:val="green"/>
        </w:rPr>
        <w:t xml:space="preserve">advocates must </w:t>
      </w:r>
      <w:r w:rsidRPr="005278CD">
        <w:rPr>
          <w:rStyle w:val="StyleUnderline"/>
        </w:rPr>
        <w:t xml:space="preserve">be able to </w:t>
      </w:r>
      <w:r w:rsidRPr="00BA4EFB">
        <w:rPr>
          <w:rStyle w:val="Emphasis"/>
          <w:highlight w:val="green"/>
        </w:rPr>
        <w:t>break apart</w:t>
      </w:r>
      <w:r w:rsidRPr="00BA4EFB">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BA4EFB">
        <w:rPr>
          <w:rStyle w:val="Emphasis"/>
          <w:highlight w:val="green"/>
        </w:rPr>
        <w:t>more manageable</w:t>
      </w:r>
      <w:r w:rsidRPr="005278CD">
        <w:rPr>
          <w:sz w:val="16"/>
        </w:rPr>
        <w:t>—and more realistic—</w:t>
      </w:r>
      <w:r w:rsidRPr="00BA4EFB">
        <w:rPr>
          <w:rStyle w:val="Emphasis"/>
          <w:highlight w:val="green"/>
        </w:rPr>
        <w:t xml:space="preserve">than </w:t>
      </w:r>
      <w:r w:rsidRPr="00BA4EFB">
        <w:rPr>
          <w:rStyle w:val="Emphasis"/>
          <w:highlight w:val="green"/>
          <w:bdr w:val="single" w:sz="4" w:space="0" w:color="auto"/>
        </w:rPr>
        <w:t>acting as though there is a single lever</w:t>
      </w:r>
      <w:r w:rsidRPr="00BA4EFB">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BA4EFB">
        <w:rPr>
          <w:rStyle w:val="StyleUnderline"/>
          <w:highlight w:val="green"/>
        </w:rPr>
        <w:t>Advocates must</w:t>
      </w:r>
      <w:r w:rsidRPr="00BA4EFB">
        <w:rPr>
          <w:sz w:val="16"/>
          <w:highlight w:val="green"/>
        </w:rPr>
        <w:t xml:space="preserve"> </w:t>
      </w:r>
      <w:r w:rsidRPr="005278CD">
        <w:rPr>
          <w:sz w:val="16"/>
        </w:rPr>
        <w:t xml:space="preserve">also </w:t>
      </w:r>
      <w:r w:rsidRPr="00BA4EFB">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BA4EFB">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BA4EFB">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BA4EFB">
        <w:rPr>
          <w:rStyle w:val="StyleUnderline"/>
          <w:highlight w:val="green"/>
        </w:rPr>
        <w:t xml:space="preserve">Advocates </w:t>
      </w:r>
      <w:r w:rsidRPr="005278CD">
        <w:rPr>
          <w:rStyle w:val="StyleUnderline"/>
        </w:rPr>
        <w:t xml:space="preserve">challenging complex social justice problems </w:t>
      </w:r>
      <w:r w:rsidRPr="00BA4EFB">
        <w:rPr>
          <w:rStyle w:val="StyleUnderline"/>
          <w:highlight w:val="green"/>
        </w:rPr>
        <w:t xml:space="preserve">can </w:t>
      </w:r>
      <w:r w:rsidRPr="00BA4EFB">
        <w:rPr>
          <w:rStyle w:val="Emphasis"/>
          <w:highlight w:val="green"/>
        </w:rPr>
        <w:t>find it difficult to identify the correct solution</w:t>
      </w:r>
      <w:r w:rsidRPr="00BA4EFB">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BA4EFB">
        <w:rPr>
          <w:rStyle w:val="Emphasis"/>
          <w:highlight w:val="green"/>
        </w:rPr>
        <w:t xml:space="preserve">students are not often forced to struggle through </w:t>
      </w:r>
      <w:r w:rsidRPr="005278CD">
        <w:rPr>
          <w:rStyle w:val="Emphasis"/>
        </w:rPr>
        <w:t xml:space="preserve">them to </w:t>
      </w:r>
      <w:r w:rsidRPr="00BA4EFB">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 xml:space="preserve">make difficult </w:t>
      </w:r>
      <w:r w:rsidRPr="005278CD">
        <w:rPr>
          <w:rStyle w:val="Emphasis"/>
        </w:rPr>
        <w:lastRenderedPageBreak/>
        <w:t>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BA4EFB">
        <w:rPr>
          <w:rStyle w:val="Emphasis"/>
          <w:highlight w:val="green"/>
        </w:rPr>
        <w:t>large-scale fact investigation</w:t>
      </w:r>
      <w:r w:rsidRPr="00BA4EFB">
        <w:rPr>
          <w:sz w:val="16"/>
          <w:highlight w:val="green"/>
          <w:u w:val="single"/>
        </w:rPr>
        <w:t xml:space="preserve">; </w:t>
      </w:r>
      <w:r w:rsidRPr="00BA4EFB">
        <w:rPr>
          <w:rStyle w:val="Emphasis"/>
          <w:highlight w:val="green"/>
        </w:rPr>
        <w:t>transferring</w:t>
      </w:r>
      <w:r w:rsidRPr="00BA4EFB">
        <w:rPr>
          <w:sz w:val="16"/>
          <w:highlight w:val="green"/>
        </w:rPr>
        <w:t xml:space="preserve"> </w:t>
      </w:r>
      <w:r w:rsidRPr="005278CD">
        <w:rPr>
          <w:sz w:val="16"/>
        </w:rPr>
        <w:t>their “</w:t>
      </w:r>
      <w:r w:rsidRPr="005278CD">
        <w:rPr>
          <w:rStyle w:val="StyleUnderline"/>
        </w:rPr>
        <w:t xml:space="preserve">social justice </w:t>
      </w:r>
      <w:r w:rsidRPr="00BA4EFB">
        <w:rPr>
          <w:rStyle w:val="Emphasis"/>
          <w:highlight w:val="green"/>
        </w:rPr>
        <w:t>knowledge</w:t>
      </w:r>
      <w:r w:rsidRPr="00BA4EFB">
        <w:rPr>
          <w:sz w:val="16"/>
          <w:highlight w:val="green"/>
          <w:u w:val="single"/>
        </w:rPr>
        <w:t xml:space="preserve">” </w:t>
      </w:r>
      <w:r w:rsidRPr="00BA4EFB">
        <w:rPr>
          <w:rStyle w:val="Emphasis"/>
          <w:highlight w:val="green"/>
        </w:rPr>
        <w:t>to different contexts</w:t>
      </w:r>
      <w:r w:rsidRPr="00BA4EFB">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w:t>
      </w:r>
      <w:r w:rsidRPr="005278CD">
        <w:rPr>
          <w:sz w:val="16"/>
          <w:szCs w:val="10"/>
        </w:rPr>
        <w:lastRenderedPageBreak/>
        <w:t>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BA4EFB">
        <w:rPr>
          <w:rStyle w:val="Emphasis"/>
          <w:highlight w:val="green"/>
        </w:rPr>
        <w:t>to advance the cause of justice</w:t>
      </w:r>
      <w:r w:rsidRPr="005278CD">
        <w:rPr>
          <w:sz w:val="16"/>
        </w:rPr>
        <w:t>—</w:t>
      </w:r>
      <w:r w:rsidRPr="00BA4EFB">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BA4EFB">
        <w:rPr>
          <w:rStyle w:val="Emphasis"/>
          <w:highlight w:val="green"/>
          <w:bdr w:val="single" w:sz="4" w:space="0" w:color="auto"/>
        </w:rPr>
        <w:t>the job of legal education</w:t>
      </w:r>
      <w:r w:rsidRPr="00BA4EFB">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3603FDCF" w14:textId="77777777" w:rsidR="00175329" w:rsidRDefault="00175329" w:rsidP="00175329">
      <w:pPr>
        <w:pStyle w:val="Heading4"/>
      </w:pPr>
      <w:r>
        <w:t xml:space="preserve">5] </w:t>
      </w:r>
      <w:r w:rsidRPr="005373CD">
        <w:rPr>
          <w:u w:val="single"/>
        </w:rPr>
        <w:t>Familiarity</w:t>
      </w:r>
      <w:r>
        <w:t xml:space="preserve"> – their ideas aren’t stored in long-term memory, and can’t be easily recalled in future scenarios, so the effects of their method are </w:t>
      </w:r>
      <w:r>
        <w:rPr>
          <w:u w:val="single"/>
        </w:rPr>
        <w:t>short-</w:t>
      </w:r>
      <w:r w:rsidRPr="00914057">
        <w:rPr>
          <w:u w:val="single"/>
        </w:rPr>
        <w:t>lived</w:t>
      </w:r>
      <w:r w:rsidRPr="00914057">
        <w:t xml:space="preserve"> </w:t>
      </w:r>
      <w:r>
        <w:t xml:space="preserve">and not retained as valuable information when </w:t>
      </w:r>
      <w:r w:rsidRPr="00AD0DBC">
        <w:rPr>
          <w:u w:val="single"/>
        </w:rPr>
        <w:t>opportunities</w:t>
      </w:r>
      <w:r>
        <w:t xml:space="preserve"> to create real change </w:t>
      </w:r>
      <w:r w:rsidRPr="00AD0DBC">
        <w:rPr>
          <w:u w:val="single"/>
        </w:rPr>
        <w:t>present themselves</w:t>
      </w:r>
      <w:r>
        <w:t xml:space="preserve">. </w:t>
      </w:r>
      <w:r w:rsidRPr="005373CD">
        <w:rPr>
          <w:u w:val="single"/>
        </w:rPr>
        <w:t>Not disclosing supercharges this link</w:t>
      </w:r>
      <w:r>
        <w:t>.</w:t>
      </w:r>
    </w:p>
    <w:p w14:paraId="522CB83A" w14:textId="77777777" w:rsidR="00175329" w:rsidRDefault="00175329" w:rsidP="00175329">
      <w:pPr>
        <w:spacing w:line="256" w:lineRule="auto"/>
        <w:rPr>
          <w:rFonts w:eastAsia="Cambria"/>
          <w:b/>
          <w:bCs/>
          <w:sz w:val="26"/>
        </w:rPr>
      </w:pPr>
      <w:r w:rsidRPr="00F76E1A">
        <w:rPr>
          <w:rFonts w:eastAsia="Cambria"/>
          <w:b/>
          <w:bCs/>
          <w:sz w:val="26"/>
        </w:rPr>
        <w:t xml:space="preserve">Goodin and Niemeyer </w:t>
      </w:r>
      <w:r>
        <w:rPr>
          <w:rFonts w:eastAsia="Cambria"/>
          <w:b/>
          <w:bCs/>
          <w:sz w:val="26"/>
        </w:rPr>
        <w:t>0</w:t>
      </w:r>
      <w:r w:rsidRPr="00F76E1A">
        <w:rPr>
          <w:rFonts w:eastAsia="Cambria"/>
          <w:b/>
          <w:bCs/>
          <w:sz w:val="26"/>
        </w:rPr>
        <w:t>3</w:t>
      </w:r>
    </w:p>
    <w:p w14:paraId="18A47498" w14:textId="77777777" w:rsidR="00175329" w:rsidRPr="00137883" w:rsidRDefault="00175329" w:rsidP="00175329">
      <w:pPr>
        <w:spacing w:line="256" w:lineRule="auto"/>
        <w:rPr>
          <w:rFonts w:eastAsia="Cambria"/>
          <w:sz w:val="12"/>
          <w:szCs w:val="12"/>
        </w:rPr>
      </w:pPr>
      <w:r w:rsidRPr="00137883">
        <w:rPr>
          <w:rFonts w:eastAsia="Cambria"/>
          <w:sz w:val="12"/>
          <w:szCs w:val="12"/>
        </w:rPr>
        <w:t xml:space="preserve">Robert E. Goodin and Simon J. Niemeyer- Australian National University- 2003, When Does Deliberation Begin? Internal Reflection versus Public Discussion in Deliberative Democracy, POLITICAL STUDIES: 2003 VOL 51, 627–649, </w:t>
      </w:r>
      <w:hyperlink r:id="rId9"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7819B7CB" w14:textId="77777777" w:rsidR="00175329" w:rsidRPr="00914057" w:rsidRDefault="00175329" w:rsidP="00175329">
      <w:pPr>
        <w:spacing w:line="256" w:lineRule="auto"/>
        <w:rPr>
          <w:rFonts w:eastAsia="Cambria"/>
          <w:sz w:val="10"/>
        </w:rPr>
      </w:pPr>
      <w:r w:rsidRPr="002103EB">
        <w:rPr>
          <w:rFonts w:eastAsia="Cambria"/>
          <w:sz w:val="10"/>
        </w:rPr>
        <w:t xml:space="preserve">What happened in this particular case, as in any particular case, was in some respects peculiar unto itself. The problem of the Bloomfield Track had been well known and much discussed in the </w:t>
      </w:r>
      <w:r w:rsidRPr="002103EB">
        <w:rPr>
          <w:sz w:val="10"/>
        </w:rPr>
        <w:t>local community for a long time. Exaggerated claims and counter-claims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 xml:space="preserve">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(Lupia,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BA4EFB">
        <w:rPr>
          <w:rFonts w:eastAsia="Cambria"/>
          <w:highlight w:val="green"/>
          <w:u w:val="single"/>
        </w:rPr>
        <w:t xml:space="preserve">When we come across something ‘new’, we update </w:t>
      </w:r>
      <w:r w:rsidRPr="00F76E1A">
        <w:rPr>
          <w:rFonts w:eastAsia="Cambria"/>
          <w:u w:val="single"/>
        </w:rPr>
        <w:t xml:space="preserve">our routines – our ‘running’ </w:t>
      </w:r>
      <w:r w:rsidRPr="00BA4EFB">
        <w:rPr>
          <w:rFonts w:eastAsia="Cambria"/>
          <w:highlight w:val="green"/>
          <w:u w:val="single"/>
        </w:rPr>
        <w:t>beliefs</w:t>
      </w:r>
      <w:r w:rsidRPr="00F76E1A">
        <w:rPr>
          <w:rFonts w:eastAsia="Cambria"/>
          <w:u w:val="single"/>
        </w:rPr>
        <w:t xml:space="preserve"> and pro cedures, attitudes and evaluations – accordingly. </w:t>
      </w:r>
      <w:r w:rsidRPr="00BA4EFB">
        <w:rPr>
          <w:rFonts w:eastAsia="Cambria"/>
          <w:highlight w:val="green"/>
          <w:u w:val="single"/>
        </w:rPr>
        <w:t xml:space="preserve">But </w:t>
      </w:r>
      <w:r w:rsidRPr="00F76E1A">
        <w:rPr>
          <w:rFonts w:eastAsia="Cambria"/>
          <w:u w:val="single"/>
        </w:rPr>
        <w:t xml:space="preserve">having updated, we then </w:t>
      </w:r>
      <w:r w:rsidRPr="00BA4EFB">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BA4EFB">
        <w:rPr>
          <w:rFonts w:eastAsia="Cambria"/>
          <w:highlight w:val="green"/>
          <w:u w:val="single"/>
        </w:rPr>
        <w:t xml:space="preserve">we easily retrieve what we think but </w:t>
      </w:r>
      <w:r w:rsidRPr="00F76E1A">
        <w:rPr>
          <w:rFonts w:eastAsia="Cambria"/>
          <w:u w:val="single"/>
        </w:rPr>
        <w:t xml:space="preserve">we </w:t>
      </w:r>
      <w:r w:rsidRPr="00BA4EFB">
        <w:rPr>
          <w:rFonts w:eastAsia="Cambria"/>
          <w:highlight w:val="green"/>
          <w:u w:val="single"/>
        </w:rPr>
        <w:t xml:space="preserve">cannot </w:t>
      </w:r>
      <w:r w:rsidRPr="00F76E1A">
        <w:rPr>
          <w:rFonts w:eastAsia="Cambria"/>
          <w:u w:val="single"/>
        </w:rPr>
        <w:t xml:space="preserve">so easily </w:t>
      </w:r>
      <w:r w:rsidRPr="00BA4EFB">
        <w:rPr>
          <w:rFonts w:eastAsia="Cambria"/>
          <w:highlight w:val="green"/>
          <w:u w:val="single"/>
        </w:rPr>
        <w:t xml:space="preserve">retrieve </w:t>
      </w:r>
      <w:r w:rsidRPr="00F76E1A">
        <w:rPr>
          <w:rFonts w:eastAsia="Cambria"/>
          <w:u w:val="single"/>
        </w:rPr>
        <w:t xml:space="preserve">the </w:t>
      </w:r>
      <w:r w:rsidRPr="00BA4EFB">
        <w:rPr>
          <w:rFonts w:eastAsia="Cambria"/>
          <w:highlight w:val="green"/>
          <w:u w:val="single"/>
        </w:rPr>
        <w:t>reasons why</w:t>
      </w:r>
      <w:r w:rsidRPr="00BA4EFB">
        <w:rPr>
          <w:rFonts w:eastAsia="Cambria"/>
          <w:sz w:val="10"/>
          <w:highlight w:val="green"/>
        </w:rPr>
        <w:t>.</w:t>
      </w:r>
      <w:r w:rsidRPr="002103EB">
        <w:rPr>
          <w:rFonts w:eastAsia="Cambria"/>
          <w:sz w:val="10"/>
        </w:rPr>
        <w:t xml:space="preserve"> </w:t>
      </w:r>
      <w:r w:rsidRPr="00BA4EFB">
        <w:rPr>
          <w:rFonts w:eastAsia="Cambria"/>
          <w:highlight w:val="green"/>
          <w:u w:val="single"/>
        </w:rPr>
        <w:t>That</w:t>
      </w:r>
      <w:r w:rsidRPr="00F76E1A">
        <w:rPr>
          <w:rFonts w:eastAsia="Cambria"/>
          <w:u w:val="single"/>
        </w:rPr>
        <w:t xml:space="preserve"> more </w:t>
      </w:r>
      <w:r w:rsidRPr="00BA4EFB">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BA4EFB">
        <w:rPr>
          <w:rFonts w:eastAsia="Cambria"/>
          <w:highlight w:val="green"/>
          <w:u w:val="single"/>
        </w:rPr>
        <w:t>requires us to call up reasons</w:t>
      </w:r>
      <w:r w:rsidRPr="00F76E1A">
        <w:rPr>
          <w:rFonts w:eastAsia="Cambria"/>
          <w:u w:val="single"/>
        </w:rPr>
        <w:t xml:space="preserve"> from stored memory </w:t>
      </w:r>
      <w:r w:rsidRPr="00BA4EFB">
        <w:rPr>
          <w:rFonts w:eastAsia="Cambria"/>
          <w:highlight w:val="green"/>
          <w:u w:val="single"/>
        </w:rPr>
        <w:t>rather than</w:t>
      </w:r>
      <w:r w:rsidRPr="00F76E1A">
        <w:rPr>
          <w:rFonts w:eastAsia="Cambria"/>
          <w:u w:val="single"/>
        </w:rPr>
        <w:t xml:space="preserve"> just </w:t>
      </w:r>
      <w:r w:rsidRPr="00BA4EFB">
        <w:rPr>
          <w:rFonts w:eastAsia="Cambria"/>
          <w:highlight w:val="green"/>
          <w:u w:val="single"/>
        </w:rPr>
        <w:t>consulting our</w:t>
      </w:r>
      <w:r w:rsidRPr="00F76E1A">
        <w:rPr>
          <w:rFonts w:eastAsia="Cambria"/>
          <w:u w:val="single"/>
        </w:rPr>
        <w:t xml:space="preserve"> running on-line ‘</w:t>
      </w:r>
      <w:r w:rsidRPr="00BA4EFB">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BA4EFB">
        <w:rPr>
          <w:rFonts w:eastAsia="Cambria"/>
          <w:highlight w:val="green"/>
          <w:u w:val="single"/>
        </w:rPr>
        <w:t>focusing attention on a topic</w:t>
      </w:r>
      <w:r w:rsidRPr="00F76E1A">
        <w:rPr>
          <w:rFonts w:eastAsia="Cambria"/>
          <w:u w:val="single"/>
        </w:rPr>
        <w:t xml:space="preserve">, </w:t>
      </w:r>
      <w:r w:rsidRPr="00BA4EFB">
        <w:rPr>
          <w:rFonts w:eastAsia="Cambria"/>
          <w:highlight w:val="green"/>
          <w:u w:val="single"/>
        </w:rPr>
        <w:t>providing information</w:t>
      </w:r>
      <w:r w:rsidRPr="00F76E1A">
        <w:rPr>
          <w:rFonts w:eastAsia="Cambria"/>
          <w:u w:val="single"/>
        </w:rPr>
        <w:t xml:space="preserve"> about it </w:t>
      </w:r>
      <w:r w:rsidRPr="00BA4EFB">
        <w:rPr>
          <w:rFonts w:eastAsia="Cambria"/>
          <w:highlight w:val="green"/>
          <w:u w:val="single"/>
        </w:rPr>
        <w:t>and inviting people to think hard</w:t>
      </w:r>
      <w:r w:rsidRPr="00F76E1A">
        <w:rPr>
          <w:rFonts w:eastAsia="Cambria"/>
          <w:u w:val="single"/>
        </w:rPr>
        <w:t xml:space="preserve"> about it </w:t>
      </w:r>
      <w:r w:rsidRPr="00BA4EFB">
        <w:rPr>
          <w:rFonts w:eastAsia="Cambria"/>
          <w:highlight w:val="green"/>
          <w:u w:val="single"/>
        </w:rPr>
        <w:t xml:space="preserve">is </w:t>
      </w:r>
      <w:r w:rsidRPr="00BA4EFB">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BA4EFB">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BA4EFB">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BA4EFB">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counter-argument,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open and willing to change their minds as appropriate. So, too, in mass politics. </w:t>
      </w:r>
      <w:r w:rsidRPr="002103EB">
        <w:rPr>
          <w:rStyle w:val="StyleUnderline"/>
        </w:rPr>
        <w:t xml:space="preserve">In citizens’ juries the need to participate (or the anticipation of participating) in formally organized group discussions might be the </w:t>
      </w:r>
      <w:r w:rsidRPr="002103EB">
        <w:rPr>
          <w:rStyle w:val="StyleUnderline"/>
        </w:rPr>
        <w:lastRenderedPageBreak/>
        <w:t>‘prompt’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debated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BA4EFB">
        <w:rPr>
          <w:rStyle w:val="StyleUnderline"/>
          <w:highlight w:val="green"/>
        </w:rPr>
        <w:t>we think and listen in anticipation of the discussion</w:t>
      </w:r>
      <w:r w:rsidRPr="002103EB">
        <w:rPr>
          <w:rStyle w:val="StyleUnderline"/>
        </w:rPr>
        <w:t xml:space="preserve"> phase, </w:t>
      </w:r>
      <w:r w:rsidRPr="00BA4EFB">
        <w:rPr>
          <w:rStyle w:val="StyleUnderline"/>
          <w:highlight w:val="green"/>
        </w:rPr>
        <w:t>knowing</w:t>
      </w:r>
      <w:r w:rsidRPr="002103EB">
        <w:rPr>
          <w:rStyle w:val="StyleUnderline"/>
        </w:rPr>
        <w:t xml:space="preserve"> that </w:t>
      </w:r>
      <w:r w:rsidRPr="00BA4EFB">
        <w:rPr>
          <w:rStyle w:val="StyleUnderline"/>
          <w:highlight w:val="green"/>
        </w:rPr>
        <w:t xml:space="preserve">we soon will have to </w:t>
      </w:r>
      <w:r w:rsidRPr="00BA4EFB">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 xml:space="preserve">if being special in all those ways makes for a better – more ‘reflective’, more ‘deliberative’ – political process, then those are design features that </w:t>
      </w:r>
      <w:r w:rsidRPr="00BA4EFB">
        <w:rPr>
          <w:rFonts w:eastAsia="Cambria"/>
          <w:highlight w:val="green"/>
          <w:u w:val="single"/>
        </w:rPr>
        <w:t>we ought</w:t>
      </w:r>
      <w:r w:rsidRPr="00F76E1A">
        <w:rPr>
          <w:rFonts w:eastAsia="Cambria"/>
          <w:u w:val="single"/>
        </w:rPr>
        <w:t xml:space="preserve"> try </w:t>
      </w:r>
      <w:r w:rsidRPr="00BA4EFB">
        <w:rPr>
          <w:rFonts w:eastAsia="Cambria"/>
          <w:highlight w:val="green"/>
          <w:u w:val="single"/>
        </w:rPr>
        <w:t>to mimic as best we can</w:t>
      </w:r>
      <w:r w:rsidRPr="00F76E1A">
        <w:rPr>
          <w:rFonts w:eastAsia="Cambria"/>
          <w:u w:val="single"/>
        </w:rPr>
        <w:t xml:space="preserve"> in </w:t>
      </w:r>
      <w:r w:rsidRPr="00BA4EFB">
        <w:rPr>
          <w:rFonts w:eastAsia="Cambria"/>
          <w:highlight w:val="green"/>
          <w:u w:val="single"/>
        </w:rPr>
        <w:t>ordinary mass politics</w:t>
      </w:r>
      <w:r w:rsidRPr="00F76E1A">
        <w:rPr>
          <w:rFonts w:eastAsia="Cambria"/>
          <w:u w:val="single"/>
        </w:rPr>
        <w:t xml:space="preserve"> as well.</w:t>
      </w:r>
      <w:r w:rsidRPr="00F76E1A">
        <w:rPr>
          <w:rFonts w:eastAsia="Cambria"/>
          <w:sz w:val="24"/>
          <w:u w:val="single"/>
        </w:rPr>
        <w:t xml:space="preserve"> </w:t>
      </w:r>
      <w:r w:rsidRPr="002103EB">
        <w:rPr>
          <w:rFonts w:eastAsia="Cambria"/>
          <w:sz w:val="10"/>
        </w:rPr>
        <w:t>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Fishkin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more-or-less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0DACD904" w14:textId="77777777" w:rsidR="00175329" w:rsidRDefault="00175329" w:rsidP="00175329">
      <w:pPr>
        <w:pStyle w:val="Heading4"/>
      </w:pPr>
      <w:r w:rsidRPr="00453186">
        <w:t>TVA:</w:t>
      </w:r>
      <w:r>
        <w:t xml:space="preserve"> read your offense in an aff that defends implementation of the resolution.</w:t>
      </w:r>
    </w:p>
    <w:p w14:paraId="3B0E2214" w14:textId="77777777" w:rsidR="00175329" w:rsidRPr="0056457C" w:rsidRDefault="00175329" w:rsidP="00175329">
      <w:pPr>
        <w:pStyle w:val="Heading4"/>
      </w:pPr>
      <w:r>
        <w:t xml:space="preserve">[e.g. topic specific advantage: covid, asymmetries, WTO bad, etc.] – </w:t>
      </w:r>
    </w:p>
    <w:p w14:paraId="283E38E0" w14:textId="77777777" w:rsidR="00175329" w:rsidRDefault="00175329" w:rsidP="00175329">
      <w:pPr>
        <w:pStyle w:val="Heading4"/>
        <w:numPr>
          <w:ilvl w:val="0"/>
          <w:numId w:val="13"/>
        </w:numPr>
        <w:tabs>
          <w:tab w:val="num" w:pos="360"/>
          <w:tab w:val="num" w:pos="720"/>
        </w:tabs>
        <w:ind w:left="0" w:firstLine="0"/>
        <w:rPr>
          <w:rFonts w:cs="Calibri"/>
        </w:rPr>
      </w:pPr>
      <w:r w:rsidRPr="00453186">
        <w:rPr>
          <w:rFonts w:cs="Calibri"/>
        </w:rPr>
        <w:t>SSD solves offense</w:t>
      </w:r>
    </w:p>
    <w:p w14:paraId="7618BA85" w14:textId="77777777" w:rsidR="00175329" w:rsidRPr="00EE5FF7" w:rsidRDefault="00175329" w:rsidP="00175329">
      <w:pPr>
        <w:pStyle w:val="Heading4"/>
        <w:numPr>
          <w:ilvl w:val="0"/>
          <w:numId w:val="13"/>
        </w:numPr>
        <w:tabs>
          <w:tab w:val="num" w:pos="360"/>
          <w:tab w:val="num" w:pos="720"/>
        </w:tabs>
        <w:ind w:left="0" w:firstLine="0"/>
        <w:rPr>
          <w:rFonts w:cs="Calibri"/>
        </w:rPr>
      </w:pPr>
      <w:r w:rsidRPr="008D763F">
        <w:rPr>
          <w:rFonts w:cs="Calibri"/>
        </w:rPr>
        <w:t xml:space="preserve">any DA to the TVA negates – proves that there’s workable clash under my </w:t>
      </w:r>
      <w:r>
        <w:rPr>
          <w:rFonts w:cs="Calibri"/>
        </w:rPr>
        <w:t>model</w:t>
      </w:r>
      <w:r w:rsidRPr="008D763F">
        <w:rPr>
          <w:rFonts w:cs="Calibri"/>
        </w:rPr>
        <w:t>.</w:t>
      </w:r>
    </w:p>
    <w:p w14:paraId="2DB875A8" w14:textId="77777777" w:rsidR="00175329" w:rsidRPr="004D4938" w:rsidRDefault="00175329" w:rsidP="00175329">
      <w:pPr>
        <w:pStyle w:val="Heading4"/>
        <w:numPr>
          <w:ilvl w:val="0"/>
          <w:numId w:val="13"/>
        </w:numPr>
        <w:tabs>
          <w:tab w:val="num" w:pos="360"/>
          <w:tab w:val="num" w:pos="720"/>
        </w:tabs>
        <w:ind w:left="0" w:firstLine="0"/>
        <w:rPr>
          <w:rFonts w:cs="Calibri"/>
        </w:rPr>
      </w:pPr>
      <w:r>
        <w:rPr>
          <w:rFonts w:cs="Calibri"/>
        </w:rPr>
        <w:t xml:space="preserve">Proves T &gt; K since a TVA means </w:t>
      </w:r>
      <w:r w:rsidRPr="00EE5FF7">
        <w:rPr>
          <w:rFonts w:cs="Calibri"/>
          <w:u w:val="single"/>
        </w:rPr>
        <w:t>being topical</w:t>
      </w:r>
      <w:r>
        <w:rPr>
          <w:rFonts w:cs="Calibri"/>
        </w:rPr>
        <w:t xml:space="preserve"> is </w:t>
      </w:r>
      <w:r w:rsidRPr="00EE5FF7">
        <w:rPr>
          <w:rFonts w:cs="Calibri"/>
          <w:u w:val="single"/>
        </w:rPr>
        <w:t>compatible</w:t>
      </w:r>
      <w:r>
        <w:rPr>
          <w:rFonts w:cs="Calibri"/>
        </w:rPr>
        <w:t xml:space="preserve"> with your </w:t>
      </w:r>
      <w:r w:rsidRPr="00C76CA0">
        <w:rPr>
          <w:rFonts w:cs="Calibri"/>
          <w:u w:val="single"/>
        </w:rPr>
        <w:t>AC framework</w:t>
      </w:r>
      <w:r>
        <w:rPr>
          <w:rFonts w:cs="Calibri"/>
        </w:rPr>
        <w:t>.</w:t>
      </w:r>
    </w:p>
    <w:p w14:paraId="188672E5" w14:textId="77777777" w:rsidR="00175329" w:rsidRPr="00453186" w:rsidRDefault="00175329" w:rsidP="00175329">
      <w:pPr>
        <w:pStyle w:val="Heading4"/>
        <w:rPr>
          <w:rFonts w:cs="Calibri"/>
        </w:rPr>
      </w:pPr>
      <w:r w:rsidRPr="00453186">
        <w:rPr>
          <w:rFonts w:cs="Calibri"/>
        </w:rPr>
        <w:br/>
        <w:t>Procedural fairness outweighs</w:t>
      </w:r>
    </w:p>
    <w:p w14:paraId="78F26BE4" w14:textId="77777777" w:rsidR="00175329" w:rsidRPr="00453186" w:rsidRDefault="00175329" w:rsidP="00175329">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07220C95" w14:textId="77777777" w:rsidR="00175329" w:rsidRDefault="00175329" w:rsidP="00175329">
      <w:pPr>
        <w:pStyle w:val="Heading4"/>
        <w:spacing w:line="276" w:lineRule="auto"/>
        <w:rPr>
          <w:rFonts w:cs="Calibri"/>
        </w:rPr>
      </w:pPr>
      <w:r w:rsidRPr="00453186">
        <w:rPr>
          <w:rFonts w:cs="Calibri"/>
          <w:color w:val="000000" w:themeColor="text1"/>
        </w:rPr>
        <w:t xml:space="preserve">(2) </w:t>
      </w:r>
      <w:r w:rsidRPr="00453186">
        <w:rPr>
          <w:rFonts w:cs="Calibri"/>
        </w:rPr>
        <w:t>Inescapable – every argument you make concedes the authority of fairness</w:t>
      </w:r>
      <w:r>
        <w:rPr>
          <w:rFonts w:cs="Calibri"/>
        </w:rPr>
        <w:t xml:space="preserve"> – </w:t>
      </w:r>
      <w:r w:rsidRPr="004670E7">
        <w:rPr>
          <w:rFonts w:asciiTheme="minorHAnsi" w:hAnsiTheme="minorHAnsi" w:cstheme="minorHAnsi"/>
        </w:rPr>
        <w:t>if they win fairness bad vote neg because you have no obligation to fairly evaluate their arguments</w:t>
      </w:r>
    </w:p>
    <w:p w14:paraId="40496242" w14:textId="77777777" w:rsidR="00175329" w:rsidRPr="00453186" w:rsidRDefault="00175329" w:rsidP="00175329">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5A4B454F" w14:textId="77777777" w:rsidR="00175329" w:rsidRPr="00453186" w:rsidRDefault="00175329" w:rsidP="00175329">
      <w:pPr>
        <w:pStyle w:val="Heading4"/>
        <w:rPr>
          <w:rFonts w:cs="Calibri"/>
        </w:rPr>
      </w:pPr>
      <w:r w:rsidRPr="00453186">
        <w:rPr>
          <w:rFonts w:cs="Calibri"/>
        </w:rPr>
        <w:t>(</w:t>
      </w:r>
      <w:r>
        <w:rPr>
          <w:rFonts w:cs="Calibri"/>
        </w:rPr>
        <w:t>4</w:t>
      </w:r>
      <w:r w:rsidRPr="00453186">
        <w:rPr>
          <w:rFonts w:cs="Calibri"/>
        </w:rPr>
        <w:t>) Tangibility – voting aff has no terminal impact- it doesn’t educate anyone or cause us to make some societal shift whereas theory norms are set all the time like nibs and brackets.</w:t>
      </w:r>
    </w:p>
    <w:p w14:paraId="14AEBE8B" w14:textId="77777777" w:rsidR="00175329" w:rsidRDefault="00175329" w:rsidP="00175329"/>
    <w:p w14:paraId="0ED0A1FB" w14:textId="77777777" w:rsidR="00175329" w:rsidRPr="005373CD" w:rsidRDefault="00175329" w:rsidP="00175329">
      <w:pPr>
        <w:pStyle w:val="Heading4"/>
        <w:rPr>
          <w:u w:val="single"/>
        </w:rPr>
      </w:pPr>
      <w:r>
        <w:lastRenderedPageBreak/>
        <w:t xml:space="preserve">That turns the Aff – a] an unlimited topic </w:t>
      </w:r>
      <w:r>
        <w:rPr>
          <w:u w:val="single"/>
        </w:rPr>
        <w:t>hurts</w:t>
      </w:r>
      <w:r>
        <w:t xml:space="preserve"> low-income and minority debaters by allowing big schools infinite capacity to break non-T Affs – for people who </w:t>
      </w:r>
      <w:r>
        <w:rPr>
          <w:u w:val="single"/>
        </w:rPr>
        <w:t>can’t afford</w:t>
      </w:r>
      <w:r>
        <w:t xml:space="preserve"> to work on debate full-time due to income concerns, their interp says unless you prep out </w:t>
      </w:r>
      <w:r>
        <w:rPr>
          <w:u w:val="single"/>
        </w:rPr>
        <w:t>every possible Aff</w:t>
      </w:r>
      <w:r>
        <w:t>, you will always lose; and b</w:t>
      </w:r>
      <w:r w:rsidRPr="00F520E9">
        <w:t xml:space="preserve">] Scope, it’s the only impact you can solve for, voting for them doesn’t resolve </w:t>
      </w:r>
      <w:r>
        <w:t>inequalities</w:t>
      </w:r>
      <w:r w:rsidRPr="00F520E9">
        <w:t xml:space="preserve"> in debate </w:t>
      </w:r>
      <w:r>
        <w:t xml:space="preserve">generally </w:t>
      </w:r>
      <w:r w:rsidRPr="00F520E9">
        <w:t xml:space="preserve">but voting for T remedies procedural inequalities caused by their aff </w:t>
      </w:r>
      <w:r>
        <w:rPr>
          <w:u w:val="single"/>
        </w:rPr>
        <w:t>in this round</w:t>
      </w:r>
    </w:p>
    <w:p w14:paraId="74E2D899" w14:textId="77777777" w:rsidR="00175329" w:rsidRDefault="00175329" w:rsidP="00175329">
      <w:pPr>
        <w:pStyle w:val="Heading4"/>
      </w:pPr>
      <w:r>
        <w:t>Paradigm issues</w:t>
      </w:r>
    </w:p>
    <w:p w14:paraId="3D9C4B2F" w14:textId="77777777" w:rsidR="00175329" w:rsidRDefault="00175329" w:rsidP="00175329">
      <w:pPr>
        <w:pStyle w:val="Heading4"/>
      </w:pPr>
      <w:r>
        <w:t>1] DTD, it’s the 1AC &amp; abuse has already occurred</w:t>
      </w:r>
    </w:p>
    <w:p w14:paraId="2FFD2F9A" w14:textId="77777777" w:rsidR="00175329" w:rsidRDefault="00175329" w:rsidP="00175329">
      <w:pPr>
        <w:pStyle w:val="Heading4"/>
      </w:pPr>
      <w:r>
        <w:t>2] Competing interps—you were either topical or you weren’t.</w:t>
      </w:r>
    </w:p>
    <w:p w14:paraId="1F180582" w14:textId="77777777" w:rsidR="00175329" w:rsidRDefault="00175329" w:rsidP="00175329">
      <w:pPr>
        <w:pStyle w:val="Heading4"/>
      </w:pPr>
      <w:r>
        <w:t>3] NO RVIs a] you don’t win by meeting a prima facie burden b] going for RVIs prove the 1AC is non-T; if you were T you could just beat back the shell with a legit competing interp and then win on case offense</w:t>
      </w:r>
    </w:p>
    <w:p w14:paraId="7798088A" w14:textId="77777777" w:rsidR="00175329" w:rsidRPr="00DF67E2" w:rsidRDefault="00175329" w:rsidP="00175329">
      <w:pPr>
        <w:pStyle w:val="Heading4"/>
      </w:pPr>
      <w:r>
        <w:t>4]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O/Ws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r>
        <w:rPr>
          <w:rFonts w:asciiTheme="minorHAnsi" w:hAnsiTheme="minorHAnsi" w:cstheme="minorHAnsi"/>
        </w:rPr>
        <w:t>.</w:t>
      </w:r>
    </w:p>
    <w:p w14:paraId="1E8C9ECE" w14:textId="77777777" w:rsidR="00175329" w:rsidRPr="00676139" w:rsidRDefault="00175329" w:rsidP="00175329"/>
    <w:p w14:paraId="78402D3A" w14:textId="77777777" w:rsidR="00175329" w:rsidRPr="00175329" w:rsidRDefault="00175329" w:rsidP="00175329"/>
    <w:p w14:paraId="469F90D9" w14:textId="03590685" w:rsidR="00C85636" w:rsidRDefault="00C85636" w:rsidP="00CD2B56">
      <w:pPr>
        <w:pStyle w:val="Heading2"/>
      </w:pPr>
      <w:r>
        <w:lastRenderedPageBreak/>
        <w:t xml:space="preserve">Case </w:t>
      </w:r>
    </w:p>
    <w:p w14:paraId="18EA9703" w14:textId="37DBCC42" w:rsidR="00CD2B56" w:rsidRPr="00947C27" w:rsidRDefault="00175329" w:rsidP="00175329">
      <w:pPr>
        <w:pStyle w:val="Heading4"/>
      </w:pPr>
      <w:r>
        <w:t>ROB is to vote for the team that has best engagement with a resoutional question</w:t>
      </w:r>
    </w:p>
    <w:p w14:paraId="7AB00888" w14:textId="77777777" w:rsidR="00CD2B56" w:rsidRDefault="00CD2B56" w:rsidP="00CD2B56">
      <w:pPr>
        <w:pStyle w:val="Heading3"/>
      </w:pPr>
      <w:r>
        <w:lastRenderedPageBreak/>
        <w:t>Offense</w:t>
      </w:r>
    </w:p>
    <w:p w14:paraId="4E443D52" w14:textId="77777777" w:rsidR="00CD2B56" w:rsidRPr="00947C27" w:rsidRDefault="00CD2B56" w:rsidP="00CD2B56">
      <w:pPr>
        <w:pStyle w:val="Heading4"/>
      </w:pPr>
      <w:r>
        <w:t>No weighing offense that is not predicated on the right to strike, anything else is inf regressive and destroys negative ground. They are a huge drop in the bucker and don’t access the offense they think they do.</w:t>
      </w:r>
    </w:p>
    <w:p w14:paraId="2AF14CA1" w14:textId="77777777" w:rsidR="00CD2B56" w:rsidRDefault="00CD2B56" w:rsidP="00CD2B56">
      <w:pPr>
        <w:pStyle w:val="Heading4"/>
      </w:pPr>
      <w:r>
        <w:t xml:space="preserve">Their offense on assemblage theory good is a massive double turn with their reading plan, assemblage theory is about how grids and grid lock is bad BUT the 1ac replicates that through prescriptive </w:t>
      </w:r>
    </w:p>
    <w:p w14:paraId="06158E2A" w14:textId="77777777" w:rsidR="00CD2B56" w:rsidRDefault="00CD2B56" w:rsidP="00CD2B56">
      <w:pPr>
        <w:pStyle w:val="Heading4"/>
      </w:pPr>
      <w:r>
        <w:t>Ivancheva DOES NOT make the reverse causal claim that they think it does, it justifies their analysis BUT dos not say the plan creates the conditions to improve it which is terminal defense</w:t>
      </w:r>
    </w:p>
    <w:p w14:paraId="03FB944A" w14:textId="77777777" w:rsidR="00CD2B56" w:rsidRDefault="00CD2B56" w:rsidP="00CD2B56">
      <w:r>
        <w:t xml:space="preserve">Cant solve their impacts </w:t>
      </w:r>
    </w:p>
    <w:p w14:paraId="657482BE" w14:textId="77777777" w:rsidR="00CD2B56" w:rsidRDefault="00CD2B56" w:rsidP="00CD2B56">
      <w:pPr>
        <w:pStyle w:val="ListParagraph"/>
        <w:numPr>
          <w:ilvl w:val="0"/>
          <w:numId w:val="11"/>
        </w:numPr>
      </w:pPr>
      <w:r>
        <w:t xml:space="preserve">Either squo private sector strikes solve and public strikes don’t prove a brink </w:t>
      </w:r>
    </w:p>
    <w:p w14:paraId="41C8A524" w14:textId="77777777" w:rsidR="00CD2B56" w:rsidRDefault="00CD2B56" w:rsidP="00CD2B56">
      <w:pPr>
        <w:pStyle w:val="ListParagraph"/>
        <w:numPr>
          <w:ilvl w:val="0"/>
          <w:numId w:val="11"/>
        </w:numPr>
      </w:pPr>
      <w:r>
        <w:t xml:space="preserve">The aff cannot fiat that </w:t>
      </w:r>
    </w:p>
    <w:p w14:paraId="191DAEE7" w14:textId="5F5D81D9" w:rsidR="00CD2B56" w:rsidRPr="00CD2B56" w:rsidRDefault="00CD2B56" w:rsidP="00CD2B56">
      <w:r>
        <w:t xml:space="preserve">Beller ’16 flows neg – they expand norms of work and provide a software update to capitalism without actually generating changes it means you vote neg </w:t>
      </w:r>
    </w:p>
    <w:p w14:paraId="3E69B33E" w14:textId="77777777" w:rsidR="00C85636" w:rsidRPr="00FF433E" w:rsidRDefault="00C85636" w:rsidP="00C85636">
      <w:pPr>
        <w:pStyle w:val="Heading4"/>
      </w:pPr>
      <w:r>
        <w:t>Zero reason their advocacy resolves the harms they outline –UQ o/w, the colonialism and capitalism they describe in the squo implies that workers striking wouldn’t get rid of it – neoliberal policies implicate basic intentional circumvention</w:t>
      </w:r>
    </w:p>
    <w:p w14:paraId="2B112907" w14:textId="76AA470D" w:rsidR="00A95652" w:rsidRDefault="00CD2B56" w:rsidP="00B55AD5">
      <w:r>
        <w:t>Mecchia flows aff – 1ac forcloses imagination through prescription of specific policy action</w:t>
      </w:r>
    </w:p>
    <w:p w14:paraId="7A768F05" w14:textId="77777777" w:rsidR="00175329" w:rsidRPr="00175329" w:rsidRDefault="00175329" w:rsidP="00175329">
      <w:pPr>
        <w:shd w:val="clear" w:color="auto" w:fill="FFFFFF"/>
        <w:spacing w:after="0" w:line="240" w:lineRule="auto"/>
        <w:rPr>
          <w:rFonts w:ascii="Arial" w:eastAsia="Times New Roman" w:hAnsi="Arial" w:cs="Arial"/>
          <w:color w:val="1D1C1D"/>
          <w:sz w:val="23"/>
          <w:szCs w:val="23"/>
        </w:rPr>
      </w:pPr>
      <w:r w:rsidRPr="00175329">
        <w:rPr>
          <w:rFonts w:ascii="Arial" w:eastAsia="Times New Roman" w:hAnsi="Arial" w:cs="Arial"/>
          <w:color w:val="1D1C1D"/>
          <w:sz w:val="23"/>
          <w:szCs w:val="23"/>
        </w:rPr>
        <w:t>ilitant creativity links to biopower:</w:t>
      </w:r>
    </w:p>
    <w:p w14:paraId="3159BEDC" w14:textId="77777777" w:rsidR="00175329" w:rsidRPr="00175329" w:rsidRDefault="00175329" w:rsidP="00175329">
      <w:pPr>
        <w:numPr>
          <w:ilvl w:val="0"/>
          <w:numId w:val="12"/>
        </w:numPr>
        <w:shd w:val="clear" w:color="auto" w:fill="FFFFFF"/>
        <w:spacing w:before="100" w:beforeAutospacing="1" w:after="60" w:line="240" w:lineRule="auto"/>
        <w:ind w:left="900"/>
        <w:rPr>
          <w:rFonts w:ascii="Arial" w:eastAsia="Times New Roman" w:hAnsi="Arial" w:cs="Arial"/>
          <w:color w:val="1D1C1D"/>
          <w:sz w:val="23"/>
          <w:szCs w:val="23"/>
        </w:rPr>
      </w:pPr>
      <w:r w:rsidRPr="00175329">
        <w:rPr>
          <w:rFonts w:ascii="Arial" w:eastAsia="Times New Roman" w:hAnsi="Arial" w:cs="Arial"/>
          <w:color w:val="1D1C1D"/>
          <w:sz w:val="23"/>
          <w:szCs w:val="23"/>
        </w:rPr>
        <w:t>Militant creativity is an expansion of biopolitical control because it''s rooted in both an expansion of state power and logics of militaristic thought</w:t>
      </w:r>
    </w:p>
    <w:p w14:paraId="5AFBC421" w14:textId="77777777" w:rsidR="00175329" w:rsidRPr="00175329" w:rsidRDefault="00175329" w:rsidP="00175329">
      <w:pPr>
        <w:shd w:val="clear" w:color="auto" w:fill="FFFFFF"/>
        <w:spacing w:after="0" w:line="240" w:lineRule="auto"/>
        <w:jc w:val="right"/>
        <w:rPr>
          <w:rFonts w:ascii="Arial" w:eastAsia="Times New Roman" w:hAnsi="Arial" w:cs="Arial"/>
          <w:color w:val="1D1C1D"/>
          <w:sz w:val="23"/>
          <w:szCs w:val="23"/>
        </w:rPr>
      </w:pPr>
      <w:hyperlink r:id="rId10" w:history="1">
        <w:r w:rsidRPr="00175329">
          <w:rPr>
            <w:rFonts w:ascii="Arial" w:eastAsia="Times New Roman" w:hAnsi="Arial" w:cs="Arial"/>
            <w:color w:val="0000FF"/>
            <w:sz w:val="18"/>
            <w:szCs w:val="18"/>
          </w:rPr>
          <w:t>7:27</w:t>
        </w:r>
      </w:hyperlink>
    </w:p>
    <w:p w14:paraId="07A00766" w14:textId="77777777" w:rsidR="00175329" w:rsidRPr="00175329" w:rsidRDefault="00175329" w:rsidP="00175329">
      <w:pPr>
        <w:shd w:val="clear" w:color="auto" w:fill="FFFFFF"/>
        <w:spacing w:after="60" w:line="240" w:lineRule="auto"/>
        <w:rPr>
          <w:rFonts w:ascii="Arial" w:eastAsia="Times New Roman" w:hAnsi="Arial" w:cs="Arial"/>
          <w:color w:val="1D1C1D"/>
          <w:sz w:val="23"/>
          <w:szCs w:val="23"/>
        </w:rPr>
      </w:pPr>
      <w:r w:rsidRPr="00175329">
        <w:rPr>
          <w:rFonts w:ascii="Arial" w:eastAsia="Times New Roman" w:hAnsi="Arial" w:cs="Arial"/>
          <w:color w:val="1D1C1D"/>
          <w:sz w:val="23"/>
          <w:szCs w:val="23"/>
        </w:rPr>
        <w:t>Also promotion of research doesn't spillover to production of research. Researchers don't change their expertises once they get tenure, and researchers only research what their interested in. Solvency is contigent on uncertainty</w:t>
      </w:r>
    </w:p>
    <w:p w14:paraId="21488CA1" w14:textId="77777777" w:rsidR="00175329" w:rsidRPr="00175329" w:rsidRDefault="00175329" w:rsidP="00175329">
      <w:pPr>
        <w:shd w:val="clear" w:color="auto" w:fill="FFFFFF"/>
        <w:spacing w:after="0" w:line="240" w:lineRule="auto"/>
        <w:jc w:val="right"/>
        <w:rPr>
          <w:rFonts w:ascii="Arial" w:eastAsia="Times New Roman" w:hAnsi="Arial" w:cs="Arial"/>
          <w:color w:val="1D1C1D"/>
          <w:sz w:val="23"/>
          <w:szCs w:val="23"/>
        </w:rPr>
      </w:pPr>
      <w:hyperlink r:id="rId11" w:history="1">
        <w:r w:rsidRPr="00175329">
          <w:rPr>
            <w:rFonts w:ascii="Arial" w:eastAsia="Times New Roman" w:hAnsi="Arial" w:cs="Arial"/>
            <w:color w:val="0000FF"/>
            <w:sz w:val="18"/>
            <w:szCs w:val="18"/>
          </w:rPr>
          <w:t>7:30</w:t>
        </w:r>
      </w:hyperlink>
    </w:p>
    <w:p w14:paraId="7747B548" w14:textId="77777777" w:rsidR="00175329" w:rsidRPr="00175329" w:rsidRDefault="00175329" w:rsidP="00175329">
      <w:pPr>
        <w:shd w:val="clear" w:color="auto" w:fill="FFFFFF"/>
        <w:spacing w:after="60" w:line="240" w:lineRule="auto"/>
        <w:rPr>
          <w:rFonts w:ascii="Arial" w:eastAsia="Times New Roman" w:hAnsi="Arial" w:cs="Arial"/>
          <w:color w:val="1D1C1D"/>
          <w:sz w:val="23"/>
          <w:szCs w:val="23"/>
        </w:rPr>
      </w:pPr>
      <w:r w:rsidRPr="00175329">
        <w:rPr>
          <w:rFonts w:ascii="Arial" w:eastAsia="Times New Roman" w:hAnsi="Arial" w:cs="Arial"/>
          <w:color w:val="1D1C1D"/>
          <w:sz w:val="23"/>
          <w:szCs w:val="23"/>
        </w:rPr>
        <w:t>I don't think you need to recut it. I would just read the woodcock evidence (ROB stuff) that's like "destroy the aff"</w:t>
      </w:r>
    </w:p>
    <w:p w14:paraId="15027F39" w14:textId="77777777" w:rsidR="00175329" w:rsidRPr="00175329" w:rsidRDefault="00175329" w:rsidP="00175329">
      <w:pPr>
        <w:shd w:val="clear" w:color="auto" w:fill="FFFFFF"/>
        <w:spacing w:after="0" w:line="240" w:lineRule="auto"/>
        <w:jc w:val="right"/>
        <w:rPr>
          <w:rFonts w:ascii="Arial" w:eastAsia="Times New Roman" w:hAnsi="Arial" w:cs="Arial"/>
          <w:color w:val="1D1C1D"/>
          <w:sz w:val="23"/>
          <w:szCs w:val="23"/>
        </w:rPr>
      </w:pPr>
      <w:hyperlink r:id="rId12" w:history="1">
        <w:r w:rsidRPr="00175329">
          <w:rPr>
            <w:rFonts w:ascii="Arial" w:eastAsia="Times New Roman" w:hAnsi="Arial" w:cs="Arial"/>
            <w:color w:val="0000FF"/>
            <w:sz w:val="18"/>
            <w:szCs w:val="18"/>
          </w:rPr>
          <w:t>7:30</w:t>
        </w:r>
      </w:hyperlink>
    </w:p>
    <w:p w14:paraId="1BD76F1F" w14:textId="77777777" w:rsidR="00175329" w:rsidRPr="00175329" w:rsidRDefault="00175329" w:rsidP="00175329">
      <w:pPr>
        <w:shd w:val="clear" w:color="auto" w:fill="FFFFFF"/>
        <w:spacing w:after="60" w:line="240" w:lineRule="auto"/>
        <w:rPr>
          <w:rFonts w:ascii="Arial" w:eastAsia="Times New Roman" w:hAnsi="Arial" w:cs="Arial"/>
          <w:color w:val="1D1C1D"/>
          <w:sz w:val="23"/>
          <w:szCs w:val="23"/>
        </w:rPr>
      </w:pPr>
      <w:r w:rsidRPr="00175329">
        <w:rPr>
          <w:rFonts w:ascii="Arial" w:eastAsia="Times New Roman" w:hAnsi="Arial" w:cs="Arial"/>
          <w:color w:val="1D1C1D"/>
          <w:sz w:val="23"/>
          <w:szCs w:val="23"/>
        </w:rPr>
        <w:t>Aff doesnt produce new or exciting research innovations</w:t>
      </w:r>
    </w:p>
    <w:p w14:paraId="301986A2" w14:textId="77777777" w:rsidR="00175329" w:rsidRDefault="00175329" w:rsidP="00961535">
      <w:pPr>
        <w:autoSpaceDE w:val="0"/>
        <w:autoSpaceDN w:val="0"/>
        <w:adjustRightInd w:val="0"/>
        <w:spacing w:after="0" w:line="240" w:lineRule="auto"/>
      </w:pPr>
    </w:p>
    <w:p w14:paraId="602DD4A8" w14:textId="025FCBC9" w:rsidR="00961535" w:rsidRPr="006F3564" w:rsidRDefault="00961535" w:rsidP="00961535">
      <w:pPr>
        <w:autoSpaceDE w:val="0"/>
        <w:autoSpaceDN w:val="0"/>
        <w:adjustRightInd w:val="0"/>
        <w:spacing w:after="0" w:line="240" w:lineRule="auto"/>
      </w:pPr>
      <w:r w:rsidRPr="006F3564">
        <w:t xml:space="preserve">Case Overview — </w:t>
      </w:r>
    </w:p>
    <w:p w14:paraId="59442D1C" w14:textId="77777777" w:rsidR="00961535" w:rsidRPr="006F3564" w:rsidRDefault="00961535" w:rsidP="00961535">
      <w:pPr>
        <w:autoSpaceDE w:val="0"/>
        <w:autoSpaceDN w:val="0"/>
        <w:adjustRightInd w:val="0"/>
        <w:spacing w:after="0" w:line="240" w:lineRule="auto"/>
      </w:pPr>
    </w:p>
    <w:p w14:paraId="27838395" w14:textId="77777777" w:rsidR="00961535" w:rsidRPr="006F3564" w:rsidRDefault="00961535" w:rsidP="00961535">
      <w:pPr>
        <w:autoSpaceDE w:val="0"/>
        <w:autoSpaceDN w:val="0"/>
        <w:adjustRightInd w:val="0"/>
        <w:spacing w:after="0" w:line="240" w:lineRule="auto"/>
      </w:pPr>
      <w:r w:rsidRPr="006F3564">
        <w:t xml:space="preserve">DROP THEM FOR SHUTTING DOWN DISCOURSE ABOUT ANY CRITCAL IDENTITY— SOLELY FOCUSING ON CAP implies that we can’t talk about identity in round — that throws out literally ANY scholarship related to the intersection between race, sex, gender and cap — FUNCTIONS as a TERMAL SOLVENCY DEFICIT –don’t let them pivot and say they can be intersectional since that creates a footnoting DA where you only care about minorities once you’re called out on your bad practices  </w:t>
      </w:r>
    </w:p>
    <w:p w14:paraId="7B5BC0FE" w14:textId="77777777" w:rsidR="00961535" w:rsidRDefault="00961535" w:rsidP="00961535">
      <w:pPr>
        <w:autoSpaceDE w:val="0"/>
        <w:autoSpaceDN w:val="0"/>
        <w:adjustRightInd w:val="0"/>
        <w:spacing w:after="0" w:line="240" w:lineRule="auto"/>
      </w:pPr>
    </w:p>
    <w:p w14:paraId="0A07D6A0" w14:textId="77777777" w:rsidR="00961535" w:rsidRDefault="00961535" w:rsidP="00961535">
      <w:pPr>
        <w:autoSpaceDE w:val="0"/>
        <w:autoSpaceDN w:val="0"/>
        <w:adjustRightInd w:val="0"/>
        <w:spacing w:after="0" w:line="240" w:lineRule="auto"/>
        <w:rPr>
          <w:rFonts w:ascii="AppleSystemUIFont" w:hAnsi="AppleSystemUIFont" w:cs="AppleSystemUIFont"/>
        </w:rPr>
      </w:pPr>
    </w:p>
    <w:p w14:paraId="69C15F76" w14:textId="77777777" w:rsidR="00961535" w:rsidRPr="006F3564" w:rsidRDefault="00961535" w:rsidP="00961535">
      <w:pPr>
        <w:autoSpaceDE w:val="0"/>
        <w:autoSpaceDN w:val="0"/>
        <w:adjustRightInd w:val="0"/>
        <w:spacing w:after="0" w:line="240" w:lineRule="auto"/>
      </w:pPr>
      <w:r w:rsidRPr="006F3564">
        <w:t>WHITE ANXIETY DA — affective relations that reorganize society often encourage violent and racist revolts against the government. The Jan 6th riot proves affective relations re entrench more white rage</w:t>
      </w:r>
    </w:p>
    <w:p w14:paraId="3A781992" w14:textId="77777777" w:rsidR="00961535" w:rsidRPr="006F3564" w:rsidRDefault="00961535" w:rsidP="00961535">
      <w:pPr>
        <w:pStyle w:val="Heading4"/>
      </w:pPr>
      <w:r w:rsidRPr="006F3564">
        <w:t xml:space="preserve">Rejecting capitalism fails </w:t>
      </w:r>
    </w:p>
    <w:p w14:paraId="2C79B881" w14:textId="77777777" w:rsidR="00961535" w:rsidRPr="006F3564" w:rsidRDefault="00961535" w:rsidP="00961535">
      <w:r w:rsidRPr="006F3564">
        <w:rPr>
          <w:rStyle w:val="Style13ptBold"/>
          <w:highlight w:val="green"/>
        </w:rPr>
        <w:t>Kliman 4</w:t>
      </w:r>
      <w:r w:rsidRPr="006F3564">
        <w:t xml:space="preserve"> (Andrew, Economics Professor at Pace University, “Alternatives to Capitalism: What Happens After the Revolution?” http://akliman.squarespace.com/writings/)</w:t>
      </w:r>
    </w:p>
    <w:p w14:paraId="54A7E4C2" w14:textId="77777777" w:rsidR="00961535" w:rsidRPr="006F3564" w:rsidRDefault="00961535" w:rsidP="00961535"/>
    <w:p w14:paraId="47FFD3A6" w14:textId="77777777" w:rsidR="00961535" w:rsidRPr="006F3564" w:rsidRDefault="00961535" w:rsidP="00961535">
      <w:pPr>
        <w:rPr>
          <w:sz w:val="16"/>
        </w:rPr>
      </w:pPr>
      <w:r w:rsidRPr="006F3564">
        <w:rPr>
          <w:rStyle w:val="StyleUnderline"/>
          <w:highlight w:val="green"/>
        </w:rPr>
        <w:t>We live at a moment in which it is harder than ever to articulate a liberatory alternative to capitalism</w:t>
      </w:r>
      <w:r w:rsidRPr="006F3564">
        <w:rPr>
          <w:sz w:val="16"/>
        </w:rPr>
        <w:t xml:space="preserve">.  As we all know, the collapse of state-capitalist regimes that called themselves “Communist,” as well as the widespread failures of social democracy to remake society, have given rise to a widespread acceptance of Margaret Thatcher’s TINA – the belief that “there is no alternative.”         Yet the difficulty in articulating a liberatory alternative is not mostly the product of these events.  It is an inheritance from the past.  To what extent has such an alternative ever been articulated?  There has been a lot of progress – in theory and especially in practice – on the problem of forms of organization – but </w:t>
      </w:r>
      <w:r w:rsidRPr="006F3564">
        <w:rPr>
          <w:rStyle w:val="StyleUnderline"/>
        </w:rPr>
        <w:t>new organizational forms by themselves are not yet an alternative</w:t>
      </w:r>
      <w:r w:rsidRPr="006F3564">
        <w:rPr>
          <w:sz w:val="16"/>
        </w:rPr>
        <w:t>.       A great many leftists, even revolutionaries, did of course regard nationalized property and the State Plan, under the control of the “vanguard” Party, as socialism, or at least as the basis for a transition to socialism.  But even before events refuted this notion,</w:t>
      </w:r>
      <w:r w:rsidRPr="006F3564">
        <w:rPr>
          <w:rStyle w:val="StyleUnderline"/>
        </w:rPr>
        <w:t xml:space="preserve"> it represented, at best, an evasion of the problem</w:t>
      </w:r>
      <w:r w:rsidRPr="006F3564">
        <w:rPr>
          <w:sz w:val="16"/>
        </w:rPr>
        <w:t xml:space="preserve">.  It was largely a matter of leftists with authoritarian personalities subordinating themselves and others to institutions and power with a blind faith that substituted for thought.  </w:t>
      </w:r>
      <w:r w:rsidRPr="006F3564">
        <w:rPr>
          <w:rStyle w:val="StyleUnderline"/>
        </w:rPr>
        <w:t>How such institutions and such power would result in human liberation was never made clear</w:t>
      </w:r>
      <w:r w:rsidRPr="006F3564">
        <w:rPr>
          <w:sz w:val="16"/>
        </w:rPr>
        <w:t xml:space="preserve">.  </w:t>
      </w:r>
      <w:r w:rsidRPr="006F3564">
        <w:rPr>
          <w:rStyle w:val="StyleUnderline"/>
        </w:rPr>
        <w:t>Vague references to “transition” were used to wave the problem away</w:t>
      </w:r>
      <w:r w:rsidRPr="006F3564">
        <w:rPr>
          <w:sz w:val="16"/>
        </w:rPr>
        <w:t xml:space="preserve">.       Yet as Marxist-Humanism has stressed for more than a decade, the anti-Stalinist left is also partly responsible for the crisis in thought.  It, too, failed to articulate a liberatory alternative, offering in place of private- and state-capitalism little more than what Hegel (Science of Logic, Miller trans., pp. 841-42) called “the empty negative … a presumed absolute”:   The impatience that insists merely on getting beyond the determinate … and finding itself immediately in the absolute, has before it as cognition nothing but the empty negative, the abstract infinite; in other words, a presumed absolute, that is presumed because it is not posited, not grasped; grasped it can only be through the mediation of cognition … .         The question that confronts us nowadays is whether we can do better.  Is it possible to make the vision of a new human society more concrete and determinate than it now is, through the mediation of cognition?         </w:t>
      </w:r>
      <w:r w:rsidRPr="006F3564">
        <w:rPr>
          <w:rStyle w:val="StyleUnderline"/>
        </w:rPr>
        <w:t>According to a long-standing view in the movement</w:t>
      </w:r>
      <w:r w:rsidRPr="006F3564">
        <w:rPr>
          <w:sz w:val="16"/>
        </w:rPr>
        <w:t xml:space="preserve">, it is not possible.  </w:t>
      </w:r>
      <w:r w:rsidRPr="006F3564">
        <w:rPr>
          <w:rStyle w:val="StyleUnderline"/>
        </w:rPr>
        <w:t>The character of the new society can only be concretized by practice alone</w:t>
      </w:r>
      <w:r w:rsidRPr="006F3564">
        <w:rPr>
          <w:sz w:val="16"/>
        </w:rPr>
        <w:t xml:space="preserve">, in the course of trying to remake society. </w:t>
      </w:r>
      <w:r w:rsidRPr="006F3564">
        <w:rPr>
          <w:rStyle w:val="StyleUnderline"/>
        </w:rPr>
        <w:t>Yet if this is true, we are faced with a vicious circle from which there seems to be no escape, because acceptance of TINA is creating barriers in practice.  In the perceived absence of an alternative, practical struggles have proven to be self-limiting at best</w:t>
      </w:r>
      <w:r w:rsidRPr="006F3564">
        <w:rPr>
          <w:sz w:val="16"/>
        </w:rPr>
        <w:t xml:space="preserve">.  </w:t>
      </w:r>
      <w:r w:rsidRPr="006F3564">
        <w:rPr>
          <w:rStyle w:val="StyleUnderline"/>
        </w:rPr>
        <w:t>They stop short of even trying to remake society totally – and for good reason</w:t>
      </w:r>
      <w:r w:rsidRPr="006F3564">
        <w:rPr>
          <w:sz w:val="16"/>
        </w:rPr>
        <w:t>.  As Bertell Ollman has noted (Introduction to Market Socialism:  The Debate among Socialists, Routledge, 1998, p. 1), “</w:t>
      </w:r>
      <w:r w:rsidRPr="006F3564">
        <w:rPr>
          <w:rStyle w:val="StyleUnderline"/>
        </w:rPr>
        <w:t>People who believe [that there is no alternative] will put up with almost any degree of suffering.  Why bother to struggle for a change that cannot be? … people [need to] have a good reason for choosing one path into the future rather than another.</w:t>
      </w:r>
      <w:r w:rsidRPr="006F3564">
        <w:rPr>
          <w:sz w:val="16"/>
        </w:rPr>
        <w:t xml:space="preserve">”       </w:t>
      </w:r>
      <w:r w:rsidRPr="006F3564">
        <w:rPr>
          <w:rStyle w:val="StyleUnderline"/>
        </w:rPr>
        <w:t>Thus the reason of the masses is posing a new challenge to the movement from theory</w:t>
      </w:r>
      <w:r w:rsidRPr="006F3564">
        <w:rPr>
          <w:sz w:val="16"/>
        </w:rPr>
        <w:t xml:space="preserve">.  </w:t>
      </w:r>
      <w:r w:rsidRPr="006F3564">
        <w:rPr>
          <w:rStyle w:val="StyleUnderline"/>
          <w:highlight w:val="green"/>
        </w:rPr>
        <w:t>When masses of people require reasons before they act, a new human society surely cannot arise through spontaneous action alone</w:t>
      </w:r>
      <w:r w:rsidRPr="006F3564">
        <w:rPr>
          <w:sz w:val="16"/>
          <w:highlight w:val="green"/>
        </w:rPr>
        <w:t>.</w:t>
      </w:r>
      <w:r w:rsidRPr="006F3564">
        <w:rPr>
          <w:sz w:val="16"/>
        </w:rPr>
        <w:t xml:space="preserve"> </w:t>
      </w:r>
      <w:r w:rsidRPr="006F3564">
        <w:rPr>
          <w:rStyle w:val="StyleUnderline"/>
        </w:rPr>
        <w:t xml:space="preserve">And </w:t>
      </w:r>
      <w:r w:rsidRPr="006F3564">
        <w:rPr>
          <w:rStyle w:val="StyleUnderline"/>
          <w:highlight w:val="green"/>
        </w:rPr>
        <w:t>exposing the ills of existing society does not provide sufficient reason for action when what is at issue is the very possibility of an alternative</w:t>
      </w:r>
      <w:r w:rsidRPr="006F3564">
        <w:rPr>
          <w:sz w:val="16"/>
        </w:rPr>
        <w:t xml:space="preserve">.  </w:t>
      </w:r>
      <w:r w:rsidRPr="006F3564">
        <w:rPr>
          <w:rStyle w:val="StyleUnderline"/>
        </w:rPr>
        <w:t xml:space="preserve">If the movement from theory is to respond adequately to the challenge arising from below, </w:t>
      </w:r>
      <w:r w:rsidRPr="006F3564">
        <w:rPr>
          <w:rStyle w:val="StyleUnderline"/>
          <w:highlight w:val="green"/>
        </w:rPr>
        <w:t>it is necessary to abandon the presupposition –</w:t>
      </w:r>
      <w:r w:rsidRPr="006F3564">
        <w:rPr>
          <w:rStyle w:val="StyleUnderline"/>
        </w:rPr>
        <w:t xml:space="preserve"> and it seems to me to be no more than a presupposition – </w:t>
      </w:r>
      <w:r w:rsidRPr="006F3564">
        <w:rPr>
          <w:rStyle w:val="StyleUnderline"/>
          <w:highlight w:val="green"/>
        </w:rPr>
        <w:t>that the vision of the new society cannot be concretized through the mediation of cognition</w:t>
      </w:r>
      <w:r w:rsidRPr="006F3564">
        <w:rPr>
          <w:sz w:val="16"/>
        </w:rPr>
        <w:t>.   We need to take seriously Raya Dunayevskaya’s (Power of Negativity [PON], p. 184) claim in her Hegel Society of America paper that “There is no trap in thought.  Though it is finite, it breaks through the barriers of the given, reaches out, if not to infinity, surely beyond the historic moment” (RD, PON, p. 184).  This, too, is a presupposition that can be “proved” or “disproved” only in the light of the results it yields.  In the meantime, the challenges from below require us to proceed on its basis.</w:t>
      </w:r>
    </w:p>
    <w:p w14:paraId="3C6753BB" w14:textId="77777777" w:rsidR="00961535" w:rsidRPr="006F3564" w:rsidRDefault="00961535" w:rsidP="00961535">
      <w:pPr>
        <w:autoSpaceDE w:val="0"/>
        <w:autoSpaceDN w:val="0"/>
        <w:adjustRightInd w:val="0"/>
        <w:spacing w:after="0" w:line="240" w:lineRule="auto"/>
      </w:pPr>
    </w:p>
    <w:p w14:paraId="63041143" w14:textId="77777777" w:rsidR="00961535" w:rsidRDefault="00961535" w:rsidP="00961535">
      <w:pPr>
        <w:autoSpaceDE w:val="0"/>
        <w:autoSpaceDN w:val="0"/>
        <w:adjustRightInd w:val="0"/>
        <w:spacing w:after="0" w:line="240" w:lineRule="auto"/>
      </w:pPr>
      <w:r>
        <w:t xml:space="preserve">Off the plan – they don’t have a solvency advocate which leads to a </w:t>
      </w:r>
      <w:r>
        <w:sym w:font="Wingdings" w:char="F0E0"/>
      </w:r>
      <w:r>
        <w:t xml:space="preserve"> </w:t>
      </w:r>
    </w:p>
    <w:p w14:paraId="2E17197F" w14:textId="77777777" w:rsidR="00961535" w:rsidRDefault="00961535" w:rsidP="00961535">
      <w:pPr>
        <w:autoSpaceDE w:val="0"/>
        <w:autoSpaceDN w:val="0"/>
        <w:adjustRightInd w:val="0"/>
        <w:spacing w:after="0" w:line="240" w:lineRule="auto"/>
      </w:pPr>
    </w:p>
    <w:p w14:paraId="4739F507" w14:textId="77777777" w:rsidR="00961535" w:rsidRDefault="00961535" w:rsidP="00961535">
      <w:pPr>
        <w:pStyle w:val="Heading4"/>
        <w:tabs>
          <w:tab w:val="left" w:pos="8910"/>
        </w:tabs>
        <w:spacing w:line="480" w:lineRule="auto"/>
        <w:ind w:right="-720"/>
        <w:rPr>
          <w:b w:val="0"/>
        </w:rPr>
      </w:pPr>
      <w:r>
        <w:t xml:space="preserve">[Aronson] white saviorism DA: </w:t>
      </w:r>
      <w:r>
        <w:rPr>
          <w:b w:val="0"/>
        </w:rPr>
        <w:t xml:space="preserve">your framing positions YOU as the person who can stop cultural domination – if you aren’t citing authors who make that argument, who the frick died and made you the arbiter of what marginalized people want? </w:t>
      </w:r>
    </w:p>
    <w:p w14:paraId="1579E9DC" w14:textId="77777777" w:rsidR="00961535" w:rsidRPr="00762715" w:rsidRDefault="00961535" w:rsidP="00961535">
      <w:pPr>
        <w:ind w:right="-720"/>
        <w:rPr>
          <w:rStyle w:val="StyleUnderline"/>
          <w:b/>
        </w:rPr>
      </w:pPr>
      <w:r>
        <w:rPr>
          <w:rStyle w:val="StyleUnderline"/>
        </w:rPr>
        <w:t>Aronson</w:t>
      </w:r>
      <w:r w:rsidRPr="00762715">
        <w:rPr>
          <w:rStyle w:val="StyleUnderline"/>
        </w:rPr>
        <w:t xml:space="preserve">: </w:t>
      </w:r>
      <w:r w:rsidRPr="00762715">
        <w:rPr>
          <w:rStyle w:val="StyleUnderline"/>
          <w:b/>
          <w:sz w:val="16"/>
          <w:szCs w:val="16"/>
        </w:rPr>
        <w:t xml:space="preserve">Aronson, Brittany A. [Assistant Professor, Miami University] “The White Savior Industrial Complex: A Cultural Studies Analysis of a Teacher Educator, Savior Film, and Future Teachers.” </w:t>
      </w:r>
      <w:r w:rsidRPr="00762715">
        <w:rPr>
          <w:rStyle w:val="StyleUnderline"/>
          <w:b/>
          <w:i/>
          <w:sz w:val="16"/>
          <w:szCs w:val="16"/>
        </w:rPr>
        <w:t>Journal of Critical Thought and Praxis</w:t>
      </w:r>
      <w:r w:rsidRPr="00762715">
        <w:rPr>
          <w:rStyle w:val="StyleUnderline"/>
          <w:b/>
          <w:sz w:val="16"/>
          <w:szCs w:val="16"/>
        </w:rPr>
        <w:t>, Vol. 6, Issue 3, 2017. CH</w:t>
      </w:r>
    </w:p>
    <w:p w14:paraId="010D4803" w14:textId="77777777" w:rsidR="00961535" w:rsidRPr="008E0E1B" w:rsidRDefault="00961535" w:rsidP="00961535">
      <w:pPr>
        <w:ind w:right="-720"/>
      </w:pPr>
    </w:p>
    <w:p w14:paraId="75903935" w14:textId="77777777" w:rsidR="00961535" w:rsidRDefault="00961535" w:rsidP="00961535">
      <w:pPr>
        <w:spacing w:line="480" w:lineRule="auto"/>
        <w:ind w:right="-720"/>
        <w:rPr>
          <w:sz w:val="16"/>
        </w:rPr>
      </w:pPr>
      <w:r w:rsidRPr="008E0E1B">
        <w:rPr>
          <w:sz w:val="16"/>
        </w:rPr>
        <w:t xml:space="preserve">In 2012, Nigerian-American novelist Teju Cole coined </w:t>
      </w:r>
      <w:r>
        <w:rPr>
          <w:rStyle w:val="StyleUnderline"/>
          <w:highlight w:val="yellow"/>
        </w:rPr>
        <w:t>t</w:t>
      </w:r>
      <w:r w:rsidRPr="008E0E1B">
        <w:rPr>
          <w:rStyle w:val="StyleUnderline"/>
          <w:highlight w:val="yellow"/>
        </w:rPr>
        <w:t>he</w:t>
      </w:r>
      <w:r w:rsidRPr="008E0E1B">
        <w:rPr>
          <w:rStyle w:val="StyleUnderline"/>
        </w:rPr>
        <w:t xml:space="preserve"> term </w:t>
      </w:r>
      <w:r w:rsidRPr="008E0E1B">
        <w:rPr>
          <w:rStyle w:val="StyleUnderline"/>
          <w:highlight w:val="yellow"/>
        </w:rPr>
        <w:t>white savior industrial complex</w:t>
      </w:r>
      <w:r w:rsidRPr="008E0E1B">
        <w:rPr>
          <w:rStyle w:val="StyleUnderline"/>
        </w:rPr>
        <w:t xml:space="preserve"> (WSIC)</w:t>
      </w:r>
      <w:r w:rsidRPr="008E0E1B">
        <w:rPr>
          <w:sz w:val="16"/>
        </w:rPr>
        <w:t xml:space="preserve"> in response to a popular video blowing up on YouTube </w:t>
      </w:r>
      <w:r>
        <w:rPr>
          <w:sz w:val="16"/>
        </w:rPr>
        <w:t>–</w:t>
      </w:r>
      <w:r w:rsidRPr="008E0E1B">
        <w:rPr>
          <w:sz w:val="16"/>
        </w:rPr>
        <w:t xml:space="preserve"> “Kony 2012.”1 The WSIC </w:t>
      </w:r>
      <w:r w:rsidRPr="008E0E1B">
        <w:rPr>
          <w:rStyle w:val="StyleUnderline"/>
          <w:highlight w:val="yellow"/>
        </w:rPr>
        <w:t>refers to</w:t>
      </w:r>
      <w:r w:rsidRPr="008E0E1B">
        <w:rPr>
          <w:rStyle w:val="StyleUnderline"/>
        </w:rPr>
        <w:t xml:space="preserve"> the “confluence of </w:t>
      </w:r>
      <w:r w:rsidRPr="008E0E1B">
        <w:rPr>
          <w:rStyle w:val="StyleUnderline"/>
          <w:highlight w:val="yellow"/>
        </w:rPr>
        <w:t>practices</w:t>
      </w:r>
      <w:r w:rsidRPr="008E0E1B">
        <w:rPr>
          <w:rStyle w:val="StyleUnderline"/>
        </w:rPr>
        <w:t xml:space="preserve">, processes, and institutions </w:t>
      </w:r>
      <w:r w:rsidRPr="008E0E1B">
        <w:rPr>
          <w:rStyle w:val="StyleUnderline"/>
          <w:highlight w:val="yellow"/>
        </w:rPr>
        <w:t>that reify historical inequities to</w:t>
      </w:r>
      <w:r w:rsidRPr="008E0E1B">
        <w:rPr>
          <w:rStyle w:val="StyleUnderline"/>
        </w:rPr>
        <w:t xml:space="preserve"> ultimately </w:t>
      </w:r>
      <w:r w:rsidRPr="008E0E1B">
        <w:rPr>
          <w:rStyle w:val="StyleUnderline"/>
          <w:highlight w:val="yellow"/>
        </w:rPr>
        <w:t>validate white privilege</w:t>
      </w:r>
      <w:r w:rsidRPr="008E0E1B">
        <w:rPr>
          <w:rStyle w:val="StyleUnderline"/>
        </w:rPr>
        <w:t>”</w:t>
      </w:r>
      <w:r w:rsidRPr="008E0E1B">
        <w:rPr>
          <w:sz w:val="16"/>
        </w:rPr>
        <w:t xml:space="preserve"> (Anderson, 2013, p. 39)</w:t>
      </w:r>
      <w:r w:rsidRPr="008E0E1B">
        <w:rPr>
          <w:rStyle w:val="StyleUnderline"/>
          <w:highlight w:val="yellow"/>
        </w:rPr>
        <w:t>.</w:t>
      </w:r>
      <w:r w:rsidRPr="008E0E1B">
        <w:rPr>
          <w:sz w:val="16"/>
        </w:rPr>
        <w:t xml:space="preserve"> Essentially, as Cole explained, a WSIC involves a “big emotional experience that validates privilege.” </w:t>
      </w:r>
      <w:r>
        <w:rPr>
          <w:rStyle w:val="StyleUnderline"/>
        </w:rPr>
        <w:t xml:space="preserve">Ultimately, </w:t>
      </w:r>
      <w:r>
        <w:rPr>
          <w:rStyle w:val="StyleUnderline"/>
          <w:highlight w:val="yellow"/>
        </w:rPr>
        <w:t>p</w:t>
      </w:r>
      <w:r w:rsidRPr="008E0E1B">
        <w:rPr>
          <w:rStyle w:val="StyleUnderline"/>
          <w:highlight w:val="yellow"/>
        </w:rPr>
        <w:t>eople are rewarded from “saving” those less fortunate and</w:t>
      </w:r>
      <w:r w:rsidRPr="008E0E1B">
        <w:rPr>
          <w:rStyle w:val="StyleUnderline"/>
        </w:rPr>
        <w:t xml:space="preserve"> are able to </w:t>
      </w:r>
      <w:r w:rsidRPr="008E0E1B">
        <w:rPr>
          <w:rStyle w:val="StyleUnderline"/>
          <w:highlight w:val="yellow"/>
        </w:rPr>
        <w:t>completely disregard</w:t>
      </w:r>
      <w:r w:rsidRPr="008E0E1B">
        <w:rPr>
          <w:rStyle w:val="StyleUnderline"/>
        </w:rPr>
        <w:t xml:space="preserve"> the </w:t>
      </w:r>
      <w:r w:rsidRPr="008E0E1B">
        <w:rPr>
          <w:rStyle w:val="StyleUnderline"/>
          <w:highlight w:val="yellow"/>
        </w:rPr>
        <w:t>policies they</w:t>
      </w:r>
      <w:r w:rsidRPr="008E0E1B">
        <w:rPr>
          <w:rStyle w:val="StyleUnderline"/>
        </w:rPr>
        <w:t xml:space="preserve"> have </w:t>
      </w:r>
      <w:r w:rsidRPr="008E0E1B">
        <w:rPr>
          <w:rStyle w:val="StyleUnderline"/>
          <w:highlight w:val="yellow"/>
        </w:rPr>
        <w:t>supported that</w:t>
      </w:r>
      <w:r w:rsidRPr="008E0E1B">
        <w:rPr>
          <w:rStyle w:val="StyleUnderline"/>
        </w:rPr>
        <w:t xml:space="preserve"> have </w:t>
      </w:r>
      <w:r w:rsidRPr="008E0E1B">
        <w:rPr>
          <w:rStyle w:val="Emphasis"/>
          <w:highlight w:val="yellow"/>
        </w:rPr>
        <w:t>create</w:t>
      </w:r>
      <w:r w:rsidRPr="008E0E1B">
        <w:rPr>
          <w:rStyle w:val="StyleUnderline"/>
        </w:rPr>
        <w:t xml:space="preserve">d/maintained </w:t>
      </w:r>
      <w:r w:rsidRPr="008E0E1B">
        <w:rPr>
          <w:rStyle w:val="StyleUnderline"/>
          <w:highlight w:val="yellow"/>
        </w:rPr>
        <w:t>systems of oppression</w:t>
      </w:r>
      <w:r w:rsidRPr="008E0E1B">
        <w:rPr>
          <w:rStyle w:val="StyleUnderline"/>
        </w:rPr>
        <w:t xml:space="preserve"> (i.e. The U.S.’s exploitation in Haiti has contributed to poverty and corruption, yet Americans can feel </w:t>
      </w:r>
      <w:r w:rsidRPr="00167290">
        <w:rPr>
          <w:rStyle w:val="StyleUnderline"/>
        </w:rPr>
        <w:t xml:space="preserve">good about their charity after the Earthquake). The rhetoric around how Americans often talk about Africa—as a continent of chaos, warthirsty people, and impoverished HIV-infected communities, situates these countries as places in need of heroism. </w:t>
      </w:r>
      <w:r w:rsidRPr="00167290">
        <w:rPr>
          <w:rStyle w:val="StyleUnderline"/>
          <w:highlight w:val="yellow"/>
        </w:rPr>
        <w:t>This mindset perpetuates the need for external forc</w:t>
      </w:r>
      <w:r w:rsidRPr="008E0E1B">
        <w:rPr>
          <w:rStyle w:val="StyleUnderline"/>
          <w:highlight w:val="yellow"/>
        </w:rPr>
        <w:t>es to come</w:t>
      </w:r>
      <w:r w:rsidRPr="008E0E1B">
        <w:rPr>
          <w:rStyle w:val="StyleUnderline"/>
        </w:rPr>
        <w:t xml:space="preserve"> in and </w:t>
      </w:r>
      <w:r w:rsidRPr="008E0E1B">
        <w:rPr>
          <w:rStyle w:val="StyleUnderline"/>
          <w:highlight w:val="yellow"/>
        </w:rPr>
        <w:t>save the day, but what gets left out</w:t>
      </w:r>
      <w:r w:rsidRPr="008E0E1B">
        <w:rPr>
          <w:rStyle w:val="StyleUnderline"/>
        </w:rPr>
        <w:t xml:space="preserve"> of this conversation </w:t>
      </w:r>
      <w:r w:rsidRPr="008E0E1B">
        <w:rPr>
          <w:rStyle w:val="StyleUnderline"/>
          <w:highlight w:val="yellow"/>
        </w:rPr>
        <w:t>are the roles set</w:t>
      </w:r>
      <w:r w:rsidRPr="00167290">
        <w:rPr>
          <w:rStyle w:val="StyleUnderline"/>
        </w:rPr>
        <w:t>tler</w:t>
      </w:r>
      <w:r w:rsidRPr="008E0E1B">
        <w:rPr>
          <w:rStyle w:val="StyleUnderline"/>
          <w:highlight w:val="yellow"/>
        </w:rPr>
        <w:t xml:space="preserve"> col</w:t>
      </w:r>
      <w:r w:rsidRPr="00167290">
        <w:rPr>
          <w:rStyle w:val="StyleUnderline"/>
        </w:rPr>
        <w:t xml:space="preserve">onialism </w:t>
      </w:r>
      <w:r w:rsidRPr="008E0E1B">
        <w:rPr>
          <w:rStyle w:val="StyleUnderline"/>
          <w:highlight w:val="yellow"/>
        </w:rPr>
        <w:t>and white supremacy have</w:t>
      </w:r>
      <w:r w:rsidRPr="008E0E1B">
        <w:rPr>
          <w:rStyle w:val="StyleUnderline"/>
        </w:rPr>
        <w:t xml:space="preserve"> had </w:t>
      </w:r>
      <w:r w:rsidRPr="008E0E1B">
        <w:rPr>
          <w:rStyle w:val="StyleUnderline"/>
          <w:highlight w:val="yellow"/>
        </w:rPr>
        <w:t xml:space="preserve">in </w:t>
      </w:r>
      <w:r w:rsidRPr="008E0E1B">
        <w:rPr>
          <w:rStyle w:val="Emphasis"/>
          <w:highlight w:val="yellow"/>
        </w:rPr>
        <w:t>creating</w:t>
      </w:r>
      <w:r w:rsidRPr="008E0E1B">
        <w:rPr>
          <w:rStyle w:val="StyleUnderline"/>
          <w:highlight w:val="yellow"/>
        </w:rPr>
        <w:t xml:space="preserve"> these conditions</w:t>
      </w:r>
      <w:r w:rsidRPr="008E0E1B">
        <w:rPr>
          <w:rStyle w:val="StyleUnderline"/>
        </w:rPr>
        <w:t xml:space="preserve"> in the first place (Smith, 2012)</w:t>
      </w:r>
      <w:r w:rsidRPr="008E0E1B">
        <w:rPr>
          <w:rStyle w:val="StyleUnderline"/>
          <w:highlight w:val="yellow"/>
        </w:rPr>
        <w:t>.</w:t>
      </w:r>
      <w:r w:rsidRPr="008E0E1B">
        <w:rPr>
          <w:sz w:val="16"/>
        </w:rPr>
        <w:t xml:space="preserve"> 2 </w:t>
      </w:r>
      <w:r w:rsidRPr="00167290">
        <w:rPr>
          <w:rStyle w:val="StyleUnderline"/>
        </w:rPr>
        <w:t>Distorted narratives that paint Africa and other developing countries in these ways allow for</w:t>
      </w:r>
      <w:r w:rsidRPr="008E0E1B">
        <w:rPr>
          <w:rStyle w:val="StyleUnderline"/>
        </w:rPr>
        <w:t xml:space="preserve"> </w:t>
      </w:r>
      <w:r w:rsidRPr="008E0E1B">
        <w:rPr>
          <w:rStyle w:val="StyleUnderline"/>
          <w:highlight w:val="yellow"/>
        </w:rPr>
        <w:t>the hegemonic project of whiteness</w:t>
      </w:r>
      <w:r w:rsidRPr="008E0E1B">
        <w:rPr>
          <w:rStyle w:val="StyleUnderline"/>
        </w:rPr>
        <w:t xml:space="preserve"> and white supremacy (Allen, 2001) to do exactly as intended: </w:t>
      </w:r>
      <w:r w:rsidRPr="008E0E1B">
        <w:rPr>
          <w:rStyle w:val="StyleUnderline"/>
          <w:highlight w:val="yellow"/>
        </w:rPr>
        <w:t xml:space="preserve">to create </w:t>
      </w:r>
      <w:r w:rsidRPr="008E0E1B">
        <w:rPr>
          <w:rStyle w:val="Emphasis"/>
          <w:highlight w:val="yellow"/>
        </w:rPr>
        <w:t>a need</w:t>
      </w:r>
      <w:r w:rsidRPr="008E0E1B">
        <w:rPr>
          <w:rStyle w:val="StyleUnderline"/>
          <w:highlight w:val="yellow"/>
        </w:rPr>
        <w:t xml:space="preserve"> for white intervention</w:t>
      </w:r>
      <w:r w:rsidRPr="008E0E1B">
        <w:rPr>
          <w:rStyle w:val="StyleUnderline"/>
        </w:rPr>
        <w:t xml:space="preserve"> for “emotional needs to be satisfied” </w:t>
      </w:r>
      <w:r w:rsidRPr="008E0E1B">
        <w:rPr>
          <w:rStyle w:val="StyleUnderline"/>
          <w:highlight w:val="yellow"/>
        </w:rPr>
        <w:t>so the opportunity for agency at the local</w:t>
      </w:r>
      <w:r w:rsidRPr="008E0E1B">
        <w:rPr>
          <w:rStyle w:val="StyleUnderline"/>
        </w:rPr>
        <w:t xml:space="preserve"> or individual </w:t>
      </w:r>
      <w:r w:rsidRPr="008E0E1B">
        <w:rPr>
          <w:rStyle w:val="StyleUnderline"/>
          <w:highlight w:val="yellow"/>
        </w:rPr>
        <w:t>level becomes nonexistent</w:t>
      </w:r>
      <w:r w:rsidRPr="008E0E1B">
        <w:rPr>
          <w:rStyle w:val="StyleUnderline"/>
        </w:rPr>
        <w:t xml:space="preserve"> (Cole, 2012)</w:t>
      </w:r>
      <w:r w:rsidRPr="008E0E1B">
        <w:rPr>
          <w:rStyle w:val="StyleUnderline"/>
          <w:highlight w:val="yellow"/>
        </w:rPr>
        <w:t xml:space="preserve">. The argument </w:t>
      </w:r>
      <w:r w:rsidRPr="0036748E">
        <w:rPr>
          <w:rStyle w:val="StyleUnderline"/>
          <w:highlight w:val="yellow"/>
        </w:rPr>
        <w:t xml:space="preserve">is framed </w:t>
      </w:r>
      <w:r w:rsidRPr="008E0E1B">
        <w:rPr>
          <w:rStyle w:val="StyleUnderline"/>
          <w:highlight w:val="yellow"/>
        </w:rPr>
        <w:t>in such a</w:t>
      </w:r>
      <w:r w:rsidRPr="008E0E1B">
        <w:rPr>
          <w:rStyle w:val="StyleUnderline"/>
        </w:rPr>
        <w:t xml:space="preserve"> commonsense </w:t>
      </w:r>
      <w:r w:rsidRPr="008E0E1B">
        <w:rPr>
          <w:rStyle w:val="StyleUnderline"/>
          <w:highlight w:val="yellow"/>
        </w:rPr>
        <w:t>manner that any opposition to a white savior</w:t>
      </w:r>
      <w:r w:rsidRPr="008E0E1B">
        <w:rPr>
          <w:rStyle w:val="StyleUnderline"/>
        </w:rPr>
        <w:t xml:space="preserve"> coming in to save the day </w:t>
      </w:r>
      <w:r w:rsidRPr="008E0E1B">
        <w:rPr>
          <w:rStyle w:val="StyleUnderline"/>
          <w:highlight w:val="yellow"/>
        </w:rPr>
        <w:t>is deemed in a negative light.</w:t>
      </w:r>
      <w:r w:rsidRPr="008E0E1B">
        <w:rPr>
          <w:sz w:val="16"/>
        </w:rPr>
        <w:t xml:space="preserve"> </w:t>
      </w:r>
    </w:p>
    <w:p w14:paraId="38EFA735" w14:textId="77777777" w:rsidR="00961535" w:rsidRDefault="00961535" w:rsidP="00961535">
      <w:pPr>
        <w:ind w:right="-720"/>
      </w:pPr>
    </w:p>
    <w:p w14:paraId="5CEE727F" w14:textId="77777777" w:rsidR="00961535" w:rsidRPr="00762715" w:rsidRDefault="00961535" w:rsidP="00961535">
      <w:pPr>
        <w:spacing w:line="480" w:lineRule="auto"/>
        <w:ind w:right="-720"/>
        <w:rPr>
          <w:b/>
        </w:rPr>
      </w:pPr>
      <w:r>
        <w:rPr>
          <w:b/>
        </w:rPr>
        <w:t xml:space="preserve">Turns and outweighs the aff on CYCLICAL HARMS – they CREATE THE CONDITIONS THEY TRY TO SOLVE. </w:t>
      </w:r>
    </w:p>
    <w:p w14:paraId="42AB4E99" w14:textId="77777777" w:rsidR="00961535" w:rsidRPr="006F3564" w:rsidRDefault="00961535" w:rsidP="00961535">
      <w:pPr>
        <w:autoSpaceDE w:val="0"/>
        <w:autoSpaceDN w:val="0"/>
        <w:adjustRightInd w:val="0"/>
        <w:spacing w:after="0" w:line="240" w:lineRule="auto"/>
      </w:pPr>
    </w:p>
    <w:p w14:paraId="40F322F7" w14:textId="77777777" w:rsidR="00961535" w:rsidRPr="006F3564" w:rsidRDefault="00961535" w:rsidP="00961535">
      <w:pPr>
        <w:autoSpaceDE w:val="0"/>
        <w:autoSpaceDN w:val="0"/>
        <w:adjustRightInd w:val="0"/>
        <w:spacing w:after="0" w:line="240" w:lineRule="auto"/>
      </w:pPr>
    </w:p>
    <w:p w14:paraId="4A914056" w14:textId="77777777" w:rsidR="00961535" w:rsidRPr="006F3564" w:rsidRDefault="00961535" w:rsidP="00961535">
      <w:pPr>
        <w:autoSpaceDE w:val="0"/>
        <w:autoSpaceDN w:val="0"/>
        <w:adjustRightInd w:val="0"/>
        <w:spacing w:after="0" w:line="240" w:lineRule="auto"/>
      </w:pPr>
    </w:p>
    <w:p w14:paraId="693638CC" w14:textId="77777777" w:rsidR="00961535" w:rsidRPr="00B55AD5" w:rsidRDefault="00961535" w:rsidP="00B55AD5"/>
    <w:sectPr w:rsidR="0096153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F221E6"/>
    <w:multiLevelType w:val="hybridMultilevel"/>
    <w:tmpl w:val="46A47E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CA2BA5"/>
    <w:multiLevelType w:val="multilevel"/>
    <w:tmpl w:val="2A60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5636"/>
    <w:rsid w:val="000139A3"/>
    <w:rsid w:val="00100833"/>
    <w:rsid w:val="00104529"/>
    <w:rsid w:val="00105942"/>
    <w:rsid w:val="00107396"/>
    <w:rsid w:val="00144A4C"/>
    <w:rsid w:val="0017532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1535"/>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5636"/>
    <w:rsid w:val="00C9604F"/>
    <w:rsid w:val="00CA19AA"/>
    <w:rsid w:val="00CC5298"/>
    <w:rsid w:val="00CD2B56"/>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90734"/>
  <w15:chartTrackingRefBased/>
  <w15:docId w15:val="{83DEB5EB-8D10-44BF-83C9-BDF0234F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5636"/>
    <w:rPr>
      <w:rFonts w:ascii="Calibri" w:hAnsi="Calibri"/>
    </w:rPr>
  </w:style>
  <w:style w:type="paragraph" w:styleId="Heading1">
    <w:name w:val="heading 1"/>
    <w:aliases w:val="Pocket"/>
    <w:basedOn w:val="Normal"/>
    <w:next w:val="Normal"/>
    <w:link w:val="Heading1Char"/>
    <w:qFormat/>
    <w:rsid w:val="00C856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56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56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Ta"/>
    <w:basedOn w:val="Normal"/>
    <w:next w:val="Normal"/>
    <w:link w:val="Heading4Char"/>
    <w:uiPriority w:val="3"/>
    <w:unhideWhenUsed/>
    <w:qFormat/>
    <w:rsid w:val="00C856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56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636"/>
  </w:style>
  <w:style w:type="character" w:customStyle="1" w:styleId="Heading1Char">
    <w:name w:val="Heading 1 Char"/>
    <w:aliases w:val="Pocket Char"/>
    <w:basedOn w:val="DefaultParagraphFont"/>
    <w:link w:val="Heading1"/>
    <w:rsid w:val="00C856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56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56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8563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Style1,Box,B,s"/>
    <w:basedOn w:val="DefaultParagraphFont"/>
    <w:link w:val="Emphasis1"/>
    <w:uiPriority w:val="7"/>
    <w:qFormat/>
    <w:rsid w:val="00C856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563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8563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C85636"/>
    <w:rPr>
      <w:color w:val="auto"/>
      <w:u w:val="none"/>
    </w:rPr>
  </w:style>
  <w:style w:type="character" w:styleId="FollowedHyperlink">
    <w:name w:val="FollowedHyperlink"/>
    <w:basedOn w:val="DefaultParagraphFont"/>
    <w:uiPriority w:val="99"/>
    <w:semiHidden/>
    <w:unhideWhenUsed/>
    <w:rsid w:val="00C85636"/>
    <w:rPr>
      <w:color w:val="auto"/>
      <w:u w:val="none"/>
    </w:rPr>
  </w:style>
  <w:style w:type="paragraph" w:customStyle="1" w:styleId="Emphasis1">
    <w:name w:val="Emphasis1"/>
    <w:basedOn w:val="Normal"/>
    <w:link w:val="Emphasis"/>
    <w:autoRedefine/>
    <w:uiPriority w:val="7"/>
    <w:qFormat/>
    <w:rsid w:val="00C856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85636"/>
    <w:pPr>
      <w:keepNext w:val="0"/>
      <w:keepLines w:val="0"/>
      <w:spacing w:before="0" w:line="252" w:lineRule="auto"/>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D2B56"/>
    <w:pPr>
      <w:ind w:left="720"/>
      <w:contextualSpacing/>
    </w:pPr>
  </w:style>
  <w:style w:type="paragraph" w:customStyle="1" w:styleId="textbold">
    <w:name w:val="text bold"/>
    <w:basedOn w:val="Normal"/>
    <w:uiPriority w:val="7"/>
    <w:qFormat/>
    <w:rsid w:val="00961535"/>
    <w:pPr>
      <w:widowControl w:val="0"/>
      <w:ind w:left="720"/>
    </w:pPr>
    <w:rPr>
      <w:rFonts w:eastAsiaTheme="minorEastAsia"/>
      <w:b/>
      <w:iCs/>
      <w:szCs w:val="24"/>
      <w:u w:val="single"/>
    </w:rPr>
  </w:style>
  <w:style w:type="character" w:customStyle="1" w:styleId="c-timestamplabel">
    <w:name w:val="c-timestamp__label"/>
    <w:basedOn w:val="DefaultParagraphFont"/>
    <w:rsid w:val="0017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858941">
      <w:bodyDiv w:val="1"/>
      <w:marLeft w:val="0"/>
      <w:marRight w:val="0"/>
      <w:marTop w:val="0"/>
      <w:marBottom w:val="0"/>
      <w:divBdr>
        <w:top w:val="none" w:sz="0" w:space="0" w:color="auto"/>
        <w:left w:val="none" w:sz="0" w:space="0" w:color="auto"/>
        <w:bottom w:val="none" w:sz="0" w:space="0" w:color="auto"/>
        <w:right w:val="none" w:sz="0" w:space="0" w:color="auto"/>
      </w:divBdr>
      <w:divsChild>
        <w:div w:id="1844002940">
          <w:marLeft w:val="0"/>
          <w:marRight w:val="0"/>
          <w:marTop w:val="0"/>
          <w:marBottom w:val="0"/>
          <w:divBdr>
            <w:top w:val="none" w:sz="0" w:space="0" w:color="auto"/>
            <w:left w:val="none" w:sz="0" w:space="0" w:color="auto"/>
            <w:bottom w:val="none" w:sz="0" w:space="0" w:color="auto"/>
            <w:right w:val="none" w:sz="0" w:space="0" w:color="auto"/>
          </w:divBdr>
          <w:divsChild>
            <w:div w:id="72705761">
              <w:marLeft w:val="0"/>
              <w:marRight w:val="0"/>
              <w:marTop w:val="0"/>
              <w:marBottom w:val="0"/>
              <w:divBdr>
                <w:top w:val="none" w:sz="0" w:space="0" w:color="auto"/>
                <w:left w:val="none" w:sz="0" w:space="0" w:color="auto"/>
                <w:bottom w:val="none" w:sz="0" w:space="0" w:color="auto"/>
                <w:right w:val="none" w:sz="0" w:space="0" w:color="auto"/>
              </w:divBdr>
              <w:divsChild>
                <w:div w:id="1785466557">
                  <w:marLeft w:val="0"/>
                  <w:marRight w:val="0"/>
                  <w:marTop w:val="0"/>
                  <w:marBottom w:val="0"/>
                  <w:divBdr>
                    <w:top w:val="none" w:sz="0" w:space="0" w:color="auto"/>
                    <w:left w:val="none" w:sz="0" w:space="0" w:color="auto"/>
                    <w:bottom w:val="none" w:sz="0" w:space="0" w:color="auto"/>
                    <w:right w:val="none" w:sz="0" w:space="0" w:color="auto"/>
                  </w:divBdr>
                  <w:divsChild>
                    <w:div w:id="215120717">
                      <w:marLeft w:val="0"/>
                      <w:marRight w:val="0"/>
                      <w:marTop w:val="0"/>
                      <w:marBottom w:val="0"/>
                      <w:divBdr>
                        <w:top w:val="none" w:sz="0" w:space="0" w:color="auto"/>
                        <w:left w:val="none" w:sz="0" w:space="0" w:color="auto"/>
                        <w:bottom w:val="none" w:sz="0" w:space="0" w:color="auto"/>
                        <w:right w:val="none" w:sz="0" w:space="0" w:color="auto"/>
                      </w:divBdr>
                      <w:divsChild>
                        <w:div w:id="836769023">
                          <w:marLeft w:val="0"/>
                          <w:marRight w:val="0"/>
                          <w:marTop w:val="0"/>
                          <w:marBottom w:val="0"/>
                          <w:divBdr>
                            <w:top w:val="none" w:sz="0" w:space="0" w:color="auto"/>
                            <w:left w:val="none" w:sz="0" w:space="0" w:color="auto"/>
                            <w:bottom w:val="none" w:sz="0" w:space="0" w:color="auto"/>
                            <w:right w:val="none" w:sz="0" w:space="0" w:color="auto"/>
                          </w:divBdr>
                          <w:divsChild>
                            <w:div w:id="1761758782">
                              <w:marLeft w:val="-240"/>
                              <w:marRight w:val="-120"/>
                              <w:marTop w:val="0"/>
                              <w:marBottom w:val="0"/>
                              <w:divBdr>
                                <w:top w:val="none" w:sz="0" w:space="0" w:color="auto"/>
                                <w:left w:val="none" w:sz="0" w:space="0" w:color="auto"/>
                                <w:bottom w:val="none" w:sz="0" w:space="0" w:color="auto"/>
                                <w:right w:val="none" w:sz="0" w:space="0" w:color="auto"/>
                              </w:divBdr>
                              <w:divsChild>
                                <w:div w:id="590554511">
                                  <w:marLeft w:val="0"/>
                                  <w:marRight w:val="0"/>
                                  <w:marTop w:val="0"/>
                                  <w:marBottom w:val="60"/>
                                  <w:divBdr>
                                    <w:top w:val="none" w:sz="0" w:space="0" w:color="auto"/>
                                    <w:left w:val="none" w:sz="0" w:space="0" w:color="auto"/>
                                    <w:bottom w:val="none" w:sz="0" w:space="0" w:color="auto"/>
                                    <w:right w:val="none" w:sz="0" w:space="0" w:color="auto"/>
                                  </w:divBdr>
                                  <w:divsChild>
                                    <w:div w:id="1885409175">
                                      <w:marLeft w:val="0"/>
                                      <w:marRight w:val="0"/>
                                      <w:marTop w:val="0"/>
                                      <w:marBottom w:val="0"/>
                                      <w:divBdr>
                                        <w:top w:val="none" w:sz="0" w:space="0" w:color="auto"/>
                                        <w:left w:val="none" w:sz="0" w:space="0" w:color="auto"/>
                                        <w:bottom w:val="none" w:sz="0" w:space="0" w:color="auto"/>
                                        <w:right w:val="none" w:sz="0" w:space="0" w:color="auto"/>
                                      </w:divBdr>
                                      <w:divsChild>
                                        <w:div w:id="1799684319">
                                          <w:marLeft w:val="0"/>
                                          <w:marRight w:val="0"/>
                                          <w:marTop w:val="0"/>
                                          <w:marBottom w:val="0"/>
                                          <w:divBdr>
                                            <w:top w:val="none" w:sz="0" w:space="0" w:color="auto"/>
                                            <w:left w:val="none" w:sz="0" w:space="0" w:color="auto"/>
                                            <w:bottom w:val="none" w:sz="0" w:space="0" w:color="auto"/>
                                            <w:right w:val="none" w:sz="0" w:space="0" w:color="auto"/>
                                          </w:divBdr>
                                          <w:divsChild>
                                            <w:div w:id="872352758">
                                              <w:marLeft w:val="0"/>
                                              <w:marRight w:val="0"/>
                                              <w:marTop w:val="0"/>
                                              <w:marBottom w:val="0"/>
                                              <w:divBdr>
                                                <w:top w:val="none" w:sz="0" w:space="0" w:color="auto"/>
                                                <w:left w:val="none" w:sz="0" w:space="0" w:color="auto"/>
                                                <w:bottom w:val="none" w:sz="0" w:space="0" w:color="auto"/>
                                                <w:right w:val="none" w:sz="0" w:space="0" w:color="auto"/>
                                              </w:divBdr>
                                              <w:divsChild>
                                                <w:div w:id="116162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3355331">
          <w:marLeft w:val="0"/>
          <w:marRight w:val="0"/>
          <w:marTop w:val="0"/>
          <w:marBottom w:val="0"/>
          <w:divBdr>
            <w:top w:val="none" w:sz="0" w:space="0" w:color="auto"/>
            <w:left w:val="none" w:sz="0" w:space="0" w:color="auto"/>
            <w:bottom w:val="none" w:sz="0" w:space="0" w:color="auto"/>
            <w:right w:val="none" w:sz="0" w:space="0" w:color="auto"/>
          </w:divBdr>
          <w:divsChild>
            <w:div w:id="1481773723">
              <w:marLeft w:val="0"/>
              <w:marRight w:val="0"/>
              <w:marTop w:val="0"/>
              <w:marBottom w:val="0"/>
              <w:divBdr>
                <w:top w:val="none" w:sz="0" w:space="0" w:color="auto"/>
                <w:left w:val="none" w:sz="0" w:space="0" w:color="auto"/>
                <w:bottom w:val="none" w:sz="0" w:space="0" w:color="auto"/>
                <w:right w:val="none" w:sz="0" w:space="0" w:color="auto"/>
              </w:divBdr>
              <w:divsChild>
                <w:div w:id="1676414889">
                  <w:marLeft w:val="0"/>
                  <w:marRight w:val="0"/>
                  <w:marTop w:val="0"/>
                  <w:marBottom w:val="0"/>
                  <w:divBdr>
                    <w:top w:val="none" w:sz="0" w:space="0" w:color="auto"/>
                    <w:left w:val="none" w:sz="0" w:space="0" w:color="auto"/>
                    <w:bottom w:val="none" w:sz="0" w:space="0" w:color="auto"/>
                    <w:right w:val="none" w:sz="0" w:space="0" w:color="auto"/>
                  </w:divBdr>
                  <w:divsChild>
                    <w:div w:id="1598514716">
                      <w:marLeft w:val="0"/>
                      <w:marRight w:val="0"/>
                      <w:marTop w:val="0"/>
                      <w:marBottom w:val="0"/>
                      <w:divBdr>
                        <w:top w:val="none" w:sz="0" w:space="0" w:color="auto"/>
                        <w:left w:val="none" w:sz="0" w:space="0" w:color="auto"/>
                        <w:bottom w:val="none" w:sz="0" w:space="0" w:color="auto"/>
                        <w:right w:val="none" w:sz="0" w:space="0" w:color="auto"/>
                      </w:divBdr>
                      <w:divsChild>
                        <w:div w:id="401608918">
                          <w:marLeft w:val="0"/>
                          <w:marRight w:val="0"/>
                          <w:marTop w:val="0"/>
                          <w:marBottom w:val="0"/>
                          <w:divBdr>
                            <w:top w:val="none" w:sz="0" w:space="0" w:color="auto"/>
                            <w:left w:val="none" w:sz="0" w:space="0" w:color="auto"/>
                            <w:bottom w:val="none" w:sz="0" w:space="0" w:color="auto"/>
                            <w:right w:val="none" w:sz="0" w:space="0" w:color="auto"/>
                          </w:divBdr>
                          <w:divsChild>
                            <w:div w:id="751197405">
                              <w:marLeft w:val="0"/>
                              <w:marRight w:val="120"/>
                              <w:marTop w:val="0"/>
                              <w:marBottom w:val="0"/>
                              <w:divBdr>
                                <w:top w:val="none" w:sz="0" w:space="0" w:color="auto"/>
                                <w:left w:val="none" w:sz="0" w:space="0" w:color="auto"/>
                                <w:bottom w:val="none" w:sz="0" w:space="0" w:color="auto"/>
                                <w:right w:val="none" w:sz="0" w:space="0" w:color="auto"/>
                              </w:divBdr>
                              <w:divsChild>
                                <w:div w:id="1622809510">
                                  <w:marLeft w:val="-300"/>
                                  <w:marRight w:val="0"/>
                                  <w:marTop w:val="0"/>
                                  <w:marBottom w:val="0"/>
                                  <w:divBdr>
                                    <w:top w:val="none" w:sz="0" w:space="0" w:color="auto"/>
                                    <w:left w:val="none" w:sz="0" w:space="0" w:color="auto"/>
                                    <w:bottom w:val="none" w:sz="0" w:space="0" w:color="auto"/>
                                    <w:right w:val="none" w:sz="0" w:space="0" w:color="auto"/>
                                  </w:divBdr>
                                </w:div>
                              </w:divsChild>
                            </w:div>
                            <w:div w:id="322006695">
                              <w:marLeft w:val="-240"/>
                              <w:marRight w:val="-120"/>
                              <w:marTop w:val="0"/>
                              <w:marBottom w:val="0"/>
                              <w:divBdr>
                                <w:top w:val="none" w:sz="0" w:space="0" w:color="auto"/>
                                <w:left w:val="none" w:sz="0" w:space="0" w:color="auto"/>
                                <w:bottom w:val="none" w:sz="0" w:space="0" w:color="auto"/>
                                <w:right w:val="none" w:sz="0" w:space="0" w:color="auto"/>
                              </w:divBdr>
                              <w:divsChild>
                                <w:div w:id="619603378">
                                  <w:marLeft w:val="0"/>
                                  <w:marRight w:val="0"/>
                                  <w:marTop w:val="0"/>
                                  <w:marBottom w:val="60"/>
                                  <w:divBdr>
                                    <w:top w:val="none" w:sz="0" w:space="0" w:color="auto"/>
                                    <w:left w:val="none" w:sz="0" w:space="0" w:color="auto"/>
                                    <w:bottom w:val="none" w:sz="0" w:space="0" w:color="auto"/>
                                    <w:right w:val="none" w:sz="0" w:space="0" w:color="auto"/>
                                  </w:divBdr>
                                  <w:divsChild>
                                    <w:div w:id="264927662">
                                      <w:marLeft w:val="0"/>
                                      <w:marRight w:val="0"/>
                                      <w:marTop w:val="0"/>
                                      <w:marBottom w:val="0"/>
                                      <w:divBdr>
                                        <w:top w:val="none" w:sz="0" w:space="0" w:color="auto"/>
                                        <w:left w:val="none" w:sz="0" w:space="0" w:color="auto"/>
                                        <w:bottom w:val="none" w:sz="0" w:space="0" w:color="auto"/>
                                        <w:right w:val="none" w:sz="0" w:space="0" w:color="auto"/>
                                      </w:divBdr>
                                      <w:divsChild>
                                        <w:div w:id="561868528">
                                          <w:marLeft w:val="0"/>
                                          <w:marRight w:val="0"/>
                                          <w:marTop w:val="0"/>
                                          <w:marBottom w:val="0"/>
                                          <w:divBdr>
                                            <w:top w:val="none" w:sz="0" w:space="0" w:color="auto"/>
                                            <w:left w:val="none" w:sz="0" w:space="0" w:color="auto"/>
                                            <w:bottom w:val="none" w:sz="0" w:space="0" w:color="auto"/>
                                            <w:right w:val="none" w:sz="0" w:space="0" w:color="auto"/>
                                          </w:divBdr>
                                          <w:divsChild>
                                            <w:div w:id="1335449106">
                                              <w:marLeft w:val="0"/>
                                              <w:marRight w:val="0"/>
                                              <w:marTop w:val="0"/>
                                              <w:marBottom w:val="0"/>
                                              <w:divBdr>
                                                <w:top w:val="none" w:sz="0" w:space="0" w:color="auto"/>
                                                <w:left w:val="none" w:sz="0" w:space="0" w:color="auto"/>
                                                <w:bottom w:val="none" w:sz="0" w:space="0" w:color="auto"/>
                                                <w:right w:val="none" w:sz="0" w:space="0" w:color="auto"/>
                                              </w:divBdr>
                                              <w:divsChild>
                                                <w:div w:id="5690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4883799">
          <w:marLeft w:val="0"/>
          <w:marRight w:val="0"/>
          <w:marTop w:val="0"/>
          <w:marBottom w:val="0"/>
          <w:divBdr>
            <w:top w:val="none" w:sz="0" w:space="0" w:color="auto"/>
            <w:left w:val="none" w:sz="0" w:space="0" w:color="auto"/>
            <w:bottom w:val="none" w:sz="0" w:space="0" w:color="auto"/>
            <w:right w:val="none" w:sz="0" w:space="0" w:color="auto"/>
          </w:divBdr>
          <w:divsChild>
            <w:div w:id="581140126">
              <w:marLeft w:val="0"/>
              <w:marRight w:val="0"/>
              <w:marTop w:val="0"/>
              <w:marBottom w:val="0"/>
              <w:divBdr>
                <w:top w:val="none" w:sz="0" w:space="0" w:color="auto"/>
                <w:left w:val="none" w:sz="0" w:space="0" w:color="auto"/>
                <w:bottom w:val="none" w:sz="0" w:space="0" w:color="auto"/>
                <w:right w:val="none" w:sz="0" w:space="0" w:color="auto"/>
              </w:divBdr>
              <w:divsChild>
                <w:div w:id="453642148">
                  <w:marLeft w:val="0"/>
                  <w:marRight w:val="0"/>
                  <w:marTop w:val="0"/>
                  <w:marBottom w:val="0"/>
                  <w:divBdr>
                    <w:top w:val="none" w:sz="0" w:space="0" w:color="auto"/>
                    <w:left w:val="none" w:sz="0" w:space="0" w:color="auto"/>
                    <w:bottom w:val="none" w:sz="0" w:space="0" w:color="auto"/>
                    <w:right w:val="none" w:sz="0" w:space="0" w:color="auto"/>
                  </w:divBdr>
                  <w:divsChild>
                    <w:div w:id="985015793">
                      <w:marLeft w:val="0"/>
                      <w:marRight w:val="0"/>
                      <w:marTop w:val="0"/>
                      <w:marBottom w:val="0"/>
                      <w:divBdr>
                        <w:top w:val="none" w:sz="0" w:space="0" w:color="auto"/>
                        <w:left w:val="none" w:sz="0" w:space="0" w:color="auto"/>
                        <w:bottom w:val="none" w:sz="0" w:space="0" w:color="auto"/>
                        <w:right w:val="none" w:sz="0" w:space="0" w:color="auto"/>
                      </w:divBdr>
                      <w:divsChild>
                        <w:div w:id="1157922079">
                          <w:marLeft w:val="0"/>
                          <w:marRight w:val="0"/>
                          <w:marTop w:val="0"/>
                          <w:marBottom w:val="0"/>
                          <w:divBdr>
                            <w:top w:val="none" w:sz="0" w:space="0" w:color="auto"/>
                            <w:left w:val="none" w:sz="0" w:space="0" w:color="auto"/>
                            <w:bottom w:val="none" w:sz="0" w:space="0" w:color="auto"/>
                            <w:right w:val="none" w:sz="0" w:space="0" w:color="auto"/>
                          </w:divBdr>
                          <w:divsChild>
                            <w:div w:id="961613988">
                              <w:marLeft w:val="0"/>
                              <w:marRight w:val="120"/>
                              <w:marTop w:val="0"/>
                              <w:marBottom w:val="0"/>
                              <w:divBdr>
                                <w:top w:val="none" w:sz="0" w:space="0" w:color="auto"/>
                                <w:left w:val="none" w:sz="0" w:space="0" w:color="auto"/>
                                <w:bottom w:val="none" w:sz="0" w:space="0" w:color="auto"/>
                                <w:right w:val="none" w:sz="0" w:space="0" w:color="auto"/>
                              </w:divBdr>
                              <w:divsChild>
                                <w:div w:id="1422220830">
                                  <w:marLeft w:val="-300"/>
                                  <w:marRight w:val="0"/>
                                  <w:marTop w:val="0"/>
                                  <w:marBottom w:val="0"/>
                                  <w:divBdr>
                                    <w:top w:val="none" w:sz="0" w:space="0" w:color="auto"/>
                                    <w:left w:val="none" w:sz="0" w:space="0" w:color="auto"/>
                                    <w:bottom w:val="none" w:sz="0" w:space="0" w:color="auto"/>
                                    <w:right w:val="none" w:sz="0" w:space="0" w:color="auto"/>
                                  </w:divBdr>
                                </w:div>
                              </w:divsChild>
                            </w:div>
                            <w:div w:id="1234895307">
                              <w:marLeft w:val="-240"/>
                              <w:marRight w:val="-120"/>
                              <w:marTop w:val="0"/>
                              <w:marBottom w:val="0"/>
                              <w:divBdr>
                                <w:top w:val="none" w:sz="0" w:space="0" w:color="auto"/>
                                <w:left w:val="none" w:sz="0" w:space="0" w:color="auto"/>
                                <w:bottom w:val="none" w:sz="0" w:space="0" w:color="auto"/>
                                <w:right w:val="none" w:sz="0" w:space="0" w:color="auto"/>
                              </w:divBdr>
                              <w:divsChild>
                                <w:div w:id="1342707172">
                                  <w:marLeft w:val="0"/>
                                  <w:marRight w:val="0"/>
                                  <w:marTop w:val="0"/>
                                  <w:marBottom w:val="60"/>
                                  <w:divBdr>
                                    <w:top w:val="none" w:sz="0" w:space="0" w:color="auto"/>
                                    <w:left w:val="none" w:sz="0" w:space="0" w:color="auto"/>
                                    <w:bottom w:val="none" w:sz="0" w:space="0" w:color="auto"/>
                                    <w:right w:val="none" w:sz="0" w:space="0" w:color="auto"/>
                                  </w:divBdr>
                                  <w:divsChild>
                                    <w:div w:id="1640453995">
                                      <w:marLeft w:val="0"/>
                                      <w:marRight w:val="0"/>
                                      <w:marTop w:val="0"/>
                                      <w:marBottom w:val="0"/>
                                      <w:divBdr>
                                        <w:top w:val="none" w:sz="0" w:space="0" w:color="auto"/>
                                        <w:left w:val="none" w:sz="0" w:space="0" w:color="auto"/>
                                        <w:bottom w:val="none" w:sz="0" w:space="0" w:color="auto"/>
                                        <w:right w:val="none" w:sz="0" w:space="0" w:color="auto"/>
                                      </w:divBdr>
                                      <w:divsChild>
                                        <w:div w:id="28729146">
                                          <w:marLeft w:val="0"/>
                                          <w:marRight w:val="0"/>
                                          <w:marTop w:val="0"/>
                                          <w:marBottom w:val="0"/>
                                          <w:divBdr>
                                            <w:top w:val="none" w:sz="0" w:space="0" w:color="auto"/>
                                            <w:left w:val="none" w:sz="0" w:space="0" w:color="auto"/>
                                            <w:bottom w:val="none" w:sz="0" w:space="0" w:color="auto"/>
                                            <w:right w:val="none" w:sz="0" w:space="0" w:color="auto"/>
                                          </w:divBdr>
                                          <w:divsChild>
                                            <w:div w:id="1061518381">
                                              <w:marLeft w:val="0"/>
                                              <w:marRight w:val="0"/>
                                              <w:marTop w:val="0"/>
                                              <w:marBottom w:val="0"/>
                                              <w:divBdr>
                                                <w:top w:val="none" w:sz="0" w:space="0" w:color="auto"/>
                                                <w:left w:val="none" w:sz="0" w:space="0" w:color="auto"/>
                                                <w:bottom w:val="none" w:sz="0" w:space="0" w:color="auto"/>
                                                <w:right w:val="none" w:sz="0" w:space="0" w:color="auto"/>
                                              </w:divBdr>
                                              <w:divsChild>
                                                <w:div w:id="158761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7666004">
          <w:marLeft w:val="0"/>
          <w:marRight w:val="0"/>
          <w:marTop w:val="0"/>
          <w:marBottom w:val="0"/>
          <w:divBdr>
            <w:top w:val="none" w:sz="0" w:space="0" w:color="auto"/>
            <w:left w:val="none" w:sz="0" w:space="0" w:color="auto"/>
            <w:bottom w:val="none" w:sz="0" w:space="0" w:color="auto"/>
            <w:right w:val="none" w:sz="0" w:space="0" w:color="auto"/>
          </w:divBdr>
          <w:divsChild>
            <w:div w:id="355280489">
              <w:marLeft w:val="0"/>
              <w:marRight w:val="0"/>
              <w:marTop w:val="0"/>
              <w:marBottom w:val="0"/>
              <w:divBdr>
                <w:top w:val="none" w:sz="0" w:space="0" w:color="auto"/>
                <w:left w:val="none" w:sz="0" w:space="0" w:color="auto"/>
                <w:bottom w:val="none" w:sz="0" w:space="0" w:color="auto"/>
                <w:right w:val="none" w:sz="0" w:space="0" w:color="auto"/>
              </w:divBdr>
              <w:divsChild>
                <w:div w:id="1201675203">
                  <w:marLeft w:val="0"/>
                  <w:marRight w:val="0"/>
                  <w:marTop w:val="0"/>
                  <w:marBottom w:val="0"/>
                  <w:divBdr>
                    <w:top w:val="none" w:sz="0" w:space="0" w:color="auto"/>
                    <w:left w:val="none" w:sz="0" w:space="0" w:color="auto"/>
                    <w:bottom w:val="none" w:sz="0" w:space="0" w:color="auto"/>
                    <w:right w:val="none" w:sz="0" w:space="0" w:color="auto"/>
                  </w:divBdr>
                  <w:divsChild>
                    <w:div w:id="272905895">
                      <w:marLeft w:val="0"/>
                      <w:marRight w:val="0"/>
                      <w:marTop w:val="0"/>
                      <w:marBottom w:val="0"/>
                      <w:divBdr>
                        <w:top w:val="none" w:sz="0" w:space="0" w:color="auto"/>
                        <w:left w:val="none" w:sz="0" w:space="0" w:color="auto"/>
                        <w:bottom w:val="none" w:sz="0" w:space="0" w:color="auto"/>
                        <w:right w:val="none" w:sz="0" w:space="0" w:color="auto"/>
                      </w:divBdr>
                      <w:divsChild>
                        <w:div w:id="898901162">
                          <w:marLeft w:val="0"/>
                          <w:marRight w:val="0"/>
                          <w:marTop w:val="0"/>
                          <w:marBottom w:val="0"/>
                          <w:divBdr>
                            <w:top w:val="none" w:sz="0" w:space="0" w:color="auto"/>
                            <w:left w:val="none" w:sz="0" w:space="0" w:color="auto"/>
                            <w:bottom w:val="none" w:sz="0" w:space="0" w:color="auto"/>
                            <w:right w:val="none" w:sz="0" w:space="0" w:color="auto"/>
                          </w:divBdr>
                          <w:divsChild>
                            <w:div w:id="1472207547">
                              <w:marLeft w:val="0"/>
                              <w:marRight w:val="120"/>
                              <w:marTop w:val="0"/>
                              <w:marBottom w:val="0"/>
                              <w:divBdr>
                                <w:top w:val="none" w:sz="0" w:space="0" w:color="auto"/>
                                <w:left w:val="none" w:sz="0" w:space="0" w:color="auto"/>
                                <w:bottom w:val="none" w:sz="0" w:space="0" w:color="auto"/>
                                <w:right w:val="none" w:sz="0" w:space="0" w:color="auto"/>
                              </w:divBdr>
                              <w:divsChild>
                                <w:div w:id="2039037618">
                                  <w:marLeft w:val="-300"/>
                                  <w:marRight w:val="0"/>
                                  <w:marTop w:val="0"/>
                                  <w:marBottom w:val="0"/>
                                  <w:divBdr>
                                    <w:top w:val="none" w:sz="0" w:space="0" w:color="auto"/>
                                    <w:left w:val="none" w:sz="0" w:space="0" w:color="auto"/>
                                    <w:bottom w:val="none" w:sz="0" w:space="0" w:color="auto"/>
                                    <w:right w:val="none" w:sz="0" w:space="0" w:color="auto"/>
                                  </w:divBdr>
                                </w:div>
                              </w:divsChild>
                            </w:div>
                            <w:div w:id="1277756918">
                              <w:marLeft w:val="-240"/>
                              <w:marRight w:val="-120"/>
                              <w:marTop w:val="0"/>
                              <w:marBottom w:val="0"/>
                              <w:divBdr>
                                <w:top w:val="none" w:sz="0" w:space="0" w:color="auto"/>
                                <w:left w:val="none" w:sz="0" w:space="0" w:color="auto"/>
                                <w:bottom w:val="none" w:sz="0" w:space="0" w:color="auto"/>
                                <w:right w:val="none" w:sz="0" w:space="0" w:color="auto"/>
                              </w:divBdr>
                              <w:divsChild>
                                <w:div w:id="763264594">
                                  <w:marLeft w:val="0"/>
                                  <w:marRight w:val="0"/>
                                  <w:marTop w:val="0"/>
                                  <w:marBottom w:val="60"/>
                                  <w:divBdr>
                                    <w:top w:val="none" w:sz="0" w:space="0" w:color="auto"/>
                                    <w:left w:val="none" w:sz="0" w:space="0" w:color="auto"/>
                                    <w:bottom w:val="none" w:sz="0" w:space="0" w:color="auto"/>
                                    <w:right w:val="none" w:sz="0" w:space="0" w:color="auto"/>
                                  </w:divBdr>
                                  <w:divsChild>
                                    <w:div w:id="602691725">
                                      <w:marLeft w:val="0"/>
                                      <w:marRight w:val="0"/>
                                      <w:marTop w:val="0"/>
                                      <w:marBottom w:val="0"/>
                                      <w:divBdr>
                                        <w:top w:val="none" w:sz="0" w:space="0" w:color="auto"/>
                                        <w:left w:val="none" w:sz="0" w:space="0" w:color="auto"/>
                                        <w:bottom w:val="none" w:sz="0" w:space="0" w:color="auto"/>
                                        <w:right w:val="none" w:sz="0" w:space="0" w:color="auto"/>
                                      </w:divBdr>
                                      <w:divsChild>
                                        <w:div w:id="85738879">
                                          <w:marLeft w:val="0"/>
                                          <w:marRight w:val="0"/>
                                          <w:marTop w:val="0"/>
                                          <w:marBottom w:val="0"/>
                                          <w:divBdr>
                                            <w:top w:val="none" w:sz="0" w:space="0" w:color="auto"/>
                                            <w:left w:val="none" w:sz="0" w:space="0" w:color="auto"/>
                                            <w:bottom w:val="none" w:sz="0" w:space="0" w:color="auto"/>
                                            <w:right w:val="none" w:sz="0" w:space="0" w:color="auto"/>
                                          </w:divBdr>
                                          <w:divsChild>
                                            <w:div w:id="679552857">
                                              <w:marLeft w:val="0"/>
                                              <w:marRight w:val="0"/>
                                              <w:marTop w:val="0"/>
                                              <w:marBottom w:val="0"/>
                                              <w:divBdr>
                                                <w:top w:val="none" w:sz="0" w:space="0" w:color="auto"/>
                                                <w:left w:val="none" w:sz="0" w:space="0" w:color="auto"/>
                                                <w:bottom w:val="none" w:sz="0" w:space="0" w:color="auto"/>
                                                <w:right w:val="none" w:sz="0" w:space="0" w:color="auto"/>
                                              </w:divBdr>
                                              <w:divsChild>
                                                <w:div w:id="207299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up.ac.za/bitstream/handle/2263/43163/Malebye_Right_2014.pdf?sequenc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exico.com/en/definition/recognize" TargetMode="External"/><Relationship Id="rId12" Type="http://schemas.openxmlformats.org/officeDocument/2006/relationships/hyperlink" Target="https://newmanforensics.slack.com/archives/C02E0A6TC2Z/p16362450360059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11" Type="http://schemas.openxmlformats.org/officeDocument/2006/relationships/hyperlink" Target="https://newmanforensics.slack.com/archives/C02E0A6TC2Z/p1636245016005600" TargetMode="External"/><Relationship Id="rId5" Type="http://schemas.openxmlformats.org/officeDocument/2006/relationships/webSettings" Target="webSettings.xml"/><Relationship Id="rId10" Type="http://schemas.openxmlformats.org/officeDocument/2006/relationships/hyperlink" Target="https://newmanforensics.slack.com/archives/C02E0A6TC2Z/p1636244824004900" TargetMode="External"/><Relationship Id="rId4" Type="http://schemas.openxmlformats.org/officeDocument/2006/relationships/settings" Target="settings.xml"/><Relationship Id="rId9" Type="http://schemas.openxmlformats.org/officeDocument/2006/relationships/hyperlink" Target="http://onlinelibrary.wiley.com/doi/10.1111/j.0032-3217.2003.00450.x/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12</Pages>
  <Words>7765</Words>
  <Characters>44265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3</cp:revision>
  <dcterms:created xsi:type="dcterms:W3CDTF">2021-11-07T00:11:00Z</dcterms:created>
  <dcterms:modified xsi:type="dcterms:W3CDTF">2021-11-07T00:38:00Z</dcterms:modified>
</cp:coreProperties>
</file>