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0B0F6A7D" w:rsidR="00AD31E9" w:rsidRDefault="00AD31E9" w:rsidP="00AD31E9">
      <w:pPr>
        <w:pStyle w:val="Heading3"/>
      </w:pPr>
      <w:bookmarkStart w:id="0" w:name="_Hlk90717059"/>
      <w:r>
        <w:t>Advantage 1: Space Col</w:t>
      </w:r>
    </w:p>
    <w:p w14:paraId="1EC11802" w14:textId="7C8BBA49" w:rsidR="00543B4A" w:rsidRDefault="003D0B77" w:rsidP="00543B4A">
      <w:pPr>
        <w:pStyle w:val="Heading4"/>
      </w:pPr>
      <w:r>
        <w:t xml:space="preserve">Expansion of PTD </w:t>
      </w:r>
      <w:r w:rsidR="00543B4A">
        <w:t>key to global space sustainability</w:t>
      </w:r>
    </w:p>
    <w:p w14:paraId="70C2CD2E" w14:textId="77777777"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F21536">
        <w:rPr>
          <w:sz w:val="16"/>
          <w:szCs w:val="16"/>
        </w:rPr>
        <w:t>commons</w:t>
      </w:r>
      <w:proofErr w:type="gramEnd"/>
      <w:r w:rsidRPr="00F21536">
        <w:rPr>
          <w:sz w:val="16"/>
          <w:szCs w:val="16"/>
        </w:rPr>
        <w:t>,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t>
      </w:r>
      <w:proofErr w:type="gramStart"/>
      <w:r w:rsidRPr="00AE3AAA">
        <w:rPr>
          <w:sz w:val="16"/>
        </w:rPr>
        <w:t>with regard to</w:t>
      </w:r>
      <w:proofErr w:type="gramEnd"/>
      <w:r w:rsidRPr="00AE3AAA">
        <w:rPr>
          <w:sz w:val="16"/>
        </w:rPr>
        <w:t xml:space="preserve">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lastRenderedPageBreak/>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F21536">
        <w:rPr>
          <w:sz w:val="16"/>
          <w:szCs w:val="16"/>
        </w:rPr>
        <w:t>exclude</w:t>
      </w:r>
      <w:proofErr w:type="gramEnd"/>
      <w:r w:rsidRPr="00F21536">
        <w:rPr>
          <w:sz w:val="16"/>
          <w:szCs w:val="16"/>
        </w:rPr>
        <w:t xml:space="preserv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proofErr w:type="gramStart"/>
      <w:r w:rsidRPr="00AE3AAA">
        <w:rPr>
          <w:rStyle w:val="Emphasis"/>
        </w:rPr>
        <w:t>monopolization</w:t>
      </w:r>
      <w:proofErr w:type="gramEnd"/>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4968E52F" w14:textId="77777777" w:rsidR="00543B4A"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25569F33" w14:textId="77777777" w:rsidR="00543B4A" w:rsidRPr="00B55AD5" w:rsidRDefault="00543B4A" w:rsidP="00543B4A"/>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lastRenderedPageBreak/>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074A5A77" w14:textId="59E5CC82" w:rsidR="003D0B77" w:rsidRDefault="003D0B77" w:rsidP="003D0B77">
      <w:pPr>
        <w:pStyle w:val="Heading3"/>
      </w:pPr>
      <w:r>
        <w:lastRenderedPageBreak/>
        <w:t>Plan</w:t>
      </w:r>
    </w:p>
    <w:p w14:paraId="511E0BC3" w14:textId="57B9F227" w:rsidR="000E5F12" w:rsidRPr="000E5F12" w:rsidRDefault="000E5F12" w:rsidP="000E5F12">
      <w:pPr>
        <w:pStyle w:val="Heading4"/>
        <w:rPr>
          <w:rFonts w:eastAsia="Times New Roman"/>
        </w:rPr>
      </w:pPr>
      <w:r w:rsidRPr="000E5F12">
        <w:rPr>
          <w:rFonts w:eastAsia="Times New Roman"/>
        </w:rPr>
        <w:t>States ought to establish an international public trust obligation towards protection of outer space as a refusal of the appropriation of outer space by private entities.</w:t>
      </w:r>
    </w:p>
    <w:p w14:paraId="3A15D756" w14:textId="5BAA5589" w:rsidR="006A5BC5" w:rsidRPr="00BF5374" w:rsidRDefault="006A5BC5" w:rsidP="006A5BC5">
      <w:pPr>
        <w:pStyle w:val="NormalWeb"/>
        <w:spacing w:before="15" w:beforeAutospacing="0" w:after="180" w:afterAutospacing="0"/>
        <w:rPr>
          <w:sz w:val="22"/>
          <w:szCs w:val="22"/>
        </w:rPr>
      </w:pPr>
      <w:r>
        <w:rPr>
          <w:rFonts w:ascii="Calibri" w:hAnsi="Calibri"/>
          <w:b/>
          <w:bCs/>
          <w:sz w:val="26"/>
          <w:szCs w:val="26"/>
        </w:rPr>
        <w:t>Rauenzahn et al., 20</w:t>
      </w:r>
      <w:r>
        <w:rPr>
          <w:rFonts w:ascii="Calibri" w:hAnsi="Calibri"/>
          <w:szCs w:val="22"/>
        </w:rPr>
        <w:t> </w:t>
      </w:r>
      <w:r w:rsidRPr="00BF5374">
        <w:rPr>
          <w:rFonts w:ascii="Calibri" w:hAnsi="Calibri"/>
          <w:sz w:val="22"/>
          <w:szCs w:val="22"/>
        </w:rPr>
        <w:t>(Brianna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446F0184" w14:textId="66A68E56" w:rsidR="006A5BC5" w:rsidRPr="006A5BC5" w:rsidRDefault="006A5BC5" w:rsidP="006A5BC5">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A937B8">
        <w:rPr>
          <w:u w:val="single"/>
        </w:rPr>
        <w:t xml:space="preserve">But these for-profit goals raise serious concerns about who can claim ownership of space resources and what law will govern private activity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w:t>
      </w:r>
      <w:proofErr w:type="gramStart"/>
      <w:r w:rsidRPr="00A937B8">
        <w:rPr>
          <w:sz w:val="16"/>
        </w:rPr>
        <w:t>on the basis of</w:t>
      </w:r>
      <w:proofErr w:type="gramEnd"/>
      <w:r w:rsidRPr="00A937B8">
        <w:rPr>
          <w:sz w:val="16"/>
        </w:rPr>
        <w:t xml:space="preserve">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623CAE4E" w14:textId="301D3F65" w:rsidR="003D0B77" w:rsidRDefault="00AD31E9" w:rsidP="003D0B77">
      <w:pPr>
        <w:pStyle w:val="Heading3"/>
      </w:pPr>
      <w:r>
        <w:lastRenderedPageBreak/>
        <w:t>Advantage 2</w:t>
      </w:r>
      <w:r w:rsidR="00664EA1">
        <w:t>: Debris</w:t>
      </w:r>
    </w:p>
    <w:p w14:paraId="7A360132" w14:textId="77777777" w:rsidR="00664EA1" w:rsidRDefault="00664EA1" w:rsidP="00664EA1">
      <w:pPr>
        <w:pStyle w:val="Heading4"/>
      </w:pPr>
      <w:r>
        <w:t>Current international guidelines can’t sufficiently mitigate debris – past studies fail to assume the exponential rise in launches which makes more remediation necessary</w:t>
      </w:r>
    </w:p>
    <w:p w14:paraId="04D8E410" w14:textId="77777777" w:rsidR="00664EA1" w:rsidRDefault="00664EA1" w:rsidP="00664EA1">
      <w:r w:rsidRPr="00537751">
        <w:t xml:space="preserve">Brian G. </w:t>
      </w:r>
      <w:r w:rsidRPr="00537751">
        <w:rPr>
          <w:rStyle w:val="Style13ptBold"/>
        </w:rPr>
        <w:t>Chow 18</w:t>
      </w:r>
      <w:r>
        <w:t xml:space="preserve">, </w:t>
      </w:r>
      <w:r w:rsidRPr="00537751">
        <w:t>an independent policy analyst with over 25 years as a senior physical scientist specializing in space and national security. He holds a PhD in physics from Case Western Reserve University and an MBA with distinction and PhD in finance from the University of Michigan</w:t>
      </w:r>
      <w:r>
        <w:t>, “</w:t>
      </w:r>
      <w:r w:rsidRPr="00537751">
        <w:t>Space Arms Control: A Hybrid Approach</w:t>
      </w:r>
      <w:r>
        <w:t xml:space="preserve">,” </w:t>
      </w:r>
      <w:hyperlink r:id="rId6" w:history="1">
        <w:r w:rsidRPr="008F7238">
          <w:rPr>
            <w:rStyle w:val="Hyperlink"/>
          </w:rPr>
          <w:t>https://www.jstor.org/stable/pdf/26430818.pdf?refreqid=excelsior%3A5c3c9eb9129d569ffff0fca50581bec9</w:t>
        </w:r>
      </w:hyperlink>
    </w:p>
    <w:p w14:paraId="0FB1E7E6" w14:textId="77777777" w:rsidR="00664EA1" w:rsidRPr="00FC4C41" w:rsidRDefault="00664EA1" w:rsidP="00664EA1">
      <w:pPr>
        <w:pStyle w:val="ListParagraph"/>
        <w:numPr>
          <w:ilvl w:val="0"/>
          <w:numId w:val="11"/>
        </w:numPr>
        <w:rPr>
          <w:sz w:val="16"/>
          <w:szCs w:val="16"/>
        </w:rPr>
      </w:pPr>
      <w:r w:rsidRPr="00FC4C41">
        <w:rPr>
          <w:sz w:val="16"/>
          <w:szCs w:val="16"/>
        </w:rPr>
        <w:t>ADR key, more than suspected, makes aff + cp solvency threshold higher – indicts past studies claiming lower threshold</w:t>
      </w:r>
    </w:p>
    <w:p w14:paraId="371A0ADE" w14:textId="77777777" w:rsidR="00664EA1" w:rsidRPr="00FC4C41" w:rsidRDefault="00664EA1" w:rsidP="00664EA1">
      <w:pPr>
        <w:pStyle w:val="ListParagraph"/>
        <w:numPr>
          <w:ilvl w:val="0"/>
          <w:numId w:val="11"/>
        </w:numPr>
        <w:rPr>
          <w:sz w:val="16"/>
          <w:szCs w:val="16"/>
        </w:rPr>
      </w:pPr>
      <w:r w:rsidRPr="00FC4C41">
        <w:rPr>
          <w:sz w:val="16"/>
          <w:szCs w:val="16"/>
        </w:rPr>
        <w:t xml:space="preserve">ADR must be monitored to change the number removed </w:t>
      </w:r>
      <w:proofErr w:type="gramStart"/>
      <w:r w:rsidRPr="00FC4C41">
        <w:rPr>
          <w:sz w:val="16"/>
          <w:szCs w:val="16"/>
        </w:rPr>
        <w:t>annually ,</w:t>
      </w:r>
      <w:proofErr w:type="gramEnd"/>
      <w:r w:rsidRPr="00FC4C41">
        <w:rPr>
          <w:sz w:val="16"/>
          <w:szCs w:val="16"/>
        </w:rPr>
        <w:t xml:space="preserve"> proves monitoring is key</w:t>
      </w:r>
    </w:p>
    <w:p w14:paraId="7D1FB5D8" w14:textId="77777777" w:rsidR="00664EA1" w:rsidRPr="00FC4C41" w:rsidRDefault="00664EA1" w:rsidP="00664EA1">
      <w:pPr>
        <w:pStyle w:val="ListParagraph"/>
        <w:numPr>
          <w:ilvl w:val="0"/>
          <w:numId w:val="11"/>
        </w:numPr>
        <w:rPr>
          <w:sz w:val="16"/>
          <w:szCs w:val="16"/>
        </w:rPr>
      </w:pPr>
      <w:r w:rsidRPr="00FC4C41">
        <w:rPr>
          <w:sz w:val="16"/>
          <w:szCs w:val="16"/>
        </w:rPr>
        <w:t>ADR inev. by 2020 – delay deficit + locks-in weaponization</w:t>
      </w:r>
    </w:p>
    <w:p w14:paraId="6D15D916" w14:textId="68133B8B" w:rsidR="00664EA1" w:rsidRPr="00664EA1" w:rsidRDefault="00664EA1" w:rsidP="00664EA1">
      <w:pPr>
        <w:rPr>
          <w:sz w:val="16"/>
        </w:rPr>
      </w:pPr>
      <w:r w:rsidRPr="000D0947">
        <w:rPr>
          <w:sz w:val="16"/>
        </w:rPr>
        <w:t xml:space="preserve">Since 2007, the United Nations Committee on the Peaceful Uses of Outer Space has adopted a set of space debris mitigation guidelines.5 </w:t>
      </w:r>
      <w:r w:rsidRPr="000D0947">
        <w:rPr>
          <w:rStyle w:val="StyleUnderline"/>
        </w:rPr>
        <w:t xml:space="preserve">These </w:t>
      </w:r>
      <w:r w:rsidRPr="009B68E9">
        <w:rPr>
          <w:rStyle w:val="StyleUnderline"/>
          <w:highlight w:val="green"/>
        </w:rPr>
        <w:t>guidelines are</w:t>
      </w:r>
      <w:r w:rsidRPr="000D0947">
        <w:rPr>
          <w:rStyle w:val="StyleUnderline"/>
        </w:rPr>
        <w:t xml:space="preserve"> important and necessary but </w:t>
      </w:r>
      <w:r w:rsidRPr="009B68E9">
        <w:rPr>
          <w:rStyle w:val="Emphasis"/>
          <w:highlight w:val="green"/>
        </w:rPr>
        <w:t>not sufficient</w:t>
      </w:r>
      <w:r w:rsidRPr="000D0947">
        <w:rPr>
          <w:rStyle w:val="StyleUnderline"/>
        </w:rPr>
        <w:t xml:space="preserve"> </w:t>
      </w:r>
      <w:r w:rsidRPr="009B68E9">
        <w:rPr>
          <w:rStyle w:val="StyleUnderline"/>
          <w:highlight w:val="green"/>
        </w:rPr>
        <w:t>to deal with</w:t>
      </w:r>
      <w:r w:rsidRPr="000D0947">
        <w:rPr>
          <w:rStyle w:val="StyleUnderline"/>
        </w:rPr>
        <w:t xml:space="preserve"> the growing space </w:t>
      </w:r>
      <w:r w:rsidRPr="009B68E9">
        <w:rPr>
          <w:rStyle w:val="StyleUnderline"/>
          <w:highlight w:val="green"/>
        </w:rPr>
        <w:t>debris</w:t>
      </w:r>
      <w:r w:rsidRPr="000D0947">
        <w:rPr>
          <w:rStyle w:val="StyleUnderline"/>
        </w:rPr>
        <w:t xml:space="preserve"> problem</w:t>
      </w:r>
      <w:r w:rsidRPr="000D0947">
        <w:rPr>
          <w:sz w:val="16"/>
        </w:rPr>
        <w:t xml:space="preserve">. Following the well-accepted Kessler Syndrome theory,6 NASA scientist J.-C. Liou found that, if active debris removal starts in 2020 with an annual removal rate of 5 massive in- tact objects (such as decommissioned satellites and derelict rocket bodies), debris population in the low Earth orbits (LEO) would stabilize over the next 200 years.7 </w:t>
      </w:r>
      <w:r w:rsidRPr="000D0947">
        <w:rPr>
          <w:rStyle w:val="StyleUnderline"/>
        </w:rPr>
        <w:t xml:space="preserve">Space scientist Nicholas Johnson concluded that “in the long term, the </w:t>
      </w:r>
      <w:r w:rsidRPr="009B68E9">
        <w:rPr>
          <w:rStyle w:val="StyleUnderline"/>
          <w:highlight w:val="green"/>
        </w:rPr>
        <w:t>removal of</w:t>
      </w:r>
      <w:r w:rsidRPr="000D0947">
        <w:rPr>
          <w:rStyle w:val="StyleUnderline"/>
        </w:rPr>
        <w:t xml:space="preserve"> large orbital </w:t>
      </w:r>
      <w:r w:rsidRPr="009B68E9">
        <w:rPr>
          <w:rStyle w:val="StyleUnderline"/>
          <w:highlight w:val="green"/>
        </w:rPr>
        <w:t>debris will be</w:t>
      </w:r>
      <w:r w:rsidRPr="000D0947">
        <w:rPr>
          <w:rStyle w:val="StyleUnderline"/>
        </w:rPr>
        <w:t xml:space="preserve"> </w:t>
      </w:r>
      <w:r w:rsidRPr="009B68E9">
        <w:rPr>
          <w:rStyle w:val="Emphasis"/>
          <w:highlight w:val="green"/>
        </w:rPr>
        <w:t>essential</w:t>
      </w:r>
      <w:r w:rsidRPr="000D0947">
        <w:rPr>
          <w:rStyle w:val="StyleUnderline"/>
        </w:rPr>
        <w:t xml:space="preserve"> </w:t>
      </w:r>
      <w:r w:rsidRPr="009B68E9">
        <w:rPr>
          <w:rStyle w:val="StyleUnderline"/>
          <w:highlight w:val="green"/>
        </w:rPr>
        <w:t>to the sustainability of space operations</w:t>
      </w:r>
      <w:r w:rsidRPr="000D0947">
        <w:rPr>
          <w:rStyle w:val="StyleUnderline"/>
        </w:rPr>
        <w:t>.”</w:t>
      </w:r>
      <w:r w:rsidRPr="000D0947">
        <w:rPr>
          <w:sz w:val="16"/>
        </w:rPr>
        <w:t xml:space="preserve">8 Studies at the European Space Agency arrived at a rate “on the order of 5-10 objects” per year.9 A report based on the Third International Interdisciplinary Space Debris Congress arrived at a rate of 9.1 objects per year.10 Thus, all these major studies are consistent that roughly a high single-digit number of massive intact objects per year needs to be removed. </w:t>
      </w:r>
      <w:r w:rsidRPr="000D0947">
        <w:rPr>
          <w:rStyle w:val="StyleUnderline"/>
        </w:rPr>
        <w:t xml:space="preserve">However, these </w:t>
      </w:r>
      <w:r w:rsidRPr="009B68E9">
        <w:rPr>
          <w:rStyle w:val="StyleUnderline"/>
          <w:highlight w:val="green"/>
        </w:rPr>
        <w:t>studies did not consider</w:t>
      </w:r>
      <w:r w:rsidRPr="000D0947">
        <w:rPr>
          <w:rStyle w:val="StyleUnderline"/>
        </w:rPr>
        <w:t xml:space="preserve"> the </w:t>
      </w:r>
      <w:r w:rsidRPr="000D0947">
        <w:rPr>
          <w:rStyle w:val="Emphasis"/>
        </w:rPr>
        <w:t>recent dramatic</w:t>
      </w:r>
      <w:r w:rsidRPr="000D0947">
        <w:rPr>
          <w:rStyle w:val="StyleUnderline"/>
        </w:rPr>
        <w:t xml:space="preserve"> </w:t>
      </w:r>
      <w:r w:rsidRPr="009B68E9">
        <w:rPr>
          <w:rStyle w:val="StyleUnderline"/>
          <w:highlight w:val="green"/>
        </w:rPr>
        <w:t>growth</w:t>
      </w:r>
      <w:r w:rsidRPr="000D0947">
        <w:rPr>
          <w:rStyle w:val="StyleUnderline"/>
        </w:rPr>
        <w:t xml:space="preserve"> </w:t>
      </w:r>
      <w:r w:rsidRPr="009B68E9">
        <w:rPr>
          <w:rStyle w:val="StyleUnderline"/>
          <w:highlight w:val="green"/>
        </w:rPr>
        <w:t>of</w:t>
      </w:r>
      <w:r w:rsidRPr="000D0947">
        <w:rPr>
          <w:rStyle w:val="StyleUnderline"/>
        </w:rPr>
        <w:t xml:space="preserve"> 14,000 to 16,000 small </w:t>
      </w:r>
      <w:r w:rsidRPr="009B68E9">
        <w:rPr>
          <w:rStyle w:val="StyleUnderline"/>
          <w:highlight w:val="green"/>
        </w:rPr>
        <w:t>satellites to be launched</w:t>
      </w:r>
      <w:r w:rsidRPr="000D0947">
        <w:rPr>
          <w:rStyle w:val="StyleUnderline"/>
        </w:rPr>
        <w:t xml:space="preserve"> into LEOs over the next 10 years—in contrast to merely 1,071 LEO satellites of any size worldwide as of 31 August 2017</w:t>
      </w:r>
      <w:r w:rsidRPr="000D0947">
        <w:rPr>
          <w:sz w:val="16"/>
        </w:rPr>
        <w:t xml:space="preserve">.11 Extrapolating from the estimate by scientist H. G. Lewis and his team that about one additional intact ob- ject needs to be removed per year for the additional 1,080 small LEO satellites they analyzed, I estimate that about 14 additional removals are required for the additional 14,000 to 16,000 small satellites.12 </w:t>
      </w:r>
      <w:r w:rsidRPr="000D0947">
        <w:rPr>
          <w:rStyle w:val="StyleUnderline"/>
        </w:rPr>
        <w:t xml:space="preserve">Adding this to the earlier single-digit removal produces </w:t>
      </w:r>
      <w:r w:rsidRPr="009B68E9">
        <w:rPr>
          <w:rStyle w:val="StyleUnderline"/>
          <w:highlight w:val="green"/>
        </w:rPr>
        <w:t>the need to remove</w:t>
      </w:r>
      <w:r w:rsidRPr="000D0947">
        <w:rPr>
          <w:rStyle w:val="StyleUnderline"/>
        </w:rPr>
        <w:t xml:space="preserve"> about </w:t>
      </w:r>
      <w:r w:rsidRPr="009B68E9">
        <w:rPr>
          <w:rStyle w:val="Emphasis"/>
          <w:highlight w:val="green"/>
        </w:rPr>
        <w:t>two dozen massive intact objects</w:t>
      </w:r>
      <w:r w:rsidRPr="000D0947">
        <w:rPr>
          <w:rStyle w:val="StyleUnderline"/>
        </w:rPr>
        <w:t xml:space="preserve"> </w:t>
      </w:r>
      <w:r w:rsidRPr="009B68E9">
        <w:rPr>
          <w:rStyle w:val="StyleUnderline"/>
          <w:highlight w:val="green"/>
        </w:rPr>
        <w:t>every year to keep</w:t>
      </w:r>
      <w:r w:rsidRPr="000D0947">
        <w:rPr>
          <w:rStyle w:val="StyleUnderline"/>
        </w:rPr>
        <w:t xml:space="preserve"> space </w:t>
      </w:r>
      <w:r w:rsidRPr="009B68E9">
        <w:rPr>
          <w:rStyle w:val="StyleUnderline"/>
          <w:highlight w:val="green"/>
        </w:rPr>
        <w:t>debris</w:t>
      </w:r>
      <w:r w:rsidRPr="000D0947">
        <w:rPr>
          <w:rStyle w:val="StyleUnderline"/>
        </w:rPr>
        <w:t xml:space="preserve"> </w:t>
      </w:r>
      <w:r w:rsidRPr="009B68E9">
        <w:rPr>
          <w:rStyle w:val="StyleUnderline"/>
          <w:highlight w:val="green"/>
        </w:rPr>
        <w:t>from increasing</w:t>
      </w:r>
      <w:r w:rsidRPr="000D0947">
        <w:rPr>
          <w:rStyle w:val="StyleUnderline"/>
        </w:rPr>
        <w:t xml:space="preserve"> and to ensure the debris environment remains suitable for peaceful uses</w:t>
      </w:r>
      <w:r w:rsidRPr="000D0947">
        <w:rPr>
          <w:sz w:val="16"/>
        </w:rPr>
        <w:t xml:space="preserve">. </w:t>
      </w:r>
      <w:r w:rsidRPr="000D0947">
        <w:rPr>
          <w:rStyle w:val="StyleUnderline"/>
        </w:rPr>
        <w:t xml:space="preserve">However, </w:t>
      </w:r>
      <w:r w:rsidRPr="009B68E9">
        <w:rPr>
          <w:rStyle w:val="StyleUnderline"/>
          <w:highlight w:val="green"/>
        </w:rPr>
        <w:t>uncertainties in prediction</w:t>
      </w:r>
      <w:r w:rsidRPr="000D0947">
        <w:rPr>
          <w:rStyle w:val="StyleUnderline"/>
        </w:rPr>
        <w:t xml:space="preserve"> and provision of a safety margin </w:t>
      </w:r>
      <w:r w:rsidRPr="009B68E9">
        <w:rPr>
          <w:rStyle w:val="StyleUnderline"/>
          <w:highlight w:val="green"/>
        </w:rPr>
        <w:t xml:space="preserve">could </w:t>
      </w:r>
      <w:r w:rsidRPr="009B68E9">
        <w:rPr>
          <w:rStyle w:val="Emphasis"/>
          <w:highlight w:val="green"/>
        </w:rPr>
        <w:t>increase</w:t>
      </w:r>
      <w:r w:rsidRPr="000D0947">
        <w:rPr>
          <w:rStyle w:val="StyleUnderline"/>
        </w:rPr>
        <w:t xml:space="preserve"> debris </w:t>
      </w:r>
      <w:r w:rsidRPr="009B68E9">
        <w:rPr>
          <w:rStyle w:val="Emphasis"/>
          <w:highlight w:val="green"/>
        </w:rPr>
        <w:t>removal demand</w:t>
      </w:r>
      <w:r w:rsidRPr="000D0947">
        <w:rPr>
          <w:rStyle w:val="StyleUnderline"/>
        </w:rPr>
        <w:t xml:space="preserve">, </w:t>
      </w:r>
      <w:r w:rsidRPr="009B68E9">
        <w:rPr>
          <w:rStyle w:val="StyleUnderline"/>
          <w:highlight w:val="green"/>
        </w:rPr>
        <w:t>which</w:t>
      </w:r>
      <w:r w:rsidRPr="000D0947">
        <w:rPr>
          <w:rStyle w:val="StyleUnderline"/>
        </w:rPr>
        <w:t xml:space="preserve"> in any case </w:t>
      </w:r>
      <w:r w:rsidRPr="009B68E9">
        <w:rPr>
          <w:rStyle w:val="StyleUnderline"/>
          <w:highlight w:val="green"/>
        </w:rPr>
        <w:t xml:space="preserve">should be </w:t>
      </w:r>
      <w:r w:rsidRPr="009B68E9">
        <w:rPr>
          <w:rStyle w:val="Emphasis"/>
          <w:highlight w:val="green"/>
        </w:rPr>
        <w:t>monitored</w:t>
      </w:r>
      <w:r w:rsidRPr="000D0947">
        <w:rPr>
          <w:rStyle w:val="StyleUnderline"/>
        </w:rPr>
        <w:t xml:space="preserve"> </w:t>
      </w:r>
      <w:r w:rsidRPr="009B68E9">
        <w:rPr>
          <w:rStyle w:val="StyleUnderline"/>
          <w:highlight w:val="green"/>
        </w:rPr>
        <w:t>and</w:t>
      </w:r>
      <w:r w:rsidRPr="000D0947">
        <w:rPr>
          <w:rStyle w:val="StyleUnderline"/>
        </w:rPr>
        <w:t xml:space="preserve"> </w:t>
      </w:r>
      <w:r w:rsidRPr="009B68E9">
        <w:rPr>
          <w:rStyle w:val="Emphasis"/>
          <w:highlight w:val="green"/>
        </w:rPr>
        <w:t>updated</w:t>
      </w:r>
      <w:r w:rsidRPr="000D0947">
        <w:rPr>
          <w:rStyle w:val="StyleUnderline"/>
        </w:rPr>
        <w:t xml:space="preserve"> regularly</w:t>
      </w:r>
      <w:r w:rsidRPr="000D0947">
        <w:rPr>
          <w:sz w:val="16"/>
        </w:rPr>
        <w:t xml:space="preserve">. In June 2016, Xinhua, the official press agency of China, reported that onboard the inaugural launch of a new generation carrier rocket Long March-7 was an “Aolong-1” spacecraft, which was a demonstrator of space debris cleaning.13 It re-entered the atmosphere on 27 August 2016 after completing a short-duration demonstration mission.14 Spaceflight 101.com reported “according to Chinese space officials, Aolong-1 is only the first in a series of satellites tasked with the collection of space debris as the country develops the technology needed to retrieve small debris up to [the size of an] entire spacecraft to be safely brought to a destructive re-entry.”15 The European Union also has a program to demonstrate the removal of space debris and aims to remove the defunct 8-ton remote-sensing satellite Envisat from LEO around 2023.16 </w:t>
      </w:r>
      <w:r w:rsidRPr="000D0947">
        <w:rPr>
          <w:rStyle w:val="StyleUnderline"/>
        </w:rPr>
        <w:t xml:space="preserve">In essence these developments and others by major spacefaring nations mean that the </w:t>
      </w:r>
      <w:r w:rsidRPr="009B68E9">
        <w:rPr>
          <w:rStyle w:val="StyleUnderline"/>
          <w:highlight w:val="green"/>
        </w:rPr>
        <w:t xml:space="preserve">space will be weaponized by </w:t>
      </w:r>
      <w:r w:rsidRPr="009B68E9">
        <w:rPr>
          <w:rStyle w:val="Emphasis"/>
          <w:highlight w:val="green"/>
        </w:rPr>
        <w:t>early 2020</w:t>
      </w:r>
      <w:r w:rsidRPr="000D0947">
        <w:rPr>
          <w:rStyle w:val="StyleUnderline"/>
        </w:rPr>
        <w:t xml:space="preserve">, </w:t>
      </w:r>
      <w:r w:rsidRPr="009B68E9">
        <w:rPr>
          <w:rStyle w:val="StyleUnderline"/>
          <w:highlight w:val="green"/>
        </w:rPr>
        <w:t>even if</w:t>
      </w:r>
      <w:r w:rsidRPr="000D0947">
        <w:rPr>
          <w:rStyle w:val="StyleUnderline"/>
        </w:rPr>
        <w:t xml:space="preserve"> </w:t>
      </w:r>
      <w:r w:rsidRPr="009B68E9">
        <w:rPr>
          <w:rStyle w:val="StyleUnderline"/>
          <w:highlight w:val="green"/>
        </w:rPr>
        <w:t>we do not count</w:t>
      </w:r>
      <w:r w:rsidRPr="000D0947">
        <w:rPr>
          <w:rStyle w:val="StyleUnderline"/>
        </w:rPr>
        <w:t xml:space="preserve"> </w:t>
      </w:r>
      <w:r w:rsidRPr="009B68E9">
        <w:rPr>
          <w:rStyle w:val="StyleUnderline"/>
          <w:highlight w:val="green"/>
        </w:rPr>
        <w:t>demonstrators as weapons</w:t>
      </w:r>
      <w:r w:rsidRPr="000D0947">
        <w:rPr>
          <w:sz w:val="16"/>
        </w:rPr>
        <w:t>.</w:t>
      </w:r>
    </w:p>
    <w:p w14:paraId="724EE35D" w14:textId="6813FF79" w:rsidR="00AD31E9" w:rsidRPr="00A01378" w:rsidRDefault="00A01378" w:rsidP="00A01378">
      <w:pPr>
        <w:pStyle w:val="Heading4"/>
        <w:rPr>
          <w:rStyle w:val="Style13ptBold"/>
          <w:b/>
          <w:bCs w:val="0"/>
        </w:rPr>
      </w:pPr>
      <w:r w:rsidRPr="00A01378">
        <w:rPr>
          <w:rStyle w:val="Style13ptBold"/>
          <w:b/>
          <w:bCs w:val="0"/>
        </w:rPr>
        <w:t>Expanding the PTD over outerspace creates the regulatory framework necessary to regulate space debris</w:t>
      </w:r>
    </w:p>
    <w:p w14:paraId="1F505C4B" w14:textId="697505A4" w:rsidR="00AD31E9" w:rsidRPr="00AD31E9" w:rsidRDefault="00AD31E9" w:rsidP="00AD31E9">
      <w:r w:rsidRPr="00AD31E9">
        <w:rPr>
          <w:rStyle w:val="Style13ptBold"/>
        </w:rPr>
        <w:t>Ekweozoh 13</w:t>
      </w:r>
      <w:r>
        <w:t xml:space="preserve"> [Irene C. Ekweozoh Legal Adviser and Company Secretary, Nigerian Communications Satellite Limited. August 2013 Rethinking State Responsibility in International Space “Environmental” Law: A Case for Collective </w:t>
      </w:r>
      <w:hyperlink r:id="rId7" w:history="1">
        <w:r w:rsidRPr="006407A4">
          <w:rPr>
            <w:rStyle w:val="Hyperlink"/>
          </w:rPr>
          <w:t>https://escholarship.mcgill.ca/downloads/n009w560v?locale=en</w:t>
        </w:r>
      </w:hyperlink>
      <w:r>
        <w:t>]/ISEE</w:t>
      </w:r>
    </w:p>
    <w:p w14:paraId="35B7CD38" w14:textId="3A0BDAB9" w:rsidR="00A95652" w:rsidRDefault="00552857" w:rsidP="00B55AD5">
      <w:pPr>
        <w:rPr>
          <w:sz w:val="16"/>
        </w:rPr>
      </w:pPr>
      <w:r w:rsidRPr="00AD31E9">
        <w:rPr>
          <w:sz w:val="16"/>
        </w:rPr>
        <w:lastRenderedPageBreak/>
        <w:t xml:space="preserve">5.2.6. The role of states and non-states in a global governance regime: Theory and Praxis: Public Trust Doctrine and Global Governance to the Rescue </w:t>
      </w:r>
      <w:proofErr w:type="gramStart"/>
      <w:r w:rsidRPr="00AD31E9">
        <w:rPr>
          <w:sz w:val="16"/>
        </w:rPr>
        <w:t>The</w:t>
      </w:r>
      <w:proofErr w:type="gramEnd"/>
      <w:r w:rsidRPr="00AD31E9">
        <w:rPr>
          <w:sz w:val="16"/>
        </w:rPr>
        <w:t xml:space="preserv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w:t>
      </w:r>
      <w:proofErr w:type="gramStart"/>
      <w:r w:rsidRPr="00AD31E9">
        <w:rPr>
          <w:sz w:val="16"/>
        </w:rPr>
        <w:t>has to</w:t>
      </w:r>
      <w:proofErr w:type="gramEnd"/>
      <w:r w:rsidRPr="00AD31E9">
        <w:rPr>
          <w:sz w:val="16"/>
        </w:rPr>
        <w:t xml:space="preserve"> be acknowledged. On the other hand, </w:t>
      </w:r>
      <w:proofErr w:type="gramStart"/>
      <w:r w:rsidRPr="00AD31E9">
        <w:rPr>
          <w:sz w:val="16"/>
        </w:rPr>
        <w:t>a majority of</w:t>
      </w:r>
      <w:proofErr w:type="gramEnd"/>
      <w:r w:rsidRPr="00AD31E9">
        <w:rPr>
          <w:sz w:val="16"/>
        </w:rPr>
        <w:t xml:space="preserve">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RPr="00552857">
        <w:rPr>
          <w:rStyle w:val="StyleUnderline"/>
        </w:rPr>
        <w:t>On this premise, it is my view that in assigning states the role of gate-keeping space access by private actors, Article VI of the OST conveys the notion that states are to be regarded as Trustees of Mankind in the context of international space law</w:t>
      </w:r>
      <w:r w:rsidRPr="00AD31E9">
        <w:rPr>
          <w:sz w:val="16"/>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domaine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w:t>
      </w:r>
      <w:proofErr w:type="gramStart"/>
      <w:r w:rsidRPr="00AD31E9">
        <w:rPr>
          <w:sz w:val="16"/>
        </w:rPr>
        <w:t>he</w:t>
      </w:r>
      <w:proofErr w:type="gramEnd"/>
      <w:r w:rsidRPr="00AD31E9">
        <w:rPr>
          <w:sz w:val="16"/>
        </w:rPr>
        <w:t xml:space="preserve"> also identified civil societies as the ultimate beneficiaries of the trust with the power to enforce the trust through citizens’ suits by virtue of their status as members of the public. </w:t>
      </w:r>
      <w:proofErr w:type="gramStart"/>
      <w:r w:rsidRPr="00552857">
        <w:rPr>
          <w:rStyle w:val="StyleUnderline"/>
        </w:rPr>
        <w:t>Further more</w:t>
      </w:r>
      <w:proofErr w:type="gramEnd"/>
      <w:r w:rsidRPr="00552857">
        <w:rPr>
          <w:rStyle w:val="StyleUnderline"/>
        </w:rPr>
        <w:t>,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RPr="00AD31E9">
        <w:rPr>
          <w:sz w:val="16"/>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t>
      </w:r>
      <w:proofErr w:type="gramStart"/>
      <w:r w:rsidRPr="00AD31E9">
        <w:rPr>
          <w:sz w:val="16"/>
        </w:rPr>
        <w:t>with regard to</w:t>
      </w:r>
      <w:proofErr w:type="gramEnd"/>
      <w:r w:rsidRPr="00AD31E9">
        <w:rPr>
          <w:sz w:val="16"/>
        </w:rPr>
        <w:t xml:space="preserve">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RPr="009B68E9">
        <w:rPr>
          <w:rStyle w:val="StyleUnderline"/>
          <w:highlight w:val="green"/>
        </w:rPr>
        <w:t>Application of P</w:t>
      </w:r>
      <w:r w:rsidRPr="00552857">
        <w:rPr>
          <w:rStyle w:val="StyleUnderline"/>
        </w:rPr>
        <w:t xml:space="preserve">ublic </w:t>
      </w:r>
      <w:r w:rsidRPr="009B68E9">
        <w:rPr>
          <w:rStyle w:val="StyleUnderline"/>
          <w:highlight w:val="green"/>
        </w:rPr>
        <w:t>T</w:t>
      </w:r>
      <w:r w:rsidRPr="00A01378">
        <w:rPr>
          <w:rStyle w:val="StyleUnderline"/>
        </w:rPr>
        <w:t>rust</w:t>
      </w:r>
      <w:r w:rsidRPr="00552857">
        <w:rPr>
          <w:rStyle w:val="StyleUnderline"/>
        </w:rPr>
        <w:t xml:space="preserve"> </w:t>
      </w:r>
      <w:r w:rsidRPr="009B68E9">
        <w:rPr>
          <w:rStyle w:val="StyleUnderline"/>
          <w:highlight w:val="green"/>
        </w:rPr>
        <w:t>D</w:t>
      </w:r>
      <w:r w:rsidRPr="00A01378">
        <w:rPr>
          <w:rStyle w:val="StyleUnderline"/>
        </w:rPr>
        <w:t>octrine</w:t>
      </w:r>
      <w:r w:rsidRPr="00552857">
        <w:rPr>
          <w:rStyle w:val="StyleUnderline"/>
        </w:rPr>
        <w:t xml:space="preserv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RPr="009B68E9">
        <w:rPr>
          <w:rStyle w:val="StyleUnderline"/>
          <w:highlight w:val="green"/>
        </w:rPr>
        <w:t>reinforce</w:t>
      </w:r>
      <w:r w:rsidRPr="00552857">
        <w:rPr>
          <w:rStyle w:val="StyleUnderline"/>
        </w:rPr>
        <w:t xml:space="preserve"> the pillar upon which </w:t>
      </w:r>
      <w:r w:rsidRPr="009B68E9">
        <w:rPr>
          <w:rStyle w:val="StyleUnderline"/>
          <w:highlight w:val="green"/>
        </w:rPr>
        <w:t>space regulation</w:t>
      </w:r>
      <w:r w:rsidRPr="00552857">
        <w:rPr>
          <w:rStyle w:val="StyleUnderline"/>
        </w:rPr>
        <w:t xml:space="preserve"> is built </w:t>
      </w:r>
      <w:r w:rsidRPr="009B68E9">
        <w:rPr>
          <w:rStyle w:val="StyleUnderline"/>
          <w:highlight w:val="green"/>
        </w:rPr>
        <w:t>at the international level.</w:t>
      </w:r>
      <w:r w:rsidRPr="00AD31E9">
        <w:rPr>
          <w:sz w:val="16"/>
        </w:rPr>
        <w:t xml:space="preserve"> This conclusion is inevitable especially if </w:t>
      </w:r>
      <w:proofErr w:type="gramStart"/>
      <w:r w:rsidRPr="00AD31E9">
        <w:rPr>
          <w:sz w:val="16"/>
        </w:rPr>
        <w:t>taking into account</w:t>
      </w:r>
      <w:proofErr w:type="gramEnd"/>
      <w:r w:rsidRPr="00AD31E9">
        <w:rPr>
          <w:sz w:val="16"/>
        </w:rPr>
        <w:t xml:space="preserve"> the argument for the recognition of humanity as a distinct international legal entity in this area. It also follows the language of the Outer Space </w:t>
      </w:r>
      <w:r w:rsidRPr="00552857">
        <w:rPr>
          <w:rStyle w:val="StyleUnderline"/>
        </w:rPr>
        <w:t xml:space="preserve">Treaty. </w:t>
      </w:r>
      <w:r w:rsidRPr="009B68E9">
        <w:rPr>
          <w:rStyle w:val="StyleUnderline"/>
          <w:highlight w:val="green"/>
        </w:rPr>
        <w:t>Elements of the PTD are</w:t>
      </w:r>
      <w:r w:rsidRPr="00552857">
        <w:rPr>
          <w:rStyle w:val="StyleUnderline"/>
        </w:rPr>
        <w:t xml:space="preserve"> easily identifiable </w:t>
      </w:r>
      <w:r w:rsidRPr="009B68E9">
        <w:rPr>
          <w:rStyle w:val="StyleUnderline"/>
          <w:highlight w:val="green"/>
        </w:rPr>
        <w:t>in</w:t>
      </w:r>
      <w:r w:rsidRPr="00552857">
        <w:rPr>
          <w:rStyle w:val="StyleUnderline"/>
        </w:rPr>
        <w:t xml:space="preserve"> the </w:t>
      </w:r>
      <w:r w:rsidRPr="009B68E9">
        <w:rPr>
          <w:rStyle w:val="StyleUnderline"/>
          <w:highlight w:val="green"/>
        </w:rPr>
        <w:t>space treaties</w:t>
      </w:r>
      <w:r w:rsidRPr="00552857">
        <w:rPr>
          <w:rStyle w:val="StyleUnderline"/>
        </w:rPr>
        <w:t xml:space="preserve"> as it relates to the governance of the final frontier as a res communis.</w:t>
      </w:r>
      <w:r w:rsidRPr="00AD31E9">
        <w:rPr>
          <w:sz w:val="16"/>
        </w:rPr>
        <w:t xml:space="preserve"> Apart from Arts I, VI and IX of the OST, which have already been extensively discussed, </w:t>
      </w:r>
      <w:r w:rsidRPr="006A5BC5">
        <w:rPr>
          <w:rStyle w:val="StyleUnderline"/>
          <w:highlight w:val="green"/>
        </w:rPr>
        <w:t>Art II</w:t>
      </w:r>
      <w:r w:rsidRPr="006A5BC5">
        <w:rPr>
          <w:rStyle w:val="StyleUnderline"/>
        </w:rPr>
        <w:t xml:space="preserve"> espouses the principle of </w:t>
      </w:r>
      <w:r w:rsidRPr="006A5BC5">
        <w:rPr>
          <w:rStyle w:val="StyleUnderline"/>
          <w:highlight w:val="green"/>
        </w:rPr>
        <w:t>non- appropriation of outer space</w:t>
      </w:r>
      <w:r w:rsidRPr="006A5BC5">
        <w:rPr>
          <w:rStyle w:val="StyleUnderline"/>
        </w:rPr>
        <w:t xml:space="preserve"> by means of use or occupation</w:t>
      </w:r>
      <w:r w:rsidRPr="00AD31E9">
        <w:rPr>
          <w:sz w:val="16"/>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w:t>
      </w:r>
      <w:proofErr w:type="gramStart"/>
      <w:r w:rsidRPr="00AD31E9">
        <w:rPr>
          <w:sz w:val="16"/>
        </w:rPr>
        <w:t>on the basis of</w:t>
      </w:r>
      <w:proofErr w:type="gramEnd"/>
      <w:r w:rsidRPr="00AD31E9">
        <w:rPr>
          <w:sz w:val="16"/>
        </w:rPr>
        <w:t xml:space="preserve"> national security or interest. The Rescue Agreement, Liability Convention and to a greater extent, the Moon Agreement build on the PTD in their prescriptions on the nature of the frontier vis a vis the rights and obligations of the states as trustees of mankind. </w:t>
      </w:r>
      <w:r w:rsidRPr="00552857">
        <w:rPr>
          <w:rStyle w:val="StyleUnderline"/>
        </w:rPr>
        <w:t xml:space="preserve">By these provisions, the interest of the international community is given priority over national interest or security. </w:t>
      </w:r>
      <w:r w:rsidRPr="00AD31E9">
        <w:rPr>
          <w:sz w:val="16"/>
        </w:rPr>
        <w:t xml:space="preserve">Conclusion International space law is hinged on non-territoriality, that is, the understanding that outer space belongs to all humanity and that its exploitation </w:t>
      </w:r>
      <w:proofErr w:type="gramStart"/>
      <w:r w:rsidRPr="00AD31E9">
        <w:rPr>
          <w:sz w:val="16"/>
        </w:rPr>
        <w:t>has to</w:t>
      </w:r>
      <w:proofErr w:type="gramEnd"/>
      <w:r w:rsidRPr="00AD31E9">
        <w:rPr>
          <w:sz w:val="16"/>
        </w:rPr>
        <w:t xml:space="preserve"> be conducted in a manner that takes this into account. If outer space belongs to all </w:t>
      </w:r>
      <w:proofErr w:type="gramStart"/>
      <w:r w:rsidRPr="00AD31E9">
        <w:rPr>
          <w:sz w:val="16"/>
        </w:rPr>
        <w:t>mankind</w:t>
      </w:r>
      <w:proofErr w:type="gramEnd"/>
      <w:r w:rsidRPr="00AD31E9">
        <w:rPr>
          <w:sz w:val="16"/>
        </w:rPr>
        <w:t xml:space="preserve">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w:t>
      </w:r>
      <w:r w:rsidRPr="00AD31E9">
        <w:rPr>
          <w:sz w:val="16"/>
        </w:rPr>
        <w:lastRenderedPageBreak/>
        <w:t xml:space="preserve">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selfcentered national interests and the freedom of their private entities to put that domain to profitable commercial use. They </w:t>
      </w:r>
      <w:proofErr w:type="gramStart"/>
      <w:r w:rsidRPr="00AD31E9">
        <w:rPr>
          <w:sz w:val="16"/>
        </w:rPr>
        <w:t>are able to</w:t>
      </w:r>
      <w:proofErr w:type="gramEnd"/>
      <w:r w:rsidRPr="00AD31E9">
        <w:rPr>
          <w:sz w:val="16"/>
        </w:rPr>
        <w:t xml:space="preserve">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RPr="00AD31E9">
        <w:rPr>
          <w:rStyle w:val="StyleUnderline"/>
        </w:rPr>
        <w:t>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RPr="00AD31E9">
        <w:rPr>
          <w:sz w:val="16"/>
        </w:rPr>
        <w:t xml:space="preserve"> And as many questions often beg for answers in relation to the climate change debate so also in relation to outer space management as we have seen. In </w:t>
      </w:r>
      <w:proofErr w:type="gramStart"/>
      <w:r w:rsidRPr="00AD31E9">
        <w:rPr>
          <w:sz w:val="16"/>
        </w:rPr>
        <w:t>fact</w:t>
      </w:r>
      <w:proofErr w:type="gramEnd"/>
      <w:r w:rsidRPr="00AD31E9">
        <w:rPr>
          <w:sz w:val="16"/>
        </w:rPr>
        <w:t xml:space="preserve">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RPr="009B68E9">
        <w:rPr>
          <w:rStyle w:val="StyleUnderline"/>
          <w:highlight w:val="green"/>
        </w:rPr>
        <w:t>regulatory regimes</w:t>
      </w:r>
      <w:r w:rsidRPr="00AD31E9">
        <w:rPr>
          <w:sz w:val="16"/>
        </w:rPr>
        <w:t xml:space="preserve"> and “soft </w:t>
      </w:r>
      <w:r w:rsidRPr="00A01378">
        <w:rPr>
          <w:sz w:val="16"/>
        </w:rPr>
        <w:t>law”</w:t>
      </w:r>
      <w:r w:rsidRPr="00AD31E9">
        <w:rPr>
          <w:sz w:val="16"/>
        </w:rPr>
        <w:t xml:space="preserve"> to cover the gaps that exist. </w:t>
      </w:r>
      <w:r w:rsidRPr="00A01378">
        <w:rPr>
          <w:rStyle w:val="StyleUnderline"/>
        </w:rPr>
        <w:t xml:space="preserve">The same question is raised in </w:t>
      </w:r>
      <w:r w:rsidRPr="009B68E9">
        <w:rPr>
          <w:rStyle w:val="StyleUnderline"/>
          <w:highlight w:val="green"/>
        </w:rPr>
        <w:t>the context of governance of outer space and the problem of space debris</w:t>
      </w:r>
      <w:r w:rsidRPr="00AD31E9">
        <w:rPr>
          <w:sz w:val="16"/>
        </w:rPr>
        <w:t>. Although both COPUOS and IADC Debris Guidelines address some of the regulatory challenges, they do not cover all</w:t>
      </w:r>
      <w:r w:rsidRPr="00A01378">
        <w:rPr>
          <w:rStyle w:val="StyleUnderline"/>
        </w:rPr>
        <w:t xml:space="preserve">. </w:t>
      </w:r>
      <w:r w:rsidRPr="009B68E9">
        <w:rPr>
          <w:rStyle w:val="StyleUnderline"/>
          <w:highlight w:val="green"/>
        </w:rPr>
        <w:t>To minimize the risks posed by space debris</w:t>
      </w:r>
      <w:r w:rsidRPr="00A01378">
        <w:rPr>
          <w:rStyle w:val="StyleUnderline"/>
        </w:rPr>
        <w:t xml:space="preserve">, </w:t>
      </w:r>
      <w:r w:rsidRPr="00A01378">
        <w:rPr>
          <w:sz w:val="16"/>
          <w:szCs w:val="16"/>
        </w:rPr>
        <w:t>a three-pillar approach has been suggested as an imperative condition for an effective environmental space regime</w:t>
      </w:r>
      <w:r w:rsidRPr="00AD31E9">
        <w:rPr>
          <w:sz w:val="16"/>
        </w:rPr>
        <w:t xml:space="preserve">. The three pillars are debris mitigation, debris removal and space traffic management.376 Practical efforts like Active Debris Removal (ADR) and OnOrbit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RPr="00AD31E9">
        <w:rPr>
          <w:rStyle w:val="StyleUnderline"/>
        </w:rPr>
        <w:t xml:space="preserve">With my analysis up to this point as background, I join the call to </w:t>
      </w:r>
      <w:r w:rsidRPr="009B68E9">
        <w:rPr>
          <w:rStyle w:val="StyleUnderline"/>
          <w:highlight w:val="green"/>
        </w:rPr>
        <w:t>move beyond the O</w:t>
      </w:r>
      <w:r w:rsidRPr="00AD31E9">
        <w:rPr>
          <w:rStyle w:val="StyleUnderline"/>
        </w:rPr>
        <w:t xml:space="preserve">uter </w:t>
      </w:r>
      <w:r w:rsidRPr="009B68E9">
        <w:rPr>
          <w:rStyle w:val="StyleUnderline"/>
          <w:highlight w:val="green"/>
        </w:rPr>
        <w:t>S</w:t>
      </w:r>
      <w:r w:rsidRPr="00A01378">
        <w:rPr>
          <w:rStyle w:val="StyleUnderline"/>
        </w:rPr>
        <w:t>pace</w:t>
      </w:r>
      <w:r w:rsidRPr="00AD31E9">
        <w:rPr>
          <w:rStyle w:val="StyleUnderline"/>
        </w:rPr>
        <w:t xml:space="preserve"> </w:t>
      </w:r>
      <w:r w:rsidRPr="009B68E9">
        <w:rPr>
          <w:rStyle w:val="StyleUnderline"/>
          <w:highlight w:val="green"/>
        </w:rPr>
        <w:t>T</w:t>
      </w:r>
      <w:r w:rsidRPr="00AD31E9">
        <w:rPr>
          <w:rStyle w:val="StyleUnderline"/>
        </w:rPr>
        <w:t xml:space="preserve">reaty and all other state-centered regulatory frameworks </w:t>
      </w:r>
      <w:r w:rsidRPr="009B68E9">
        <w:rPr>
          <w:rStyle w:val="StyleUnderline"/>
          <w:highlight w:val="green"/>
        </w:rPr>
        <w:t>because of</w:t>
      </w:r>
      <w:r w:rsidRPr="00AD31E9">
        <w:rPr>
          <w:rStyle w:val="StyleUnderline"/>
        </w:rPr>
        <w:t xml:space="preserve"> the underlying </w:t>
      </w:r>
      <w:r w:rsidRPr="009B68E9">
        <w:rPr>
          <w:rStyle w:val="StyleUnderline"/>
          <w:highlight w:val="green"/>
        </w:rPr>
        <w:t>political undercurrents</w:t>
      </w:r>
      <w:r w:rsidRPr="00AD31E9">
        <w:rPr>
          <w:rStyle w:val="StyleUnderline"/>
        </w:rPr>
        <w:t xml:space="preserve"> that seem to stress norm generation and enforcement </w:t>
      </w:r>
      <w:r w:rsidRPr="00A01378">
        <w:rPr>
          <w:rStyle w:val="StyleUnderline"/>
        </w:rPr>
        <w:t>and</w:t>
      </w:r>
      <w:r w:rsidRPr="00AD31E9">
        <w:rPr>
          <w:rStyle w:val="StyleUnderline"/>
        </w:rPr>
        <w:t xml:space="preserve"> utilize the resources of private regulatory regime within the rubric of global governance </w:t>
      </w:r>
      <w:r w:rsidRPr="009B68E9">
        <w:rPr>
          <w:rStyle w:val="StyleUnderline"/>
          <w:highlight w:val="green"/>
        </w:rPr>
        <w:t>to facilitate a new regime</w:t>
      </w:r>
      <w:r w:rsidRPr="00AD31E9">
        <w:rPr>
          <w:sz w:val="16"/>
        </w:rPr>
        <w:t>. The first issue is to extend responsibility for the generation of space debris to non-state actors such that they can no longer hide under the protection of states to conduct unacceptable environmental practices in outer space</w:t>
      </w:r>
      <w:r w:rsidRPr="00AD31E9">
        <w:rPr>
          <w:rStyle w:val="StyleUnderline"/>
        </w:rPr>
        <w:t xml:space="preserve">. Using the </w:t>
      </w:r>
      <w:r w:rsidRPr="009B68E9">
        <w:rPr>
          <w:rStyle w:val="StyleUnderline"/>
          <w:highlight w:val="green"/>
        </w:rPr>
        <w:t>PTD doctrine</w:t>
      </w:r>
      <w:r w:rsidRPr="00AD31E9">
        <w:rPr>
          <w:rStyle w:val="StyleUnderline"/>
        </w:rPr>
        <w:t xml:space="preserve"> to advance the guardianship of states, there is a case to </w:t>
      </w:r>
      <w:r w:rsidRPr="009B68E9">
        <w:rPr>
          <w:rStyle w:val="StyleUnderline"/>
          <w:highlight w:val="green"/>
        </w:rPr>
        <w:t>unify all space actors</w:t>
      </w:r>
      <w:r w:rsidRPr="00AD31E9">
        <w:rPr>
          <w:rStyle w:val="StyleUnderline"/>
        </w:rPr>
        <w:t xml:space="preserve"> under one normative framework for a safe, sustainable use of the final frontier in the interest of all mankind. With that </w:t>
      </w:r>
      <w:proofErr w:type="gramStart"/>
      <w:r w:rsidRPr="00AD31E9">
        <w:rPr>
          <w:rStyle w:val="StyleUnderline"/>
        </w:rPr>
        <w:t>particular issue</w:t>
      </w:r>
      <w:proofErr w:type="gramEnd"/>
      <w:r w:rsidRPr="00AD31E9">
        <w:rPr>
          <w:rStyle w:val="StyleUnderline"/>
        </w:rPr>
        <w:t xml:space="preserve"> out of the way, the next challenge is to decide on the most viable governance model to employ. </w:t>
      </w:r>
      <w:r w:rsidRPr="00AD31E9">
        <w:rPr>
          <w:sz w:val="16"/>
        </w:rPr>
        <w:t xml:space="preserve">One thing is clear already. </w:t>
      </w:r>
      <w:r w:rsidRPr="00AD31E9">
        <w:rPr>
          <w:rStyle w:val="StyleUnderline"/>
        </w:rPr>
        <w:t>There is a public/private dimension to the exploitation of outer space especially in the development of useful technological tools for various industry sectors. This is at the level of resource generation and maximization of capital</w:t>
      </w:r>
      <w:r w:rsidRPr="00AD31E9">
        <w:rPr>
          <w:sz w:val="16"/>
        </w:rPr>
        <w:t xml:space="preserve">. However, in terms of assigning responsibility for the consequences of such resource generation activities it is less clear whether that public/private link exists.377 </w:t>
      </w:r>
      <w:r w:rsidRPr="00AD31E9">
        <w:rPr>
          <w:rStyle w:val="StyleUnderline"/>
        </w:rPr>
        <w:t xml:space="preserve">This has great implications for effective regulatory and governance measures. There is therefore a great need to clearly recognize the public/private synergy in designing a governance regime that </w:t>
      </w:r>
      <w:proofErr w:type="gramStart"/>
      <w:r w:rsidRPr="00AD31E9">
        <w:rPr>
          <w:rStyle w:val="StyleUnderline"/>
        </w:rPr>
        <w:t>takes into account</w:t>
      </w:r>
      <w:proofErr w:type="gramEnd"/>
      <w:r w:rsidRPr="00AD31E9">
        <w:rPr>
          <w:rStyle w:val="StyleUnderline"/>
        </w:rPr>
        <w:t xml:space="preserve"> the realities of the moment</w:t>
      </w:r>
      <w:r w:rsidRPr="00AD31E9">
        <w:rPr>
          <w:sz w:val="16"/>
        </w:rPr>
        <w:t xml:space="preserve">. Pelton states that nearly half the world’s models </w:t>
      </w:r>
      <w:proofErr w:type="gramStart"/>
      <w:r w:rsidRPr="00AD31E9">
        <w:rPr>
          <w:sz w:val="16"/>
        </w:rPr>
        <w:t>with regard to</w:t>
      </w:r>
      <w:proofErr w:type="gramEnd"/>
      <w:r w:rsidRPr="00AD31E9">
        <w:rPr>
          <w:sz w:val="16"/>
        </w:rPr>
        <w:t xml:space="preserve"> space activities involve the effective and cost-efficient use of commercial management techniques.378 This would suggest that a public only governance arrangement would face serious challenges from the start. </w:t>
      </w:r>
      <w:r w:rsidRPr="00AD31E9">
        <w:rPr>
          <w:rStyle w:val="StyleUnderline"/>
        </w:rPr>
        <w:t xml:space="preserve">He therefore suggests </w:t>
      </w:r>
      <w:r w:rsidRPr="009B68E9">
        <w:rPr>
          <w:rStyle w:val="StyleUnderline"/>
          <w:highlight w:val="green"/>
        </w:rPr>
        <w:t xml:space="preserve">a hybrid public/private approach </w:t>
      </w:r>
      <w:r w:rsidRPr="00A01378">
        <w:rPr>
          <w:rStyle w:val="StyleUnderline"/>
        </w:rPr>
        <w:t xml:space="preserve">that has better possibility of producing </w:t>
      </w:r>
      <w:r w:rsidRPr="009B68E9">
        <w:rPr>
          <w:rStyle w:val="StyleUnderline"/>
          <w:highlight w:val="green"/>
        </w:rPr>
        <w:lastRenderedPageBreak/>
        <w:t>“better overall results</w:t>
      </w:r>
      <w:r w:rsidRPr="00AD31E9">
        <w:rPr>
          <w:rStyle w:val="StyleUnderline"/>
        </w:rPr>
        <w:t xml:space="preserve"> than trying to operationalize service under a national space agency.”</w:t>
      </w:r>
      <w:r w:rsidRPr="00AD31E9">
        <w:rPr>
          <w:sz w:val="16"/>
        </w:rPr>
        <w:t>379 While Pelton’s suggestion targets national space operations, it would have considerable implications as well for the global effort to harness the resources of outer space</w:t>
      </w:r>
      <w:r w:rsidRPr="00AD31E9">
        <w:rPr>
          <w:rStyle w:val="StyleUnderline"/>
        </w:rPr>
        <w:t>. Space debris is a reality that stares international space regulation in the face. In various parts of this thesis there is a clear understanding that current regulations leave far too many gaps and are therefore inadequate</w:t>
      </w:r>
      <w:r w:rsidRPr="00AD31E9">
        <w:rPr>
          <w:sz w:val="16"/>
        </w:rPr>
        <w:t xml:space="preserve">. There is a feeling that they </w:t>
      </w:r>
      <w:proofErr w:type="gramStart"/>
      <w:r w:rsidRPr="00AD31E9">
        <w:rPr>
          <w:sz w:val="16"/>
        </w:rPr>
        <w:t>have to</w:t>
      </w:r>
      <w:proofErr w:type="gramEnd"/>
      <w:r w:rsidRPr="00AD31E9">
        <w:rPr>
          <w:sz w:val="16"/>
        </w:rPr>
        <w:t xml:space="preserve"> be updated to keep pace with the same intensity that outer space activities are being conducted. And it </w:t>
      </w:r>
      <w:proofErr w:type="gramStart"/>
      <w:r w:rsidRPr="00AD31E9">
        <w:rPr>
          <w:sz w:val="16"/>
        </w:rPr>
        <w:t>has to</w:t>
      </w:r>
      <w:proofErr w:type="gramEnd"/>
      <w:r w:rsidRPr="00AD31E9">
        <w:rPr>
          <w:sz w:val="16"/>
        </w:rPr>
        <w:t xml:space="preserve"> be a holistic arrangement that accounts for the actions of all actors as well as accord recognition to mankind as the major beneficiary of space utilization. There is also a need to allocate responsibility among all the space actors </w:t>
      </w:r>
      <w:proofErr w:type="gramStart"/>
      <w:r w:rsidRPr="00AD31E9">
        <w:rPr>
          <w:sz w:val="16"/>
        </w:rPr>
        <w:t>as a way to</w:t>
      </w:r>
      <w:proofErr w:type="gramEnd"/>
      <w:r w:rsidRPr="00AD31E9">
        <w:rPr>
          <w:sz w:val="16"/>
        </w:rPr>
        <w:t xml:space="preserve"> provoke a behavioral change in practices that endanger the last frontier. </w:t>
      </w:r>
    </w:p>
    <w:p w14:paraId="74BC3E93" w14:textId="6F9BC4CC"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Universitat zu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C0A559D" w14:textId="77777777" w:rsidR="003461A7" w:rsidRPr="00074B15" w:rsidRDefault="003461A7" w:rsidP="003461A7">
      <w:pPr>
        <w:rPr>
          <w:sz w:val="1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w:t>
      </w:r>
      <w:proofErr w:type="gramStart"/>
      <w:r w:rsidRPr="00074B15">
        <w:rPr>
          <w:sz w:val="14"/>
        </w:rPr>
        <w:t>As a consequence of</w:t>
      </w:r>
      <w:proofErr w:type="gramEnd"/>
      <w:r w:rsidRPr="00074B15">
        <w:rPr>
          <w:sz w:val="14"/>
        </w:rPr>
        <w:t xml:space="preserve">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w:t>
      </w:r>
      <w:proofErr w:type="gramStart"/>
      <w:r w:rsidRPr="00074B15">
        <w:rPr>
          <w:sz w:val="14"/>
        </w:rPr>
        <w:t>In the near future</w:t>
      </w:r>
      <w:proofErr w:type="gramEnd"/>
      <w:r w:rsidRPr="00074B15">
        <w:rPr>
          <w:sz w:val="14"/>
        </w:rPr>
        <w:t xml:space="preserv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manoeuvers.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w:t>
      </w:r>
      <w:r w:rsidRPr="00074B15">
        <w:rPr>
          <w:sz w:val="14"/>
        </w:rPr>
        <w:lastRenderedPageBreak/>
        <w:t xml:space="preserve">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074B15">
        <w:rPr>
          <w:sz w:val="14"/>
        </w:rPr>
        <w:t xml:space="preserve"> as there is not enough drag from Earth’s atmosphere any more at this altitude [16]. </w:t>
      </w:r>
      <w:proofErr w:type="gramStart"/>
      <w:r w:rsidRPr="00074B15">
        <w:rPr>
          <w:sz w:val="14"/>
        </w:rPr>
        <w:t>All of</w:t>
      </w:r>
      <w:proofErr w:type="gramEnd"/>
      <w:r w:rsidRPr="00074B15">
        <w:rPr>
          <w:sz w:val="14"/>
        </w:rPr>
        <w:t xml:space="preserve">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 xml:space="preserve">launches </w:t>
      </w:r>
      <w:proofErr w:type="gramStart"/>
      <w:r w:rsidRPr="009B68E9">
        <w:rPr>
          <w:rStyle w:val="StyleUnderline"/>
          <w:highlight w:val="green"/>
        </w:rPr>
        <w:t>are in compliance with</w:t>
      </w:r>
      <w:proofErr w:type="gramEnd"/>
      <w:r w:rsidRPr="009B68E9">
        <w:rPr>
          <w:rStyle w:val="StyleUnderline"/>
          <w:highlight w:val="green"/>
        </w:rPr>
        <w:t xml:space="preserve">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w:t>
      </w:r>
      <w:proofErr w:type="gramStart"/>
      <w:r w:rsidRPr="00074B15">
        <w:rPr>
          <w:sz w:val="14"/>
        </w:rPr>
        <w:t>on the one hand,</w:t>
      </w:r>
      <w:proofErr w:type="gramEnd"/>
      <w:r w:rsidRPr="00074B15">
        <w:rPr>
          <w:sz w:val="14"/>
        </w:rPr>
        <w:t xml:space="preserve">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074B15">
        <w:rPr>
          <w:sz w:val="14"/>
          <w:szCs w:val="16"/>
        </w:rPr>
        <w:t>as a means to</w:t>
      </w:r>
      <w:proofErr w:type="gramEnd"/>
      <w:r w:rsidRPr="00074B15">
        <w:rPr>
          <w:sz w:val="14"/>
          <w:szCs w:val="16"/>
        </w:rPr>
        <w:t xml:space="preserve"> carry out space activities should be preserved not only in the short-term perspective, but on a long-term basis as the dependency of humans on outer space will only grow in the future. </w:t>
      </w:r>
      <w:proofErr w:type="gramStart"/>
      <w:r w:rsidRPr="00074B15">
        <w:rPr>
          <w:sz w:val="14"/>
          <w:szCs w:val="16"/>
        </w:rPr>
        <w:t>As a consequence</w:t>
      </w:r>
      <w:proofErr w:type="gramEnd"/>
      <w:r w:rsidRPr="00074B15">
        <w:rPr>
          <w:sz w:val="14"/>
          <w:szCs w:val="16"/>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074B15">
        <w:rPr>
          <w:sz w:val="14"/>
          <w:szCs w:val="16"/>
        </w:rPr>
        <w:t>and also</w:t>
      </w:r>
      <w:proofErr w:type="gramEnd"/>
      <w:r w:rsidRPr="00074B15">
        <w:rPr>
          <w:sz w:val="14"/>
          <w:szCs w:val="16"/>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w:t>
      </w:r>
      <w:r w:rsidRPr="00074B15">
        <w:rPr>
          <w:sz w:val="14"/>
          <w:szCs w:val="16"/>
        </w:rPr>
        <w:lastRenderedPageBreak/>
        <w:t xml:space="preserve">certain exceptions contained in Article I of the OST itself as well as in other treaty provisions of the corpus iuris spatialis. Such as, inter alia, the common benefit clause (Art. I para 1 OST), Art. III OST and Article 2 UN Charter, Art. IV para 1 OST, Art. VII </w:t>
      </w:r>
      <w:proofErr w:type="gramStart"/>
      <w:r w:rsidRPr="00074B15">
        <w:rPr>
          <w:sz w:val="14"/>
          <w:szCs w:val="16"/>
        </w:rPr>
        <w:t>OST</w:t>
      </w:r>
      <w:proofErr w:type="gramEnd"/>
      <w:r w:rsidRPr="00074B15">
        <w:rPr>
          <w:sz w:val="14"/>
          <w:szCs w:val="16"/>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074B15">
        <w:rPr>
          <w:sz w:val="14"/>
          <w:szCs w:val="16"/>
        </w:rPr>
        <w:t>on the basis of</w:t>
      </w:r>
      <w:proofErr w:type="gramEnd"/>
      <w:r w:rsidRPr="00074B15">
        <w:rPr>
          <w:sz w:val="14"/>
          <w:szCs w:val="16"/>
        </w:rPr>
        <w:t xml:space="preserve">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074B15">
        <w:rPr>
          <w:sz w:val="14"/>
          <w:szCs w:val="16"/>
        </w:rPr>
        <w:t>space-faring</w:t>
      </w:r>
      <w:proofErr w:type="gramEnd"/>
      <w:r w:rsidRPr="00074B15">
        <w:rPr>
          <w:sz w:val="14"/>
          <w:szCs w:val="16"/>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074B15">
        <w:rPr>
          <w:sz w:val="14"/>
          <w:szCs w:val="16"/>
        </w:rPr>
        <w:t>particular status</w:t>
      </w:r>
      <w:proofErr w:type="gramEnd"/>
      <w:r w:rsidRPr="00074B15">
        <w:rPr>
          <w:sz w:val="14"/>
          <w:szCs w:val="16"/>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w:t>
      </w:r>
      <w:proofErr w:type="gramStart"/>
      <w:r w:rsidRPr="00074B15">
        <w:rPr>
          <w:sz w:val="14"/>
          <w:szCs w:val="16"/>
        </w:rPr>
        <w:t>amount</w:t>
      </w:r>
      <w:proofErr w:type="gramEnd"/>
      <w:r w:rsidRPr="00074B15">
        <w:rPr>
          <w:sz w:val="14"/>
          <w:szCs w:val="16"/>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074B15">
        <w:rPr>
          <w:sz w:val="14"/>
          <w:szCs w:val="16"/>
        </w:rPr>
        <w:t>and, in case</w:t>
      </w:r>
      <w:proofErr w:type="gramEnd"/>
      <w:r w:rsidRPr="00074B15">
        <w:rPr>
          <w:sz w:val="14"/>
          <w:szCs w:val="16"/>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proofErr w:type="gramStart"/>
      <w:r w:rsidRPr="002E452C">
        <w:rPr>
          <w:rStyle w:val="StyleUnderline"/>
        </w:rPr>
        <w:t xml:space="preserve">in order </w:t>
      </w:r>
      <w:r w:rsidRPr="00074B15">
        <w:rPr>
          <w:rStyle w:val="StyleUnderline"/>
        </w:rPr>
        <w:t>to</w:t>
      </w:r>
      <w:proofErr w:type="gramEnd"/>
      <w:r w:rsidRPr="00074B15">
        <w:rPr>
          <w:rStyle w:val="StyleUnderline"/>
        </w:rPr>
        <w:t xml:space="preserve">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074B15">
        <w:rPr>
          <w:sz w:val="14"/>
        </w:rPr>
        <w:t>practices</w:t>
      </w:r>
      <w:proofErr w:type="gramEnd"/>
      <w:r w:rsidRPr="00074B15">
        <w:rPr>
          <w:sz w:val="14"/>
        </w:rPr>
        <w:t xml:space="preserve">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 xml:space="preserve">passivation covers all forms of stored energy on board, let it be kinetics of the gyros, charge of batteries, </w:t>
      </w:r>
      <w:proofErr w:type="gramStart"/>
      <w:r w:rsidRPr="002E452C">
        <w:rPr>
          <w:rStyle w:val="StyleUnderline"/>
        </w:rPr>
        <w:t>and also</w:t>
      </w:r>
      <w:proofErr w:type="gramEnd"/>
      <w:r w:rsidRPr="002E452C">
        <w:rPr>
          <w:rStyle w:val="StyleUnderline"/>
        </w:rPr>
        <w:t xml:space="preserve"> fuel in the tanks.</w:t>
      </w:r>
      <w:r w:rsidRPr="00074B15">
        <w:rPr>
          <w:sz w:val="14"/>
        </w:rPr>
        <w:t xml:space="preserve"> Passivation aims at the minimization of self-induced </w:t>
      </w:r>
      <w:proofErr w:type="gramStart"/>
      <w:r w:rsidRPr="00074B15">
        <w:rPr>
          <w:sz w:val="14"/>
        </w:rPr>
        <w:t>break-ups</w:t>
      </w:r>
      <w:proofErr w:type="gramEnd"/>
      <w:r w:rsidRPr="00074B15">
        <w:rPr>
          <w:sz w:val="14"/>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074B15">
        <w:rPr>
          <w:sz w:val="14"/>
        </w:rPr>
        <w:t>aforementioned example</w:t>
      </w:r>
      <w:proofErr w:type="gramEnd"/>
      <w:r w:rsidRPr="00074B15">
        <w:rPr>
          <w:sz w:val="14"/>
        </w:rPr>
        <w:t xml:space="preserv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 xml:space="preserve">it </w:t>
      </w:r>
      <w:r w:rsidRPr="002E452C">
        <w:rPr>
          <w:rStyle w:val="StyleUnderline"/>
        </w:rPr>
        <w:lastRenderedPageBreak/>
        <w:t>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Remediation mainly aims at removing existing pieces of orbital debris through active debris removal (ADR). Active debris removal involves the removal of intact but non-functional and/or uncontrolled objects (i.e., defunct satellites and rocket bodies). Moreover, these efforts could be supplemented </w:t>
      </w:r>
      <w:r w:rsidRPr="00C52AE2">
        <w:rPr>
          <w:sz w:val="14"/>
        </w:rPr>
        <w:t xml:space="preserve">by so-called </w:t>
      </w:r>
      <w:r w:rsidRPr="00C52AE2">
        <w:rPr>
          <w:rStyle w:val="StyleUnderline"/>
        </w:rPr>
        <w:t>on-orbit servicing of satellites</w:t>
      </w:r>
      <w:r w:rsidRPr="00C52AE2">
        <w:rPr>
          <w:sz w:val="14"/>
        </w:rPr>
        <w:t xml:space="preserve"> (OOS). OOS </w:t>
      </w:r>
      <w:r w:rsidRPr="00C52AE2">
        <w:rPr>
          <w:rStyle w:val="StyleUnderline"/>
        </w:rPr>
        <w:t>aims at ameliorating the capabilities of satellites on orbit which have become non-functional</w:t>
      </w:r>
      <w:r w:rsidRPr="00C52AE2">
        <w:rPr>
          <w:sz w:val="14"/>
        </w:rPr>
        <w:t xml:space="preserve"> through refueling and upgrading in order, first, to diminish the break-up risks and thus the creation of space debris, and second, to extend the satellite’s life. As such measures relate to existing space objects, </w:t>
      </w:r>
      <w:r w:rsidRPr="00C52AE2">
        <w:rPr>
          <w:rStyle w:val="StyleUnderline"/>
        </w:rPr>
        <w:t>OOS can be considered partly a mitigation measure</w:t>
      </w:r>
      <w:r w:rsidRPr="00C52AE2">
        <w:rPr>
          <w:sz w:val="14"/>
        </w:rPr>
        <w:t xml:space="preserve"> [45]. On-</w:t>
      </w:r>
      <w:r w:rsidRPr="00C52AE2">
        <w:rPr>
          <w:rStyle w:val="StyleUnderline"/>
        </w:rPr>
        <w:t>orbit servicing might also develop into repurposing or scavenging of valuable components from defunct satellites</w:t>
      </w:r>
      <w:r w:rsidRPr="00C52AE2">
        <w:rPr>
          <w:sz w:val="1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C52AE2">
        <w:rPr>
          <w:rStyle w:val="StyleUnderline"/>
        </w:rPr>
        <w:t xml:space="preserve">, </w:t>
      </w:r>
      <w:r w:rsidRPr="00C52AE2">
        <w:rPr>
          <w:sz w:val="1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w:t>
      </w:r>
      <w:proofErr w:type="gramStart"/>
      <w:r w:rsidRPr="00C52AE2">
        <w:rPr>
          <w:sz w:val="14"/>
        </w:rPr>
        <w:t>mass</w:t>
      </w:r>
      <w:proofErr w:type="gramEnd"/>
      <w:r w:rsidRPr="00C52AE2">
        <w:rPr>
          <w:sz w:val="14"/>
        </w:rPr>
        <w:t xml:space="preserve"> and orbital position of the satellite. Such </w:t>
      </w:r>
      <w:r w:rsidRPr="00C52AE2">
        <w:rPr>
          <w:rStyle w:val="StyleUnderline"/>
        </w:rPr>
        <w:t>concepts for the removal objects from orbits include tethering, tugging, beaming with an electrostatic tracto</w:t>
      </w:r>
      <w:r w:rsidRPr="00C52AE2">
        <w:rPr>
          <w:sz w:val="1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C52AE2">
        <w:rPr>
          <w:rStyle w:val="StyleUnderline"/>
        </w:rPr>
        <w:t>They involve the pre-launch instalment of systems such as drag augmentation devices which can deploy sails to accelerate the natural decay of satellites</w:t>
      </w:r>
      <w:r w:rsidRPr="00C52AE2">
        <w:rPr>
          <w:sz w:val="14"/>
        </w:rPr>
        <w:t xml:space="preserve"> [52]; </w:t>
      </w:r>
      <w:r w:rsidRPr="00C52AE2">
        <w:rPr>
          <w:rStyle w:val="StyleUnderline"/>
        </w:rPr>
        <w:t>electrodynamic tethers</w:t>
      </w:r>
      <w:r w:rsidRPr="00C52AE2">
        <w:rPr>
          <w:sz w:val="14"/>
        </w:rPr>
        <w:t xml:space="preserve"> [53,54] </w:t>
      </w:r>
      <w:r w:rsidRPr="00C52AE2">
        <w:rPr>
          <w:rStyle w:val="StyleUnderline"/>
        </w:rPr>
        <w:t xml:space="preserve">for de-orbiting, and thrust propulsion systems enabling de- or re-orbiting. </w:t>
      </w:r>
      <w:r w:rsidRPr="00C52AE2">
        <w:rPr>
          <w:sz w:val="14"/>
        </w:rPr>
        <w:t xml:space="preserve">Moreover, the concept of laser debris removal foresees installing plasma jets on objects </w:t>
      </w:r>
      <w:proofErr w:type="gramStart"/>
      <w:r w:rsidRPr="00C52AE2">
        <w:rPr>
          <w:sz w:val="14"/>
        </w:rPr>
        <w:t>in order to</w:t>
      </w:r>
      <w:proofErr w:type="gramEnd"/>
      <w:r w:rsidRPr="00C52AE2">
        <w:rPr>
          <w:sz w:val="14"/>
        </w:rPr>
        <w:t xml:space="preserve"> enable controlled re-entry [55,56,57]. The </w:t>
      </w:r>
      <w:r w:rsidRPr="00C52AE2">
        <w:rPr>
          <w:rStyle w:val="StyleUnderline"/>
        </w:rPr>
        <w:t>focus of proposed remediation measures lies within the removal of larger objects and not of small objects as they act as triggers for the cascading effec</w:t>
      </w:r>
      <w:r w:rsidRPr="00C52AE2">
        <w:rPr>
          <w:sz w:val="1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C52AE2">
        <w:rPr>
          <w:rStyle w:val="StyleUnderline"/>
        </w:rPr>
        <w:t xml:space="preserve">the necessary advanced technology for </w:t>
      </w:r>
      <w:r w:rsidRPr="00C52AE2">
        <w:rPr>
          <w:rStyle w:val="StyleUnderline"/>
          <w:strike/>
        </w:rPr>
        <w:t>SDR</w:t>
      </w:r>
      <w:r w:rsidRPr="00C52AE2">
        <w:rPr>
          <w:rStyle w:val="StyleUnderline"/>
        </w:rPr>
        <w:t xml:space="preserve"> [Space Debris Remediation] will become available in the foreseeable future</w:t>
      </w:r>
      <w:r w:rsidRPr="00C52AE2">
        <w:rPr>
          <w:sz w:val="1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w:t>
      </w:r>
      <w:r w:rsidRPr="00C52AE2">
        <w:rPr>
          <w:sz w:val="14"/>
          <w:szCs w:val="16"/>
        </w:rPr>
        <w:t xml:space="preserve">The following deficiencies of law with relation to SDR must be highlighted: It is not yet clear how a substantial risk should be defined </w:t>
      </w:r>
      <w:proofErr w:type="gramStart"/>
      <w:r w:rsidRPr="00C52AE2">
        <w:rPr>
          <w:sz w:val="14"/>
          <w:szCs w:val="16"/>
        </w:rPr>
        <w:t>so as to</w:t>
      </w:r>
      <w:proofErr w:type="gramEnd"/>
      <w:r w:rsidRPr="00C52AE2">
        <w:rPr>
          <w:sz w:val="14"/>
          <w:szCs w:val="16"/>
        </w:rPr>
        <w:t xml:space="preserve"> decide which fragments should be removed first. Art. II and III of the Registration Convention provide that space objects </w:t>
      </w:r>
      <w:proofErr w:type="gramStart"/>
      <w:r w:rsidRPr="00C52AE2">
        <w:rPr>
          <w:sz w:val="14"/>
          <w:szCs w:val="16"/>
        </w:rPr>
        <w:t>have to</w:t>
      </w:r>
      <w:proofErr w:type="gramEnd"/>
      <w:r w:rsidRPr="00C52AE2">
        <w:rPr>
          <w:sz w:val="14"/>
          <w:szCs w:val="16"/>
        </w:rPr>
        <w:t xml:space="preserve">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w:t>
      </w:r>
      <w:proofErr w:type="gramStart"/>
      <w:r w:rsidRPr="00C52AE2">
        <w:rPr>
          <w:sz w:val="14"/>
          <w:szCs w:val="16"/>
        </w:rPr>
        <w:t>apogee</w:t>
      </w:r>
      <w:proofErr w:type="gramEnd"/>
      <w:r w:rsidRPr="00C52AE2">
        <w:rPr>
          <w:sz w:val="14"/>
          <w:szCs w:val="16"/>
        </w:rPr>
        <w:t xml:space="preserve"> and perigee) are provided. However, these elements do not provide for the functionality and </w:t>
      </w:r>
      <w:proofErr w:type="gramStart"/>
      <w:r w:rsidRPr="00C52AE2">
        <w:rPr>
          <w:sz w:val="14"/>
          <w:szCs w:val="16"/>
        </w:rPr>
        <w:t>current status</w:t>
      </w:r>
      <w:proofErr w:type="gramEnd"/>
      <w:r w:rsidRPr="00C52AE2">
        <w:rPr>
          <w:sz w:val="14"/>
          <w:szCs w:val="16"/>
        </w:rPr>
        <w:t xml:space="preserve">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w:t>
      </w:r>
      <w:proofErr w:type="gramStart"/>
      <w:r w:rsidRPr="00C52AE2">
        <w:rPr>
          <w:sz w:val="14"/>
          <w:szCs w:val="16"/>
        </w:rPr>
        <w:t>the majority of</w:t>
      </w:r>
      <w:proofErr w:type="gramEnd"/>
      <w:r w:rsidRPr="00C52AE2">
        <w:rPr>
          <w:sz w:val="14"/>
          <w:szCs w:val="16"/>
        </w:rPr>
        <w:t xml:space="preserve">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w:t>
      </w:r>
      <w:r w:rsidRPr="00C52AE2">
        <w:rPr>
          <w:sz w:val="14"/>
          <w:szCs w:val="16"/>
        </w:rPr>
        <w:lastRenderedPageBreak/>
        <w:t xml:space="preserve">the possibility to technically control the satellite lies within the state registry. </w:t>
      </w:r>
      <w:proofErr w:type="gramStart"/>
      <w:r w:rsidRPr="00C52AE2">
        <w:rPr>
          <w:sz w:val="14"/>
          <w:szCs w:val="16"/>
        </w:rPr>
        <w:t>As a consequence</w:t>
      </w:r>
      <w:proofErr w:type="gramEnd"/>
      <w:r w:rsidRPr="00C52AE2">
        <w:rPr>
          <w:sz w:val="14"/>
          <w:szCs w:val="16"/>
        </w:rPr>
        <w:t xml:space="preserve">, registered space objects can only be subjected to SDR by the state registry itself or with its permission. Another relevant question is how to gain authorization to remove in cases where, for example, the state or registry neither consents to undertake the removal </w:t>
      </w:r>
      <w:proofErr w:type="gramStart"/>
      <w:r w:rsidRPr="00C52AE2">
        <w:rPr>
          <w:sz w:val="14"/>
          <w:szCs w:val="16"/>
        </w:rPr>
        <w:t>not does</w:t>
      </w:r>
      <w:proofErr w:type="gramEnd"/>
      <w:r w:rsidRPr="00C52AE2">
        <w:rPr>
          <w:sz w:val="14"/>
          <w:szCs w:val="16"/>
        </w:rPr>
        <w:t xml:space="preserve">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w:t>
      </w:r>
      <w:proofErr w:type="gramStart"/>
      <w:r w:rsidRPr="00C52AE2">
        <w:rPr>
          <w:sz w:val="14"/>
          <w:szCs w:val="16"/>
        </w:rPr>
        <w:t>as a whole have</w:t>
      </w:r>
      <w:proofErr w:type="gramEnd"/>
      <w:r w:rsidRPr="00C52AE2">
        <w:rPr>
          <w:sz w:val="14"/>
          <w:szCs w:val="16"/>
        </w:rPr>
        <w:t xml:space="preserve"> been recognized by the International Law Commission (ILC) as a ground to invoke necessity. The International Court of Justice, in the Gabčíkovo-Nagymaros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w:t>
      </w:r>
      <w:proofErr w:type="gramStart"/>
      <w:r w:rsidRPr="00C52AE2">
        <w:rPr>
          <w:sz w:val="14"/>
          <w:szCs w:val="16"/>
        </w:rPr>
        <w:t>in order to</w:t>
      </w:r>
      <w:proofErr w:type="gramEnd"/>
      <w:r w:rsidRPr="00C52AE2">
        <w:rPr>
          <w:sz w:val="14"/>
          <w:szCs w:val="16"/>
        </w:rPr>
        <w:t xml:space="preserve">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w:t>
      </w:r>
      <w:proofErr w:type="gramStart"/>
      <w:r w:rsidRPr="00C52AE2">
        <w:rPr>
          <w:sz w:val="14"/>
          <w:szCs w:val="16"/>
        </w:rPr>
        <w:t>have to</w:t>
      </w:r>
      <w:proofErr w:type="gramEnd"/>
      <w:r w:rsidRPr="00C52AE2">
        <w:rPr>
          <w:sz w:val="14"/>
          <w:szCs w:val="16"/>
        </w:rPr>
        <w:t xml:space="preserve">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w:t>
      </w:r>
      <w:proofErr w:type="gramStart"/>
      <w:r w:rsidRPr="00C52AE2">
        <w:rPr>
          <w:sz w:val="14"/>
          <w:szCs w:val="16"/>
        </w:rPr>
        <w:t>as long as</w:t>
      </w:r>
      <w:proofErr w:type="gramEnd"/>
      <w:r w:rsidRPr="00C52AE2">
        <w:rPr>
          <w:sz w:val="14"/>
          <w:szCs w:val="16"/>
        </w:rPr>
        <w:t xml:space="preserve">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w:t>
      </w:r>
      <w:proofErr w:type="gramStart"/>
      <w:r w:rsidRPr="00C52AE2">
        <w:rPr>
          <w:sz w:val="14"/>
          <w:szCs w:val="16"/>
        </w:rPr>
        <w:t>have to</w:t>
      </w:r>
      <w:proofErr w:type="gramEnd"/>
      <w:r w:rsidRPr="00C52AE2">
        <w:rPr>
          <w:sz w:val="14"/>
          <w:szCs w:val="16"/>
        </w:rPr>
        <w:t xml:space="preserve">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w:t>
      </w:r>
      <w:proofErr w:type="gramStart"/>
      <w:r w:rsidRPr="00C52AE2">
        <w:rPr>
          <w:sz w:val="14"/>
          <w:szCs w:val="16"/>
        </w:rPr>
        <w:t>purchaser</w:t>
      </w:r>
      <w:proofErr w:type="gramEnd"/>
      <w:r w:rsidRPr="00C52AE2">
        <w:rPr>
          <w:sz w:val="14"/>
          <w:szCs w:val="16"/>
        </w:rPr>
        <w:t xml:space="preserve">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t>
      </w:r>
      <w:proofErr w:type="gramStart"/>
      <w:r w:rsidRPr="00C52AE2">
        <w:rPr>
          <w:sz w:val="14"/>
          <w:szCs w:val="16"/>
        </w:rPr>
        <w:t>with regard to</w:t>
      </w:r>
      <w:proofErr w:type="gramEnd"/>
      <w:r w:rsidRPr="00C52AE2">
        <w:rPr>
          <w:sz w:val="14"/>
          <w:szCs w:val="16"/>
        </w:rPr>
        <w:t xml:space="preserve">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w:t>
      </w:r>
      <w:proofErr w:type="gramStart"/>
      <w:r w:rsidRPr="00C52AE2">
        <w:rPr>
          <w:sz w:val="14"/>
          <w:szCs w:val="16"/>
        </w:rPr>
        <w:t>debris</w:t>
      </w:r>
      <w:proofErr w:type="gramEnd"/>
      <w:r w:rsidRPr="00C52AE2">
        <w:rPr>
          <w:sz w:val="14"/>
          <w:szCs w:val="16"/>
        </w:rPr>
        <w:t xml:space="preserve">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organisations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w:t>
      </w:r>
      <w:proofErr w:type="gramStart"/>
      <w:r w:rsidRPr="00C52AE2">
        <w:rPr>
          <w:sz w:val="14"/>
          <w:szCs w:val="16"/>
        </w:rPr>
        <w:t>be considered to be</w:t>
      </w:r>
      <w:proofErr w:type="gramEnd"/>
      <w:r w:rsidRPr="00C52AE2">
        <w:rPr>
          <w:sz w:val="14"/>
          <w:szCs w:val="16"/>
        </w:rPr>
        <w:t xml:space="preserv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organisation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w:t>
      </w:r>
      <w:r w:rsidRPr="00C52AE2">
        <w:rPr>
          <w:sz w:val="14"/>
        </w:rPr>
        <w:t xml:space="preserve">Summarizing, </w:t>
      </w:r>
      <w:r w:rsidRPr="00C52AE2">
        <w:rPr>
          <w:rStyle w:val="StyleUnderline"/>
        </w:rPr>
        <w:t xml:space="preserve">the Space Debris Mitigation Guidelines and other related instruments for the protection of the outer space environment </w:t>
      </w:r>
      <w:r w:rsidRPr="00C52AE2">
        <w:rPr>
          <w:rStyle w:val="StyleUnderline"/>
        </w:rPr>
        <w:lastRenderedPageBreak/>
        <w:t xml:space="preserve">from space debris depict environmentally relevant technical measures for future missions. </w:t>
      </w:r>
      <w:r w:rsidRPr="00C52AE2">
        <w:rPr>
          <w:sz w:val="14"/>
        </w:rPr>
        <w:t xml:space="preserve">As </w:t>
      </w:r>
      <w:r w:rsidRPr="00C52AE2">
        <w:rPr>
          <w:rStyle w:val="StyleUnderline"/>
        </w:rPr>
        <w:t>these instruments are not legally binding, they do not create rules of international law</w:t>
      </w:r>
      <w:r w:rsidRPr="00C52AE2">
        <w:rPr>
          <w:sz w:val="14"/>
        </w:rPr>
        <w:t xml:space="preserve">, the violation or non-observation of which would give rise to an international responsibility of states for creating or for not mitigating space debris. Thus, </w:t>
      </w:r>
      <w:r w:rsidRPr="00C52AE2">
        <w:rPr>
          <w:rStyle w:val="StyleUnderline"/>
        </w:rPr>
        <w:t>compliance with such measures is only of a voluntary nature and cannot be legally enforc</w:t>
      </w:r>
      <w:r w:rsidRPr="00C52AE2">
        <w:rPr>
          <w:sz w:val="1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C52AE2">
        <w:rPr>
          <w:rStyle w:val="StyleUnderline"/>
        </w:rPr>
        <w:t xml:space="preserve">these non-binding instruments </w:t>
      </w:r>
      <w:r w:rsidRPr="00C52AE2">
        <w:rPr>
          <w:sz w:val="14"/>
        </w:rPr>
        <w:t xml:space="preserve">do not fully lack relevance as they </w:t>
      </w:r>
      <w:r w:rsidRPr="00C52AE2">
        <w:rPr>
          <w:rStyle w:val="StyleUnderline"/>
        </w:rPr>
        <w:t xml:space="preserve">can serve as a model for the development of national space laws which impose concrete obligations for implementing mitigation measures on private space actors. </w:t>
      </w:r>
      <w:r w:rsidRPr="00C52AE2">
        <w:rPr>
          <w:sz w:val="14"/>
        </w:rPr>
        <w:t xml:space="preserve">Moreover, these instruments can also be seen as an expression of the willingness of the international community to formulate, even if only on a voluntary basis, certain technical standards for space activities </w:t>
      </w:r>
      <w:proofErr w:type="gramStart"/>
      <w:r w:rsidRPr="00C52AE2">
        <w:rPr>
          <w:sz w:val="14"/>
        </w:rPr>
        <w:t>in order to</w:t>
      </w:r>
      <w:proofErr w:type="gramEnd"/>
      <w:r w:rsidRPr="00C52AE2">
        <w:rPr>
          <w:sz w:val="14"/>
        </w:rPr>
        <w:t xml:space="preserve">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w:t>
      </w:r>
      <w:proofErr w:type="gramStart"/>
      <w:r w:rsidRPr="00C52AE2">
        <w:rPr>
          <w:sz w:val="14"/>
        </w:rPr>
        <w:t>Spain</w:t>
      </w:r>
      <w:proofErr w:type="gramEnd"/>
      <w:r w:rsidRPr="00C52AE2">
        <w:rPr>
          <w:sz w:val="14"/>
        </w:rPr>
        <w:t xml:space="preserve">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C52AE2">
        <w:rPr>
          <w:rStyle w:val="StyleUnderline"/>
        </w:rPr>
        <w:t>SDR and OOS measures could be implemented nationally as part of authorization or licensing requirements. This has already been the case with the national adherence to space debris mitigation guidelines</w:t>
      </w:r>
      <w:r w:rsidRPr="00C52AE2">
        <w:rPr>
          <w:sz w:val="14"/>
        </w:rPr>
        <w:t xml:space="preserve">. Thus, certain conditions can be prescribed to operators in space legislation: the legal basis for prescribing such conditions is Art VI of the OST which gives a “mandate” to states to authorize activities while, according to Art. IX of the OST, </w:t>
      </w:r>
      <w:proofErr w:type="gramStart"/>
      <w:r w:rsidRPr="00C52AE2">
        <w:rPr>
          <w:sz w:val="14"/>
        </w:rPr>
        <w:t>taking into account</w:t>
      </w:r>
      <w:proofErr w:type="gramEnd"/>
      <w:r w:rsidRPr="00C52AE2">
        <w:rPr>
          <w:sz w:val="14"/>
        </w:rPr>
        <w:t xml:space="preserve">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5C95E2C" w:rsidR="003D0B77" w:rsidRDefault="003D0B77" w:rsidP="003461A7">
      <w:pPr>
        <w:pStyle w:val="Heading4"/>
      </w:pPr>
      <w:r>
        <w:t xml:space="preserve">Scenario 1: </w:t>
      </w:r>
      <w:r w:rsidR="00F55C19">
        <w:t xml:space="preserve">Solar Storms </w:t>
      </w:r>
    </w:p>
    <w:p w14:paraId="68DCE9D8" w14:textId="58555239" w:rsidR="00F55C19" w:rsidRPr="001D068D" w:rsidRDefault="00F55C19" w:rsidP="00F55C19">
      <w:pPr>
        <w:pStyle w:val="Heading4"/>
        <w:spacing w:before="0"/>
        <w:rPr>
          <w:rFonts w:ascii="Times New Roman" w:hAnsi="Times New Roman" w:cs="Times New Roman"/>
        </w:rPr>
      </w:pPr>
      <w:r>
        <w:rPr>
          <w:rFonts w:cs="Calibri"/>
          <w:szCs w:val="26"/>
        </w:rPr>
        <w:t xml:space="preserve">Stable satellites are </w:t>
      </w:r>
      <w:r>
        <w:rPr>
          <w:rFonts w:cs="Calibri"/>
          <w:szCs w:val="26"/>
        </w:rPr>
        <w:t xml:space="preserve">key to solving </w:t>
      </w:r>
      <w:r w:rsidRPr="00B925CA">
        <w:rPr>
          <w:rFonts w:cs="Calibri"/>
          <w:szCs w:val="26"/>
          <w:u w:val="single"/>
        </w:rPr>
        <w:t>grid collapse</w:t>
      </w:r>
      <w:r>
        <w:rPr>
          <w:rFonts w:cs="Calibri"/>
          <w:szCs w:val="26"/>
        </w:rPr>
        <w:t xml:space="preserve"> from </w:t>
      </w:r>
      <w:r w:rsidRPr="00B925CA">
        <w:rPr>
          <w:rFonts w:cs="Calibri"/>
          <w:szCs w:val="26"/>
          <w:u w:val="single"/>
        </w:rPr>
        <w:t>solar storms</w:t>
      </w:r>
    </w:p>
    <w:p w14:paraId="7E03EA58" w14:textId="77777777" w:rsidR="00F55C19" w:rsidRDefault="00F55C19" w:rsidP="00F55C19">
      <w:pPr>
        <w:spacing w:before="15" w:after="180"/>
      </w:pPr>
      <w:r>
        <w:rPr>
          <w:b/>
          <w:bCs/>
          <w:sz w:val="26"/>
          <w:szCs w:val="26"/>
        </w:rPr>
        <w:t>Boyle, 17</w:t>
      </w:r>
      <w:r>
        <w:t> (</w:t>
      </w:r>
      <w:r w:rsidRPr="005D4184">
        <w:t>Rebecca Boyle is an award-winning freelance journalist for The Atlantic and FiveThirtyEight and has twice been anthologized in the Best American Science &amp; Nature Writing</w:t>
      </w:r>
      <w:r>
        <w:t xml:space="preserve">, 6-14-2017, accessed on 9-20-2021, NBC News, "How We'll Safeguard Earth </w:t>
      </w:r>
      <w:proofErr w:type="gramStart"/>
      <w:r>
        <w:t>From</w:t>
      </w:r>
      <w:proofErr w:type="gramEnd"/>
      <w:r>
        <w:t xml:space="preserve"> a Solar Storm Catastrophe", https://www.nbcnews.com/mach/space/how-we-ll-safeguard-earth-solar-storm-catastrophe-n760021, HBisevac)</w:t>
      </w:r>
    </w:p>
    <w:p w14:paraId="77421ADE" w14:textId="77777777" w:rsidR="00F55C19" w:rsidRDefault="00F55C19" w:rsidP="00F55C19">
      <w:pPr>
        <w:pStyle w:val="NormalWeb"/>
        <w:spacing w:before="15" w:beforeAutospacing="0" w:after="180" w:afterAutospacing="0" w:line="300" w:lineRule="atLeast"/>
        <w:rPr>
          <w:rFonts w:ascii="Calibri" w:hAnsi="Calibri" w:cs="Calibri"/>
          <w:b/>
          <w:bCs/>
          <w:sz w:val="22"/>
          <w:szCs w:val="22"/>
          <w:u w:val="single"/>
        </w:rPr>
      </w:pPr>
      <w:r w:rsidRPr="00D80E74">
        <w:rPr>
          <w:rFonts w:ascii="Calibri" w:hAnsi="Calibri" w:cs="Calibri"/>
          <w:sz w:val="16"/>
          <w:szCs w:val="22"/>
        </w:rPr>
        <w:t xml:space="preserve">From the fabric of the global economy to families planning tonight’s dinner, communications networks — and the </w:t>
      </w:r>
      <w:r w:rsidRPr="009F5DCA">
        <w:rPr>
          <w:rFonts w:ascii="Calibri" w:hAnsi="Calibri" w:cs="Calibri"/>
          <w:sz w:val="22"/>
          <w:szCs w:val="22"/>
          <w:u w:val="single"/>
        </w:rPr>
        <w:t xml:space="preserve">power </w:t>
      </w:r>
      <w:r w:rsidRPr="00311442">
        <w:rPr>
          <w:rFonts w:ascii="Calibri" w:hAnsi="Calibri" w:cs="Calibri"/>
          <w:sz w:val="22"/>
          <w:szCs w:val="22"/>
          <w:u w:val="single"/>
        </w:rPr>
        <w:t>grid</w:t>
      </w:r>
      <w:r w:rsidRPr="00D80E74">
        <w:rPr>
          <w:rFonts w:ascii="Calibri" w:hAnsi="Calibri" w:cs="Calibri"/>
          <w:sz w:val="16"/>
          <w:szCs w:val="22"/>
        </w:rPr>
        <w:t xml:space="preserve"> that underlies them — are wo</w:t>
      </w:r>
      <w:r w:rsidRPr="009F5DCA">
        <w:rPr>
          <w:rFonts w:ascii="Calibri" w:hAnsi="Calibri" w:cs="Calibri"/>
          <w:sz w:val="22"/>
          <w:szCs w:val="22"/>
          <w:u w:val="single"/>
        </w:rPr>
        <w:t xml:space="preserve">ven more tightly through our lives than ever before. But those </w:t>
      </w:r>
      <w:r w:rsidRPr="00311442">
        <w:rPr>
          <w:rFonts w:ascii="Calibri" w:hAnsi="Calibri" w:cs="Calibri"/>
          <w:sz w:val="22"/>
          <w:szCs w:val="22"/>
          <w:highlight w:val="green"/>
          <w:u w:val="single"/>
        </w:rPr>
        <w:t>networks</w:t>
      </w:r>
      <w:r w:rsidRPr="009F5DCA">
        <w:rPr>
          <w:rFonts w:ascii="Calibri" w:hAnsi="Calibri" w:cs="Calibri"/>
          <w:sz w:val="22"/>
          <w:szCs w:val="22"/>
          <w:u w:val="single"/>
        </w:rPr>
        <w:t xml:space="preserve"> all could be </w:t>
      </w:r>
      <w:r w:rsidRPr="00311442">
        <w:rPr>
          <w:rFonts w:ascii="Calibri" w:hAnsi="Calibri" w:cs="Calibri"/>
          <w:b/>
          <w:bCs/>
          <w:sz w:val="22"/>
          <w:szCs w:val="22"/>
          <w:highlight w:val="green"/>
          <w:u w:val="single"/>
        </w:rPr>
        <w:t>gone in a flash</w:t>
      </w:r>
      <w:r w:rsidRPr="00311442">
        <w:rPr>
          <w:rFonts w:ascii="Calibri" w:hAnsi="Calibri" w:cs="Calibri"/>
          <w:sz w:val="22"/>
          <w:szCs w:val="22"/>
          <w:highlight w:val="green"/>
          <w:u w:val="single"/>
        </w:rPr>
        <w:t xml:space="preserve">. A </w:t>
      </w:r>
      <w:r w:rsidRPr="00311442">
        <w:rPr>
          <w:rFonts w:ascii="Calibri" w:hAnsi="Calibri" w:cs="Calibri"/>
          <w:b/>
          <w:bCs/>
          <w:sz w:val="22"/>
          <w:szCs w:val="22"/>
          <w:highlight w:val="green"/>
          <w:u w:val="single"/>
        </w:rPr>
        <w:t>geomagnetic</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storm</w:t>
      </w:r>
      <w:r w:rsidRPr="00311442">
        <w:rPr>
          <w:rFonts w:ascii="Calibri" w:hAnsi="Calibri" w:cs="Calibri"/>
          <w:sz w:val="22"/>
          <w:szCs w:val="22"/>
          <w:highlight w:val="green"/>
          <w:u w:val="single"/>
        </w:rPr>
        <w:t xml:space="preserve"> triggered by a </w:t>
      </w:r>
      <w:r w:rsidRPr="00311442">
        <w:rPr>
          <w:rFonts w:ascii="Calibri" w:hAnsi="Calibri" w:cs="Calibri"/>
          <w:b/>
          <w:bCs/>
          <w:sz w:val="22"/>
          <w:szCs w:val="22"/>
          <w:highlight w:val="green"/>
          <w:u w:val="single"/>
        </w:rPr>
        <w:t>burst of solar</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energy</w:t>
      </w:r>
      <w:r w:rsidRPr="009F5DCA">
        <w:rPr>
          <w:rFonts w:ascii="Calibri" w:hAnsi="Calibri" w:cs="Calibri"/>
          <w:sz w:val="22"/>
          <w:szCs w:val="22"/>
          <w:u w:val="single"/>
        </w:rPr>
        <w:t xml:space="preserve"> could </w:t>
      </w:r>
      <w:r w:rsidRPr="00311442">
        <w:rPr>
          <w:rFonts w:ascii="Calibri" w:hAnsi="Calibri" w:cs="Calibri"/>
          <w:sz w:val="22"/>
          <w:szCs w:val="22"/>
          <w:highlight w:val="green"/>
          <w:u w:val="single"/>
        </w:rPr>
        <w:t xml:space="preserve">overwhelm the </w:t>
      </w:r>
      <w:r w:rsidRPr="00311442">
        <w:rPr>
          <w:rFonts w:ascii="Calibri" w:hAnsi="Calibri" w:cs="Calibri"/>
          <w:sz w:val="22"/>
          <w:szCs w:val="22"/>
          <w:u w:val="single"/>
        </w:rPr>
        <w:t xml:space="preserve">nation’s power </w:t>
      </w:r>
      <w:r w:rsidRPr="00311442">
        <w:rPr>
          <w:rFonts w:ascii="Calibri" w:hAnsi="Calibri" w:cs="Calibri"/>
          <w:sz w:val="22"/>
          <w:szCs w:val="22"/>
          <w:highlight w:val="green"/>
          <w:u w:val="single"/>
        </w:rPr>
        <w:t>grid</w:t>
      </w:r>
      <w:r w:rsidRPr="009F5DCA">
        <w:rPr>
          <w:rFonts w:ascii="Calibri" w:hAnsi="Calibri" w:cs="Calibri"/>
          <w:sz w:val="22"/>
          <w:szCs w:val="22"/>
          <w:u w:val="single"/>
        </w:rPr>
        <w:t xml:space="preserve"> and shut down cell towers and communication networks</w:t>
      </w:r>
      <w:r w:rsidRPr="00D80E74">
        <w:rPr>
          <w:rFonts w:ascii="Calibri" w:hAnsi="Calibri" w:cs="Calibri"/>
          <w:sz w:val="16"/>
          <w:szCs w:val="22"/>
        </w:rPr>
        <w:t xml:space="preserve">. Similarly, a human-built electromagnetic pulse (EMP) weapon could temporarily wipe out the networks that connect and sustain us. This would be much worse than a power outage: Along with the lights, information itself would be blacked out. </w:t>
      </w:r>
      <w:r w:rsidRPr="009F5DCA">
        <w:rPr>
          <w:rFonts w:ascii="Calibri" w:hAnsi="Calibri" w:cs="Calibri"/>
          <w:sz w:val="22"/>
          <w:szCs w:val="22"/>
          <w:u w:val="single"/>
        </w:rPr>
        <w:t xml:space="preserve">Experts are not taking this lightly. From </w:t>
      </w:r>
      <w:r w:rsidRPr="009F5DCA">
        <w:rPr>
          <w:rFonts w:ascii="Calibri" w:hAnsi="Calibri" w:cs="Calibri"/>
          <w:b/>
          <w:bCs/>
          <w:sz w:val="22"/>
          <w:szCs w:val="22"/>
          <w:u w:val="single"/>
        </w:rPr>
        <w:t>space-based research about the sun's energy</w:t>
      </w:r>
      <w:r w:rsidRPr="009F5DCA">
        <w:rPr>
          <w:rFonts w:ascii="Calibri" w:hAnsi="Calibri" w:cs="Calibri"/>
          <w:sz w:val="22"/>
          <w:szCs w:val="22"/>
          <w:u w:val="single"/>
        </w:rPr>
        <w:t xml:space="preserve"> to new efforts that could safeguard power stations against an attack</w:t>
      </w:r>
      <w:r w:rsidRPr="00D80E74">
        <w:rPr>
          <w:rFonts w:ascii="Calibri" w:hAnsi="Calibri" w:cs="Calibri"/>
          <w:sz w:val="16"/>
          <w:szCs w:val="22"/>
        </w:rPr>
        <w:t xml:space="preserve">, science is fighting back to keep our connections open. Occasionally, </w:t>
      </w:r>
      <w:r w:rsidRPr="009F5DCA">
        <w:rPr>
          <w:rFonts w:ascii="Calibri" w:hAnsi="Calibri" w:cs="Calibri"/>
          <w:sz w:val="22"/>
          <w:szCs w:val="22"/>
          <w:u w:val="single"/>
        </w:rPr>
        <w:t xml:space="preserve">the </w:t>
      </w:r>
      <w:r w:rsidRPr="00311442">
        <w:rPr>
          <w:rFonts w:ascii="Calibri" w:hAnsi="Calibri" w:cs="Calibri"/>
          <w:sz w:val="22"/>
          <w:szCs w:val="22"/>
          <w:u w:val="single"/>
        </w:rPr>
        <w:t>sun unleashes pent-up energy in the</w:t>
      </w:r>
      <w:r w:rsidRPr="009F5DCA">
        <w:rPr>
          <w:rFonts w:ascii="Calibri" w:hAnsi="Calibri" w:cs="Calibri"/>
          <w:sz w:val="22"/>
          <w:szCs w:val="22"/>
          <w:u w:val="single"/>
        </w:rPr>
        <w:t xml:space="preserve"> form of a solar flare or a coronal mass ejection</w:t>
      </w:r>
      <w:r w:rsidRPr="00D80E74">
        <w:rPr>
          <w:rFonts w:ascii="Calibri" w:hAnsi="Calibri" w:cs="Calibri"/>
          <w:sz w:val="16"/>
          <w:szCs w:val="22"/>
        </w:rPr>
        <w:t xml:space="preserve"> (CME), </w:t>
      </w:r>
      <w:r w:rsidRPr="009F5DCA">
        <w:rPr>
          <w:rFonts w:ascii="Calibri" w:hAnsi="Calibri" w:cs="Calibri"/>
          <w:sz w:val="22"/>
          <w:szCs w:val="22"/>
          <w:u w:val="single"/>
        </w:rPr>
        <w:t xml:space="preserve">which is a blast of plasma. </w:t>
      </w:r>
      <w:r w:rsidRPr="00311442">
        <w:rPr>
          <w:rFonts w:ascii="Calibri" w:hAnsi="Calibri" w:cs="Calibri"/>
          <w:b/>
          <w:bCs/>
          <w:sz w:val="22"/>
          <w:szCs w:val="22"/>
          <w:highlight w:val="green"/>
          <w:u w:val="single"/>
        </w:rPr>
        <w:t>Satellite data</w:t>
      </w:r>
      <w:r w:rsidRPr="00311442">
        <w:rPr>
          <w:rFonts w:ascii="Calibri" w:hAnsi="Calibri" w:cs="Calibri"/>
          <w:sz w:val="22"/>
          <w:szCs w:val="22"/>
          <w:highlight w:val="green"/>
          <w:u w:val="single"/>
        </w:rPr>
        <w:t xml:space="preserve"> helps scientists </w:t>
      </w:r>
      <w:r w:rsidRPr="00311442">
        <w:rPr>
          <w:rFonts w:ascii="Calibri" w:hAnsi="Calibri" w:cs="Calibri"/>
          <w:b/>
          <w:bCs/>
          <w:sz w:val="22"/>
          <w:szCs w:val="22"/>
          <w:highlight w:val="green"/>
          <w:u w:val="single"/>
        </w:rPr>
        <w:t>predict these solar eruptions</w:t>
      </w:r>
      <w:r w:rsidRPr="00D80E74">
        <w:rPr>
          <w:rFonts w:ascii="Calibri" w:hAnsi="Calibri" w:cs="Calibri"/>
          <w:sz w:val="16"/>
          <w:szCs w:val="22"/>
        </w:rPr>
        <w:t xml:space="preserve">, but there are still plenty of questions about how the sun works; answering them would improve forecasts of space weather. </w:t>
      </w:r>
      <w:r w:rsidRPr="009F5DCA">
        <w:rPr>
          <w:rFonts w:ascii="Calibri" w:hAnsi="Calibri" w:cs="Calibri"/>
          <w:sz w:val="22"/>
          <w:szCs w:val="22"/>
          <w:u w:val="single"/>
        </w:rPr>
        <w:t xml:space="preserve">Earth’s magnetic field protects us against the sun’s firehose of energy, but sometimes the sun overpowers the planet’s defenses. When that happens, </w:t>
      </w:r>
      <w:r w:rsidRPr="00311442">
        <w:rPr>
          <w:rFonts w:ascii="Calibri" w:hAnsi="Calibri" w:cs="Calibri"/>
          <w:sz w:val="22"/>
          <w:szCs w:val="22"/>
          <w:highlight w:val="green"/>
          <w:u w:val="single"/>
        </w:rPr>
        <w:t>solar radiation heats the upper</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atmosphere and charges it with electricity</w:t>
      </w:r>
      <w:r w:rsidRPr="00D80E74">
        <w:rPr>
          <w:rFonts w:ascii="Calibri" w:hAnsi="Calibri" w:cs="Calibri"/>
          <w:sz w:val="16"/>
          <w:szCs w:val="22"/>
        </w:rPr>
        <w:t xml:space="preserve">, which is what causes auroras at the northern and southern poles. </w:t>
      </w:r>
      <w:r w:rsidRPr="009F5DCA">
        <w:rPr>
          <w:rFonts w:ascii="Calibri" w:hAnsi="Calibri" w:cs="Calibri"/>
          <w:sz w:val="22"/>
          <w:szCs w:val="22"/>
          <w:u w:val="single"/>
        </w:rPr>
        <w:t xml:space="preserve"> When the coronal mass ejection arrives a day or so later, it interacts with </w:t>
      </w:r>
      <w:r w:rsidRPr="00311442">
        <w:rPr>
          <w:rFonts w:ascii="Calibri" w:hAnsi="Calibri" w:cs="Calibri"/>
          <w:sz w:val="22"/>
          <w:szCs w:val="22"/>
          <w:highlight w:val="green"/>
          <w:u w:val="single"/>
        </w:rPr>
        <w:t>and dramatically changes Earth’s magnetic</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field</w:t>
      </w:r>
      <w:r w:rsidRPr="00D80E74">
        <w:rPr>
          <w:rFonts w:ascii="Calibri" w:hAnsi="Calibri" w:cs="Calibri"/>
          <w:sz w:val="16"/>
          <w:szCs w:val="22"/>
        </w:rPr>
        <w:t xml:space="preserve">, explains Thomas Berger, a solar physicist in Boulder, Colo., home of NOAA’s Space Weather Prediction Center. </w:t>
      </w:r>
      <w:r w:rsidRPr="009F5DCA">
        <w:rPr>
          <w:rFonts w:ascii="Calibri" w:hAnsi="Calibri" w:cs="Calibri"/>
          <w:sz w:val="22"/>
          <w:szCs w:val="22"/>
          <w:u w:val="single"/>
        </w:rPr>
        <w:t xml:space="preserve">The </w:t>
      </w:r>
      <w:r w:rsidRPr="00311442">
        <w:rPr>
          <w:rFonts w:ascii="Calibri" w:hAnsi="Calibri" w:cs="Calibri"/>
          <w:sz w:val="22"/>
          <w:szCs w:val="22"/>
          <w:highlight w:val="green"/>
          <w:u w:val="single"/>
        </w:rPr>
        <w:t xml:space="preserve">atmosphere’s uppermost layer </w:t>
      </w:r>
      <w:r w:rsidRPr="00B45E49">
        <w:rPr>
          <w:rFonts w:ascii="Calibri" w:hAnsi="Calibri" w:cs="Calibri"/>
          <w:sz w:val="22"/>
          <w:szCs w:val="22"/>
          <w:u w:val="single"/>
        </w:rPr>
        <w:t>is already warmer</w:t>
      </w:r>
      <w:r w:rsidRPr="009F5DCA">
        <w:rPr>
          <w:rFonts w:ascii="Calibri" w:hAnsi="Calibri" w:cs="Calibri"/>
          <w:sz w:val="22"/>
          <w:szCs w:val="22"/>
          <w:u w:val="single"/>
        </w:rPr>
        <w:t xml:space="preserve">, and </w:t>
      </w:r>
      <w:r w:rsidRPr="00B45E49">
        <w:rPr>
          <w:rFonts w:ascii="Calibri" w:hAnsi="Calibri" w:cs="Calibri"/>
          <w:sz w:val="22"/>
          <w:szCs w:val="22"/>
          <w:u w:val="single"/>
        </w:rPr>
        <w:t>now</w:t>
      </w:r>
      <w:r w:rsidRPr="009F5DCA">
        <w:rPr>
          <w:rFonts w:ascii="Calibri" w:hAnsi="Calibri" w:cs="Calibri"/>
          <w:sz w:val="22"/>
          <w:szCs w:val="22"/>
          <w:u w:val="single"/>
        </w:rPr>
        <w:t xml:space="preserve"> it’s </w:t>
      </w:r>
      <w:r w:rsidRPr="00B45E49">
        <w:rPr>
          <w:rFonts w:ascii="Calibri" w:hAnsi="Calibri" w:cs="Calibri"/>
          <w:sz w:val="22"/>
          <w:szCs w:val="22"/>
          <w:highlight w:val="green"/>
          <w:u w:val="single"/>
        </w:rPr>
        <w:t>battling a cloud of plasma that creates currents in the atmosphere and on the ground</w:t>
      </w:r>
      <w:r w:rsidRPr="00B45E49">
        <w:rPr>
          <w:rFonts w:ascii="Calibri" w:hAnsi="Calibri" w:cs="Calibri"/>
          <w:sz w:val="22"/>
          <w:szCs w:val="22"/>
          <w:u w:val="single"/>
        </w:rPr>
        <w:t xml:space="preserve">. </w:t>
      </w:r>
      <w:r w:rsidRPr="00D80E74">
        <w:rPr>
          <w:rFonts w:ascii="Calibri" w:hAnsi="Calibri" w:cs="Calibri"/>
          <w:sz w:val="16"/>
          <w:szCs w:val="22"/>
        </w:rPr>
        <w:t>“</w:t>
      </w:r>
      <w:r w:rsidRPr="00B45E49">
        <w:rPr>
          <w:rFonts w:ascii="Calibri" w:hAnsi="Calibri" w:cs="Calibri"/>
          <w:sz w:val="22"/>
          <w:szCs w:val="22"/>
          <w:u w:val="single"/>
        </w:rPr>
        <w:t>That’s when the power</w:t>
      </w:r>
      <w:r w:rsidRPr="009F5DCA">
        <w:rPr>
          <w:rFonts w:ascii="Calibri" w:hAnsi="Calibri" w:cs="Calibri"/>
          <w:sz w:val="22"/>
          <w:szCs w:val="22"/>
          <w:u w:val="single"/>
        </w:rPr>
        <w:t xml:space="preserve"> grids start to feel things</w:t>
      </w:r>
      <w:r w:rsidRPr="00D80E74">
        <w:rPr>
          <w:rFonts w:ascii="Calibri" w:hAnsi="Calibri" w:cs="Calibri"/>
          <w:sz w:val="16"/>
          <w:szCs w:val="22"/>
        </w:rPr>
        <w:t>," Berger says. "W</w:t>
      </w:r>
      <w:r w:rsidRPr="00B45E49">
        <w:rPr>
          <w:rFonts w:ascii="Calibri" w:hAnsi="Calibri" w:cs="Calibri"/>
          <w:sz w:val="22"/>
          <w:szCs w:val="22"/>
          <w:highlight w:val="green"/>
          <w:u w:val="single"/>
        </w:rPr>
        <w:t xml:space="preserve">hen you create a giant </w:t>
      </w:r>
      <w:r w:rsidRPr="00B45E49">
        <w:rPr>
          <w:rFonts w:ascii="Calibri" w:hAnsi="Calibri" w:cs="Calibri"/>
          <w:sz w:val="22"/>
          <w:szCs w:val="22"/>
          <w:highlight w:val="green"/>
          <w:u w:val="single"/>
        </w:rPr>
        <w:lastRenderedPageBreak/>
        <w:t>current in the ionosphere, you also create currents in the ground. And the power grid is anchored in the Earth</w:t>
      </w:r>
      <w:r w:rsidRPr="009F5DCA">
        <w:rPr>
          <w:rFonts w:ascii="Calibri" w:hAnsi="Calibri" w:cs="Calibri"/>
          <w:sz w:val="22"/>
          <w:szCs w:val="22"/>
          <w:u w:val="single"/>
        </w:rPr>
        <w:t xml:space="preserve"> </w:t>
      </w:r>
      <w:r w:rsidRPr="00D80E74">
        <w:rPr>
          <w:rFonts w:ascii="Calibri" w:hAnsi="Calibri" w:cs="Calibri"/>
          <w:sz w:val="16"/>
          <w:szCs w:val="22"/>
        </w:rPr>
        <w:t xml:space="preserve">— grounded, as they call it. In the worst-case scenario, the CME would damage equipment, which would need to be replaced before you can bring power back to the grid.” Earth already experienced this worst-case scenario, but nobody alive today was there to see it. The 1859 Carrington Event was a geomagnetic storm triggered by an eruption of charged particles that streamed toward Earth. It was in the early days of telegraphs, well before countries were electrified. But particles from the sun were powerful enough to send a charge through telegraph lines that shocked operators and lit telegraph paper on fire. </w:t>
      </w:r>
      <w:r w:rsidRPr="00B45E49">
        <w:rPr>
          <w:rFonts w:ascii="Calibri" w:hAnsi="Calibri" w:cs="Calibri"/>
          <w:sz w:val="22"/>
          <w:szCs w:val="22"/>
          <w:highlight w:val="green"/>
          <w:u w:val="single"/>
        </w:rPr>
        <w:t>If this happened</w:t>
      </w:r>
      <w:r w:rsidRPr="009F5DCA">
        <w:rPr>
          <w:rFonts w:ascii="Calibri" w:hAnsi="Calibri" w:cs="Calibri"/>
          <w:sz w:val="22"/>
          <w:szCs w:val="22"/>
          <w:u w:val="single"/>
        </w:rPr>
        <w:t xml:space="preserve"> now </w:t>
      </w:r>
      <w:r w:rsidRPr="00B45E49">
        <w:rPr>
          <w:rFonts w:ascii="Calibri" w:hAnsi="Calibri" w:cs="Calibri"/>
          <w:sz w:val="22"/>
          <w:szCs w:val="22"/>
          <w:highlight w:val="green"/>
          <w:u w:val="single"/>
        </w:rPr>
        <w:t>without warning</w:t>
      </w:r>
      <w:r w:rsidRPr="009F5DCA">
        <w:rPr>
          <w:rFonts w:ascii="Calibri" w:hAnsi="Calibri" w:cs="Calibri"/>
          <w:sz w:val="22"/>
          <w:szCs w:val="22"/>
          <w:u w:val="single"/>
        </w:rPr>
        <w:t xml:space="preserve">,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results could be catastrophic</w:t>
      </w:r>
      <w:r w:rsidRPr="009F5DCA">
        <w:rPr>
          <w:rFonts w:ascii="Calibri" w:hAnsi="Calibri" w:cs="Calibri"/>
          <w:sz w:val="22"/>
          <w:szCs w:val="22"/>
          <w:u w:val="single"/>
        </w:rPr>
        <w:t xml:space="preserve">. </w:t>
      </w:r>
      <w:r w:rsidRPr="00B45E49">
        <w:rPr>
          <w:rFonts w:ascii="Calibri" w:hAnsi="Calibri" w:cs="Calibri"/>
          <w:sz w:val="22"/>
          <w:szCs w:val="22"/>
          <w:u w:val="single"/>
        </w:rPr>
        <w:t>Power plants, substations</w:t>
      </w:r>
      <w:r w:rsidRPr="009F5DCA">
        <w:rPr>
          <w:rFonts w:ascii="Calibri" w:hAnsi="Calibri" w:cs="Calibri"/>
          <w:sz w:val="22"/>
          <w:szCs w:val="22"/>
          <w:u w:val="single"/>
        </w:rPr>
        <w:t xml:space="preserve">, and transmission lines for </w:t>
      </w:r>
      <w:r w:rsidRPr="00B45E49">
        <w:rPr>
          <w:rFonts w:ascii="Calibri" w:hAnsi="Calibri" w:cs="Calibri"/>
          <w:sz w:val="22"/>
          <w:szCs w:val="22"/>
          <w:highlight w:val="green"/>
          <w:u w:val="single"/>
        </w:rPr>
        <w:t>entire cities</w:t>
      </w:r>
      <w:r w:rsidRPr="009F5DCA">
        <w:rPr>
          <w:rFonts w:ascii="Calibri" w:hAnsi="Calibri" w:cs="Calibri"/>
          <w:sz w:val="22"/>
          <w:szCs w:val="22"/>
          <w:u w:val="single"/>
        </w:rPr>
        <w:t xml:space="preserve"> or regions could be </w:t>
      </w:r>
      <w:r w:rsidRPr="00B45E49">
        <w:rPr>
          <w:rFonts w:ascii="Calibri" w:hAnsi="Calibri" w:cs="Calibri"/>
          <w:sz w:val="22"/>
          <w:szCs w:val="22"/>
          <w:highlight w:val="green"/>
          <w:u w:val="single"/>
        </w:rPr>
        <w:t>fried</w:t>
      </w:r>
      <w:r w:rsidRPr="009F5DCA">
        <w:rPr>
          <w:rFonts w:ascii="Calibri" w:hAnsi="Calibri" w:cs="Calibri"/>
          <w:sz w:val="22"/>
          <w:szCs w:val="22"/>
          <w:u w:val="single"/>
        </w:rPr>
        <w:t xml:space="preserve">. People might be </w:t>
      </w:r>
      <w:r w:rsidRPr="00B45E49">
        <w:rPr>
          <w:rFonts w:ascii="Calibri" w:hAnsi="Calibri" w:cs="Calibri"/>
          <w:sz w:val="22"/>
          <w:szCs w:val="22"/>
          <w:highlight w:val="green"/>
          <w:u w:val="single"/>
        </w:rPr>
        <w:t>without</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power</w:t>
      </w:r>
      <w:r w:rsidRPr="009F5DCA">
        <w:rPr>
          <w:rFonts w:ascii="Calibri" w:hAnsi="Calibri" w:cs="Calibri"/>
          <w:sz w:val="22"/>
          <w:szCs w:val="22"/>
          <w:u w:val="single"/>
        </w:rPr>
        <w:t xml:space="preserve"> for days or weeks, leading to </w:t>
      </w:r>
      <w:r w:rsidRPr="00B45E49">
        <w:rPr>
          <w:rFonts w:ascii="Calibri" w:hAnsi="Calibri" w:cs="Calibri"/>
          <w:sz w:val="22"/>
          <w:szCs w:val="22"/>
          <w:highlight w:val="green"/>
          <w:u w:val="single"/>
        </w:rPr>
        <w:t>food</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 xml:space="preserve">shortages and </w:t>
      </w:r>
      <w:r w:rsidRPr="00B45E49">
        <w:rPr>
          <w:rFonts w:ascii="Calibri" w:hAnsi="Calibri" w:cs="Calibri"/>
          <w:b/>
          <w:bCs/>
          <w:sz w:val="22"/>
          <w:szCs w:val="22"/>
          <w:highlight w:val="green"/>
          <w:u w:val="single"/>
        </w:rPr>
        <w:t>untold</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crises</w:t>
      </w:r>
      <w:r w:rsidRPr="00D80E74">
        <w:rPr>
          <w:rFonts w:ascii="Calibri" w:hAnsi="Calibri" w:cs="Calibri"/>
          <w:sz w:val="16"/>
          <w:szCs w:val="22"/>
        </w:rPr>
        <w:t xml:space="preserve">. The effects on the economy would also be devastating: Just one day without power in New York City could cost $1 billion, according to a 2013 report from the American Society of Civil Engineers. Across the federal government, at least 27 separate programs are working on ways to prevent this scenario. Power transformers are the backbone of the grid. Some transformers at power stations increase voltage so that it can be transmitted many miles, while others “step down” voltage so it can enter homes at safe levels. Large ones can take months to repair or rebuild, resulting in long-term blackouts, according to the Electric Power Research Group. In an emergency, federal agencies could set up temporary transformers to act as a stopgap, much like FEMA sets up temporary housing after disasters. The Department of Homeland Security has a Recovery Transformer program devoted to designing and building a type of easily deployable transformer that can be installed anywhere in an emergency. And the Department of Energy (DOE) is working on a “strategic transformer reserve” — a supply of extra transformers that can be trucked throughout America if necessary. Equipment to protect large power transformers costs about $350,000 per circuit, according to the Foundation for Resilient Societies. Safeguarding the grid against solar storms and EMPs would cost between $10 billion and $30 billion, the foundation says. Utilities are already working on solutions, says Rob Manning, vice president for transmission at the Electric Power Research Institute. Some are building capacitor banks, which could work like batteries to absorb and dissipate excess energy. Or they can install electricity-dampening devices called Faraday cages, which are like force fields that can surround critical pieces of equipment and protect them from currents. The DOE is also building better flywheels that can spin faster or slower depending on their charge. A flywheel could physically drain excess electricity off the grid, turning the sun’s electrons into movement and heat. Special dampening devices can also drain away or block excess current, but none of these is a perfect solution, Manning says. “There are some devices that will ground that current out and remove it from the system, but it creates some unintended consequences,” Manning says. “It’s like taking a drug that fixes a problem you might have, but it has unintended side effects.”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best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way to protect against solar storms is to forecast them</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in advance and shut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down the grid before it's struck</w:t>
      </w:r>
      <w:r w:rsidRPr="00D80E74">
        <w:rPr>
          <w:rFonts w:ascii="Calibri" w:hAnsi="Calibri" w:cs="Calibri"/>
          <w:sz w:val="16"/>
          <w:szCs w:val="22"/>
        </w:rPr>
        <w:t xml:space="preserve">. DHS has a Solar Storm Mitigation project that's designed to “enhance awareness of potential disruptions” caused by solar rays. Researchers are improving solar forecasts to provide at least a few hours of warning. The Deep Space Climate Observatory (DSCOVR) provides crucial data about the timing and speed of solar bursts, says NOAA’s Berger: “DSCOVR is really like a tsunami buoy.” And even better warning systems are coming. A new sun-orbiting satellite launching in 2018, called the Parker Solar Probe, will study the corona in unprecedented detail, providing new information about how the sun’s atmosphere gets so hot and spits out harmful CMEs. NOAA scientists are also working on a new satellite, unofficially called the Space Weather Follow-On Mission, that would study the sun’s magnetic fields — if it receives federal funding. Down on Earth, scientists are trying to understand the planet’s electrical conductivity, which would help them predict how surges of power from space would spread underground. But the sun isn’t the only source of danger to the grid. An EMP could wreak as much havoc on society as a traditional bomb blast, albeit with less loss of life. The casualties from an EMP would occur </w:t>
      </w:r>
      <w:proofErr w:type="gramStart"/>
      <w:r w:rsidRPr="00D80E74">
        <w:rPr>
          <w:rFonts w:ascii="Calibri" w:hAnsi="Calibri" w:cs="Calibri"/>
          <w:sz w:val="16"/>
          <w:szCs w:val="22"/>
        </w:rPr>
        <w:t>as a result of</w:t>
      </w:r>
      <w:proofErr w:type="gramEnd"/>
      <w:r w:rsidRPr="00D80E74">
        <w:rPr>
          <w:rFonts w:ascii="Calibri" w:hAnsi="Calibri" w:cs="Calibri"/>
          <w:sz w:val="16"/>
          <w:szCs w:val="22"/>
        </w:rPr>
        <w:t xml:space="preserve"> a lack of power, water, and medicine. The most ruinous type of EMP would come in the form of a high-altitude nuclear detonation, where it would create a series of blast waves radiating in all directions, impacting electrical equipment on the ground, in the air, and in orbit. A nuclear weapon detonated in the upper atmosphere over, say, Kansas, could affect the entire continental U.S., according to researchers at the Foundation for Resilient Societies. Just like a solar storm, an EMP would send raging currents into the electrical grid, frying transformers, circuit breakers, and substations. But scientists aren’t exactly sure what would happen to the vast range of devices on the grid, from cell towers to smartphones, Manning says. “It depends on where you are. Your cell phone might survive just fine, but the cell towers 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Manning says. “We would expect some parts of the grid would suffer enough that we would experience voltage collapse, and you would expect blackouts. But there is the possibility that the grid may survive </w:t>
      </w:r>
      <w:r w:rsidRPr="00D80E74">
        <w:rPr>
          <w:rFonts w:ascii="Calibri" w:hAnsi="Calibri" w:cs="Calibri"/>
          <w:sz w:val="16"/>
          <w:szCs w:val="22"/>
        </w:rPr>
        <w:lastRenderedPageBreak/>
        <w:t xml:space="preserve">quite well, and the challenge may be more related to your cellphone, to home electronics, water systems, things like that.” </w:t>
      </w:r>
      <w:r w:rsidRPr="009F5DCA">
        <w:rPr>
          <w:rFonts w:ascii="Calibri" w:hAnsi="Calibri" w:cs="Calibri"/>
          <w:sz w:val="22"/>
          <w:szCs w:val="22"/>
          <w:u w:val="single"/>
        </w:rPr>
        <w:t>Part of the challenge is understanding how transformers and circuit breakers would respond to the heat and high voltages of an EMP. If they’re exposed to extreme</w:t>
      </w:r>
      <w:r w:rsidRPr="00D80E74">
        <w:rPr>
          <w:rFonts w:ascii="Calibri" w:hAnsi="Calibri" w:cs="Calibri"/>
          <w:sz w:val="16"/>
          <w:szCs w:val="22"/>
        </w:rPr>
        <w:t xml:space="preserve"> heat for just an instant, they might be fine, much the same way that people can quickly walk across hot coals without getting burned. But a </w:t>
      </w:r>
      <w:r w:rsidRPr="009F5DCA">
        <w:rPr>
          <w:rFonts w:ascii="Calibri" w:hAnsi="Calibri" w:cs="Calibri"/>
          <w:sz w:val="22"/>
          <w:szCs w:val="22"/>
          <w:u w:val="single"/>
        </w:rPr>
        <w:t>longer-lasting flash would cause real damage.</w:t>
      </w:r>
      <w:r w:rsidRPr="00D80E74">
        <w:rPr>
          <w:rFonts w:ascii="Calibri" w:hAnsi="Calibri" w:cs="Calibri"/>
          <w:sz w:val="16"/>
          <w:szCs w:val="22"/>
        </w:rPr>
        <w:t xml:space="preserve"> The Electric Power Research Institute is in the middle of a three-year study exploring these questions. The Department of Energy is also studying possible effects of high-energy EMPs. Odds are an EMP attack would be on a local scale, which means the grid would likely be fine overall, notes Scott Aaronson, senior director of national security policy at the Edison Electric Institute. There's no single point of failure in the country’s electrical system. The grid is somewhat of a misnomer because it’s really hundreds of independently operated utilities, each of which manages resources in its own way. Private industry owns 85 percent of the U.S.'s critical electrical infrastructure. “To incidents on a smaller scale, the grid is extraordinarily resilient," Aaronson says. "There are 50,000 substations, and hundreds of control centers. The failure of one, or even several of those, has very limited impact on the broader set of infrastructure.” He argues an EMP is less of a concern than everyday problems — from solar storms to Earth generated lightning, to the most mundane threats. “I can promise you, at this very minute there is a squirrel meeting his or her demise by chewing through a power line somewhere,” Aaronson says. "Your cell phone might survive just fine, but the cell towers 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Others take a more dystopian view. In 2015, Peter Pry, </w:t>
      </w:r>
      <w:r w:rsidRPr="00D80E74">
        <w:rPr>
          <w:rFonts w:ascii="Calibri" w:hAnsi="Calibri" w:cs="Calibri"/>
          <w:sz w:val="22"/>
          <w:szCs w:val="22"/>
          <w:u w:val="single"/>
        </w:rPr>
        <w:t>executive director of the Electromagnetic Pulse Task Force on National Homeland Security, testified befo</w:t>
      </w:r>
      <w:r w:rsidRPr="009F5DCA">
        <w:rPr>
          <w:rFonts w:ascii="Calibri" w:hAnsi="Calibri" w:cs="Calibri"/>
          <w:sz w:val="22"/>
          <w:szCs w:val="22"/>
          <w:u w:val="single"/>
        </w:rPr>
        <w:t xml:space="preserve">re Congress that </w:t>
      </w:r>
      <w:r w:rsidRPr="00B45E49">
        <w:rPr>
          <w:rFonts w:ascii="Calibri" w:hAnsi="Calibri" w:cs="Calibri"/>
          <w:sz w:val="22"/>
          <w:szCs w:val="22"/>
          <w:highlight w:val="green"/>
          <w:u w:val="single"/>
        </w:rPr>
        <w:t>prolonged damage to the grid could kill 90 percent</w:t>
      </w:r>
      <w:r w:rsidRPr="009F5DCA">
        <w:rPr>
          <w:rFonts w:ascii="Calibri" w:hAnsi="Calibri" w:cs="Calibri"/>
          <w:sz w:val="22"/>
          <w:szCs w:val="22"/>
          <w:u w:val="single"/>
        </w:rPr>
        <w:t xml:space="preserve"> of Americans, “</w:t>
      </w:r>
      <w:r w:rsidRPr="00B45E49">
        <w:rPr>
          <w:rFonts w:ascii="Calibri" w:hAnsi="Calibri" w:cs="Calibri"/>
          <w:sz w:val="22"/>
          <w:szCs w:val="22"/>
          <w:highlight w:val="green"/>
          <w:u w:val="single"/>
        </w:rPr>
        <w:t xml:space="preserve">through </w:t>
      </w:r>
      <w:r w:rsidRPr="00B45E49">
        <w:rPr>
          <w:rFonts w:ascii="Calibri" w:hAnsi="Calibri" w:cs="Calibri"/>
          <w:b/>
          <w:bCs/>
          <w:sz w:val="22"/>
          <w:szCs w:val="22"/>
          <w:highlight w:val="green"/>
          <w:u w:val="single"/>
        </w:rPr>
        <w:t>starvation, disease, and societal collapse</w:t>
      </w:r>
      <w:r w:rsidRPr="009F5DCA">
        <w:rPr>
          <w:rFonts w:ascii="Calibri" w:hAnsi="Calibri" w:cs="Calibri"/>
          <w:sz w:val="22"/>
          <w:szCs w:val="22"/>
          <w:u w:val="single"/>
        </w:rPr>
        <w:t xml:space="preserve">.” </w:t>
      </w:r>
      <w:r w:rsidRPr="00D80E74">
        <w:rPr>
          <w:rFonts w:ascii="Calibri" w:hAnsi="Calibri" w:cs="Calibri"/>
          <w:sz w:val="22"/>
          <w:szCs w:val="22"/>
          <w:u w:val="single"/>
        </w:rPr>
        <w:t xml:space="preserve">The Department of Homeland Security considers </w:t>
      </w:r>
      <w:r w:rsidRPr="00B45E49">
        <w:rPr>
          <w:rFonts w:ascii="Calibri" w:hAnsi="Calibri" w:cs="Calibri"/>
          <w:sz w:val="22"/>
          <w:szCs w:val="22"/>
          <w:highlight w:val="green"/>
          <w:u w:val="single"/>
        </w:rPr>
        <w:t>space weather</w:t>
      </w:r>
      <w:r w:rsidRPr="009F5DCA">
        <w:rPr>
          <w:rFonts w:ascii="Calibri" w:hAnsi="Calibri" w:cs="Calibri"/>
          <w:sz w:val="22"/>
          <w:szCs w:val="22"/>
          <w:u w:val="single"/>
        </w:rPr>
        <w:t xml:space="preserve"> and power grid failure </w:t>
      </w:r>
      <w:r w:rsidRPr="00D80E74">
        <w:rPr>
          <w:rFonts w:ascii="Calibri" w:hAnsi="Calibri" w:cs="Calibri"/>
          <w:sz w:val="22"/>
          <w:szCs w:val="22"/>
          <w:u w:val="single"/>
        </w:rPr>
        <w:t xml:space="preserve">as </w:t>
      </w:r>
      <w:r w:rsidRPr="00B45E49">
        <w:rPr>
          <w:rFonts w:ascii="Calibri" w:hAnsi="Calibri" w:cs="Calibri"/>
          <w:sz w:val="22"/>
          <w:szCs w:val="22"/>
          <w:highlight w:val="green"/>
          <w:u w:val="single"/>
        </w:rPr>
        <w:t>“</w:t>
      </w:r>
      <w:r w:rsidRPr="00B45E49">
        <w:rPr>
          <w:rFonts w:ascii="Calibri" w:hAnsi="Calibri" w:cs="Calibri"/>
          <w:b/>
          <w:bCs/>
          <w:sz w:val="22"/>
          <w:szCs w:val="22"/>
          <w:highlight w:val="green"/>
          <w:u w:val="single"/>
        </w:rPr>
        <w:t>significant risk events</w:t>
      </w:r>
      <w:r w:rsidRPr="00B45E49">
        <w:rPr>
          <w:rFonts w:ascii="Calibri" w:hAnsi="Calibri" w:cs="Calibri"/>
          <w:sz w:val="22"/>
          <w:szCs w:val="22"/>
          <w:highlight w:val="green"/>
          <w:u w:val="single"/>
        </w:rPr>
        <w:t>.</w:t>
      </w:r>
      <w:r w:rsidRPr="00B45E49">
        <w:rPr>
          <w:rFonts w:ascii="Calibri" w:hAnsi="Calibri" w:cs="Calibri"/>
          <w:sz w:val="22"/>
          <w:szCs w:val="22"/>
          <w:u w:val="single"/>
        </w:rPr>
        <w:t xml:space="preserve">”  </w:t>
      </w:r>
      <w:r w:rsidRPr="00D80E74">
        <w:rPr>
          <w:rFonts w:ascii="Calibri" w:hAnsi="Calibri" w:cs="Calibri"/>
          <w:sz w:val="16"/>
          <w:szCs w:val="22"/>
        </w:rPr>
        <w:t>Thomas Popik, chairman of the Foundation for Resilient Societies, testified last year before the Federal Energy Regulatory Commission that allocating 5 percent of the U.S. defense budget to infrastructure projects would help protect the grid and save lives. “</w:t>
      </w:r>
      <w:r w:rsidRPr="009F5DCA">
        <w:rPr>
          <w:rFonts w:ascii="Calibri" w:hAnsi="Calibri" w:cs="Calibri"/>
          <w:sz w:val="22"/>
          <w:szCs w:val="22"/>
          <w:u w:val="single"/>
        </w:rPr>
        <w:t>If a densely populated area</w:t>
      </w:r>
      <w:r w:rsidRPr="00D80E74">
        <w:rPr>
          <w:rFonts w:ascii="Calibri" w:hAnsi="Calibri" w:cs="Calibri"/>
          <w:sz w:val="16"/>
          <w:szCs w:val="22"/>
        </w:rPr>
        <w:t xml:space="preserve"> such as Washington, D.C. </w:t>
      </w:r>
      <w:r w:rsidRPr="009F5DCA">
        <w:rPr>
          <w:rFonts w:ascii="Calibri" w:hAnsi="Calibri" w:cs="Calibri"/>
          <w:sz w:val="22"/>
          <w:szCs w:val="22"/>
          <w:u w:val="single"/>
        </w:rPr>
        <w:t xml:space="preserve">lost all electric power, and no outside assistance was available, and people could not evacuate by car because gasoline station pumps were inoperable due to lack of power, and municipal water and sanitation services stopped working, </w:t>
      </w:r>
      <w:r w:rsidRPr="009F5DCA">
        <w:rPr>
          <w:rFonts w:ascii="Calibri" w:hAnsi="Calibri" w:cs="Calibri"/>
          <w:b/>
          <w:bCs/>
          <w:sz w:val="22"/>
          <w:szCs w:val="22"/>
          <w:u w:val="single"/>
        </w:rPr>
        <w:t>what percent of the population would still be alive after one month?</w:t>
      </w:r>
      <w:r w:rsidRPr="00D80E74">
        <w:rPr>
          <w:rFonts w:ascii="Calibri" w:hAnsi="Calibri" w:cs="Calibri"/>
          <w:sz w:val="16"/>
          <w:szCs w:val="22"/>
        </w:rPr>
        <w:t xml:space="preserve">” he questioned. Aaronson argues that this is “a fiction,” and that he finds himself in the middle. “I tend to view this as a threat that we need to prevent from happening in the first place,” he says. To that end, </w:t>
      </w:r>
      <w:r w:rsidRPr="00B45E49">
        <w:rPr>
          <w:rFonts w:ascii="Calibri" w:hAnsi="Calibri" w:cs="Calibri"/>
          <w:b/>
          <w:bCs/>
          <w:sz w:val="22"/>
          <w:szCs w:val="22"/>
          <w:highlight w:val="green"/>
          <w:u w:val="single"/>
        </w:rPr>
        <w:t>space weather forecasting</w:t>
      </w:r>
      <w:r w:rsidRPr="00D80E74">
        <w:rPr>
          <w:rFonts w:ascii="Calibri" w:hAnsi="Calibri" w:cs="Calibri"/>
          <w:sz w:val="16"/>
          <w:szCs w:val="22"/>
        </w:rPr>
        <w:t xml:space="preserve"> — and international diplomacy — </w:t>
      </w:r>
      <w:r w:rsidRPr="00B45E49">
        <w:rPr>
          <w:rFonts w:ascii="Calibri" w:hAnsi="Calibri" w:cs="Calibri"/>
          <w:b/>
          <w:bCs/>
          <w:sz w:val="22"/>
          <w:szCs w:val="22"/>
          <w:highlight w:val="green"/>
          <w:u w:val="single"/>
        </w:rPr>
        <w:t xml:space="preserve">are </w:t>
      </w:r>
      <w:r w:rsidRPr="00D80E74">
        <w:rPr>
          <w:rFonts w:ascii="Calibri" w:hAnsi="Calibri" w:cs="Calibri"/>
          <w:b/>
          <w:bCs/>
          <w:sz w:val="22"/>
          <w:szCs w:val="22"/>
          <w:u w:val="single"/>
        </w:rPr>
        <w:t xml:space="preserve">our </w:t>
      </w:r>
      <w:r w:rsidRPr="00B45E49">
        <w:rPr>
          <w:rFonts w:ascii="Calibri" w:hAnsi="Calibri" w:cs="Calibri"/>
          <w:b/>
          <w:bCs/>
          <w:sz w:val="22"/>
          <w:szCs w:val="22"/>
          <w:highlight w:val="green"/>
          <w:u w:val="single"/>
        </w:rPr>
        <w:t xml:space="preserve">best weapons </w:t>
      </w:r>
      <w:r w:rsidRPr="00B45E49">
        <w:rPr>
          <w:rFonts w:ascii="Calibri" w:hAnsi="Calibri" w:cs="Calibri"/>
          <w:b/>
          <w:bCs/>
          <w:sz w:val="22"/>
          <w:szCs w:val="22"/>
          <w:u w:val="single"/>
        </w:rPr>
        <w:t xml:space="preserve">in the fight </w:t>
      </w:r>
      <w:r w:rsidRPr="00B45E49">
        <w:rPr>
          <w:rFonts w:ascii="Calibri" w:hAnsi="Calibri" w:cs="Calibri"/>
          <w:b/>
          <w:bCs/>
          <w:sz w:val="22"/>
          <w:szCs w:val="22"/>
          <w:highlight w:val="green"/>
          <w:u w:val="single"/>
        </w:rPr>
        <w:t xml:space="preserve">to save </w:t>
      </w:r>
      <w:r w:rsidRPr="00D80E74">
        <w:rPr>
          <w:rFonts w:ascii="Calibri" w:hAnsi="Calibri" w:cs="Calibri"/>
          <w:b/>
          <w:bCs/>
          <w:sz w:val="22"/>
          <w:szCs w:val="22"/>
          <w:u w:val="single"/>
        </w:rPr>
        <w:t xml:space="preserve">the </w:t>
      </w:r>
      <w:r w:rsidRPr="00B45E49">
        <w:rPr>
          <w:rFonts w:ascii="Calibri" w:hAnsi="Calibri" w:cs="Calibri"/>
          <w:b/>
          <w:bCs/>
          <w:sz w:val="22"/>
          <w:szCs w:val="22"/>
          <w:highlight w:val="green"/>
          <w:u w:val="single"/>
        </w:rPr>
        <w:t>grid</w:t>
      </w:r>
      <w:r w:rsidRPr="009F5DCA">
        <w:rPr>
          <w:rFonts w:ascii="Calibri" w:hAnsi="Calibri" w:cs="Calibri"/>
          <w:b/>
          <w:bCs/>
          <w:sz w:val="22"/>
          <w:szCs w:val="22"/>
          <w:u w:val="single"/>
        </w:rPr>
        <w:t xml:space="preserve">. </w:t>
      </w:r>
    </w:p>
    <w:p w14:paraId="3E0D9BE1" w14:textId="77777777" w:rsidR="00F55C19" w:rsidRPr="005A7BF4" w:rsidRDefault="00F55C19" w:rsidP="00F55C19">
      <w:pPr>
        <w:pStyle w:val="Heading4"/>
      </w:pPr>
      <w:r>
        <w:t xml:space="preserve">AND </w:t>
      </w:r>
      <w:r>
        <w:rPr>
          <w:u w:val="single"/>
        </w:rPr>
        <w:t>space weather catastrophes</w:t>
      </w:r>
      <w:r>
        <w:t xml:space="preserve"> ensure </w:t>
      </w:r>
      <w:r>
        <w:rPr>
          <w:u w:val="single"/>
        </w:rPr>
        <w:t>extinction</w:t>
      </w:r>
    </w:p>
    <w:p w14:paraId="2B21C980" w14:textId="77777777" w:rsidR="00F55C19" w:rsidRDefault="00F55C19" w:rsidP="00F55C19">
      <w:pPr>
        <w:spacing w:before="15" w:after="180" w:line="240" w:lineRule="auto"/>
        <w:rPr>
          <w:rFonts w:eastAsia="Times New Roman"/>
        </w:rPr>
      </w:pPr>
      <w:r>
        <w:rPr>
          <w:rFonts w:eastAsia="Times New Roman"/>
          <w:b/>
          <w:bCs/>
          <w:sz w:val="26"/>
          <w:szCs w:val="26"/>
        </w:rPr>
        <w:t>Rosen</w:t>
      </w:r>
      <w:r w:rsidRPr="008A3839">
        <w:rPr>
          <w:rFonts w:eastAsia="Times New Roman"/>
          <w:b/>
          <w:bCs/>
          <w:sz w:val="26"/>
          <w:szCs w:val="26"/>
        </w:rPr>
        <w:t>, </w:t>
      </w:r>
      <w:r>
        <w:rPr>
          <w:rFonts w:eastAsia="Times New Roman"/>
          <w:b/>
          <w:bCs/>
          <w:sz w:val="26"/>
          <w:szCs w:val="26"/>
        </w:rPr>
        <w:t>16</w:t>
      </w:r>
      <w:r w:rsidRPr="008A3839">
        <w:rPr>
          <w:rFonts w:eastAsia="Times New Roman"/>
        </w:rPr>
        <w:t> (</w:t>
      </w:r>
      <w:r>
        <w:rPr>
          <w:rFonts w:eastAsia="Times New Roman"/>
        </w:rPr>
        <w:t>Julia Rosen is a science reporter for the Los Angeles Times with a PhD in geology</w:t>
      </w:r>
      <w:r w:rsidRPr="008A3839">
        <w:rPr>
          <w:rFonts w:eastAsia="Times New Roman"/>
        </w:rPr>
        <w:t>, accessed on 10-</w:t>
      </w:r>
      <w:r>
        <w:rPr>
          <w:rFonts w:eastAsia="Times New Roman"/>
        </w:rPr>
        <w:t>20</w:t>
      </w:r>
      <w:r w:rsidRPr="008A3839">
        <w:rPr>
          <w:rFonts w:eastAsia="Times New Roman"/>
        </w:rPr>
        <w:t xml:space="preserve">-2021, </w:t>
      </w:r>
      <w:r>
        <w:rPr>
          <w:rFonts w:eastAsia="Times New Roman"/>
        </w:rPr>
        <w:t>Science.org</w:t>
      </w:r>
      <w:r w:rsidRPr="008A3839">
        <w:rPr>
          <w:rFonts w:eastAsia="Times New Roman"/>
        </w:rPr>
        <w:t xml:space="preserve">, </w:t>
      </w:r>
      <w:r>
        <w:rPr>
          <w:rFonts w:eastAsia="Times New Roman"/>
        </w:rPr>
        <w:t>7-14-2016, “</w:t>
      </w:r>
      <w:r w:rsidRPr="00A9541A">
        <w:rPr>
          <w:rFonts w:eastAsia="Times New Roman"/>
        </w:rPr>
        <w:t>Here's how the world could end—and what we can do about it</w:t>
      </w:r>
      <w:r w:rsidRPr="008A3839">
        <w:rPr>
          <w:rFonts w:eastAsia="Times New Roman"/>
        </w:rPr>
        <w:t xml:space="preserve">", </w:t>
      </w:r>
      <w:r w:rsidRPr="00A9541A">
        <w:rPr>
          <w:rFonts w:eastAsia="Times New Roman"/>
        </w:rPr>
        <w:t>https://www.science.org/content/article/here-s-how-world-could-end-and-what-we-can-do-about-it-rev2</w:t>
      </w:r>
      <w:r w:rsidRPr="008A3839">
        <w:rPr>
          <w:rFonts w:eastAsia="Times New Roman"/>
        </w:rPr>
        <w:t>, HBisevac)</w:t>
      </w:r>
    </w:p>
    <w:p w14:paraId="4A3C0745" w14:textId="77777777" w:rsidR="00F55C19" w:rsidRPr="00E20390" w:rsidRDefault="00F55C19" w:rsidP="00F55C19">
      <w:pPr>
        <w:spacing w:before="15" w:after="180" w:line="240" w:lineRule="auto"/>
        <w:rPr>
          <w:rFonts w:eastAsia="Times New Roman"/>
          <w:sz w:val="16"/>
        </w:rPr>
      </w:pPr>
      <w:r w:rsidRPr="000A7861">
        <w:rPr>
          <w:rFonts w:eastAsia="Times New Roman"/>
          <w:sz w:val="16"/>
        </w:rPr>
        <w:t xml:space="preserve">As end-of-humanity scenarios go, that bleak vision from Fritz Leiber’s 1951 short story “A Pail of Air” is a </w:t>
      </w:r>
      <w:proofErr w:type="gramStart"/>
      <w:r w:rsidRPr="000A7861">
        <w:rPr>
          <w:rFonts w:eastAsia="Times New Roman"/>
          <w:sz w:val="16"/>
        </w:rPr>
        <w:t>fairly remote</w:t>
      </w:r>
      <w:proofErr w:type="gramEnd"/>
      <w:r w:rsidRPr="000A7861">
        <w:rPr>
          <w:rFonts w:eastAsia="Times New Roman"/>
          <w:sz w:val="16"/>
        </w:rPr>
        <w:t xml:space="preserve"> possibility. </w:t>
      </w:r>
      <w:r w:rsidRPr="00DC3865">
        <w:rPr>
          <w:rFonts w:eastAsia="Times New Roman"/>
          <w:highlight w:val="green"/>
          <w:u w:val="single"/>
        </w:rPr>
        <w:t>Scholars</w:t>
      </w:r>
      <w:r w:rsidRPr="000A7861">
        <w:rPr>
          <w:rFonts w:eastAsia="Times New Roman"/>
          <w:sz w:val="16"/>
        </w:rPr>
        <w:t xml:space="preserve"> who ponder such things </w:t>
      </w:r>
      <w:r w:rsidRPr="00DC3865">
        <w:rPr>
          <w:rFonts w:eastAsia="Times New Roman"/>
          <w:highlight w:val="green"/>
          <w:u w:val="single"/>
        </w:rPr>
        <w:t>think</w:t>
      </w:r>
      <w:r w:rsidRPr="000A7861">
        <w:rPr>
          <w:rFonts w:eastAsia="Times New Roman"/>
          <w:sz w:val="16"/>
        </w:rPr>
        <w:t xml:space="preserve"> a self-induced </w:t>
      </w:r>
      <w:r w:rsidRPr="000A7861">
        <w:rPr>
          <w:rFonts w:eastAsia="Times New Roman"/>
          <w:u w:val="single"/>
        </w:rPr>
        <w:t xml:space="preserve">catastrophe such as </w:t>
      </w:r>
      <w:r w:rsidRPr="00DC3865">
        <w:rPr>
          <w:rFonts w:eastAsia="Times New Roman"/>
          <w:highlight w:val="green"/>
          <w:u w:val="single"/>
        </w:rPr>
        <w:t>nuc</w:t>
      </w:r>
      <w:r w:rsidRPr="00DC3865">
        <w:rPr>
          <w:rFonts w:eastAsia="Times New Roman"/>
          <w:u w:val="single"/>
        </w:rPr>
        <w:t>l</w:t>
      </w:r>
      <w:r w:rsidRPr="000A7861">
        <w:rPr>
          <w:rFonts w:eastAsia="Times New Roman"/>
          <w:u w:val="single"/>
        </w:rPr>
        <w:t xml:space="preserve">ear </w:t>
      </w:r>
      <w:r w:rsidRPr="00DC3865">
        <w:rPr>
          <w:rFonts w:eastAsia="Times New Roman"/>
          <w:highlight w:val="green"/>
          <w:u w:val="single"/>
        </w:rPr>
        <w:t>war</w:t>
      </w:r>
      <w:r w:rsidRPr="000A7861">
        <w:rPr>
          <w:rFonts w:eastAsia="Times New Roman"/>
          <w:u w:val="single"/>
        </w:rPr>
        <w:t xml:space="preserve"> </w:t>
      </w:r>
      <w:r w:rsidRPr="00DC3865">
        <w:rPr>
          <w:rFonts w:eastAsia="Times New Roman"/>
          <w:highlight w:val="green"/>
          <w:u w:val="single"/>
        </w:rPr>
        <w:t>or</w:t>
      </w:r>
      <w:r w:rsidRPr="000A7861">
        <w:rPr>
          <w:rFonts w:eastAsia="Times New Roman"/>
          <w:u w:val="single"/>
        </w:rPr>
        <w:t xml:space="preserve"> a bioengineered </w:t>
      </w:r>
      <w:r w:rsidRPr="00DC3865">
        <w:rPr>
          <w:rFonts w:eastAsia="Times New Roman"/>
          <w:highlight w:val="green"/>
          <w:u w:val="single"/>
        </w:rPr>
        <w:t>pandemic</w:t>
      </w:r>
      <w:r w:rsidRPr="000A7861">
        <w:rPr>
          <w:rFonts w:eastAsia="Times New Roman"/>
          <w:u w:val="single"/>
        </w:rPr>
        <w:t xml:space="preserve"> is </w:t>
      </w:r>
      <w:r w:rsidRPr="00DC3865">
        <w:rPr>
          <w:rFonts w:eastAsia="Times New Roman"/>
          <w:highlight w:val="green"/>
          <w:u w:val="single"/>
        </w:rPr>
        <w:t>most likely to do us</w:t>
      </w:r>
      <w:r w:rsidRPr="000A7861">
        <w:rPr>
          <w:rFonts w:eastAsia="Times New Roman"/>
          <w:u w:val="single"/>
        </w:rPr>
        <w:t xml:space="preserve"> in</w:t>
      </w:r>
      <w:r w:rsidRPr="000A7861">
        <w:rPr>
          <w:rFonts w:eastAsia="Times New Roman"/>
          <w:sz w:val="16"/>
        </w:rPr>
        <w:t xml:space="preserve">. </w:t>
      </w:r>
      <w:r w:rsidRPr="00DC3865">
        <w:rPr>
          <w:rFonts w:eastAsia="Times New Roman"/>
          <w:highlight w:val="green"/>
          <w:u w:val="single"/>
        </w:rPr>
        <w:t>However</w:t>
      </w:r>
      <w:r w:rsidRPr="000A7861">
        <w:rPr>
          <w:rFonts w:eastAsia="Times New Roman"/>
          <w:u w:val="single"/>
        </w:rPr>
        <w:t xml:space="preserve">, </w:t>
      </w:r>
      <w:proofErr w:type="gramStart"/>
      <w:r w:rsidRPr="000A7861">
        <w:rPr>
          <w:rFonts w:eastAsia="Times New Roman"/>
          <w:u w:val="single"/>
        </w:rPr>
        <w:t>a number of</w:t>
      </w:r>
      <w:proofErr w:type="gramEnd"/>
      <w:r w:rsidRPr="000A7861">
        <w:rPr>
          <w:rFonts w:eastAsia="Times New Roman"/>
          <w:u w:val="single"/>
        </w:rPr>
        <w:t xml:space="preserve"> other extreme </w:t>
      </w:r>
      <w:r w:rsidRPr="00DC3865">
        <w:rPr>
          <w:rFonts w:eastAsia="Times New Roman"/>
          <w:b/>
          <w:bCs/>
          <w:highlight w:val="green"/>
          <w:u w:val="single"/>
        </w:rPr>
        <w:t>natural hazards</w:t>
      </w:r>
      <w:r w:rsidRPr="000A7861">
        <w:rPr>
          <w:rFonts w:eastAsia="Times New Roman"/>
          <w:sz w:val="16"/>
        </w:rPr>
        <w:t xml:space="preserve">—including threats </w:t>
      </w:r>
      <w:r w:rsidRPr="00DC3865">
        <w:rPr>
          <w:rFonts w:eastAsia="Times New Roman"/>
          <w:highlight w:val="green"/>
          <w:u w:val="single"/>
        </w:rPr>
        <w:t xml:space="preserve">from </w:t>
      </w:r>
      <w:r w:rsidRPr="00DC3865">
        <w:rPr>
          <w:rFonts w:eastAsia="Times New Roman"/>
          <w:b/>
          <w:bCs/>
          <w:highlight w:val="green"/>
          <w:u w:val="single"/>
        </w:rPr>
        <w:t>space</w:t>
      </w:r>
      <w:r w:rsidRPr="000A7861">
        <w:rPr>
          <w:rFonts w:eastAsia="Times New Roman"/>
          <w:sz w:val="16"/>
        </w:rPr>
        <w:t xml:space="preserve"> and geologic upheavals here on Earth—</w:t>
      </w:r>
      <w:r w:rsidRPr="00DC3865">
        <w:rPr>
          <w:rFonts w:eastAsia="Times New Roman"/>
          <w:highlight w:val="green"/>
          <w:u w:val="single"/>
        </w:rPr>
        <w:t>could</w:t>
      </w:r>
      <w:r w:rsidRPr="000A7861">
        <w:rPr>
          <w:rFonts w:eastAsia="Times New Roman"/>
          <w:u w:val="single"/>
        </w:rPr>
        <w:t xml:space="preserve"> </w:t>
      </w:r>
      <w:r w:rsidRPr="00DC3865">
        <w:rPr>
          <w:rFonts w:eastAsia="Times New Roman"/>
          <w:highlight w:val="green"/>
          <w:u w:val="single"/>
        </w:rPr>
        <w:t>still</w:t>
      </w:r>
      <w:r w:rsidRPr="000A7861">
        <w:rPr>
          <w:rFonts w:eastAsia="Times New Roman"/>
          <w:u w:val="single"/>
        </w:rPr>
        <w:t xml:space="preserve"> </w:t>
      </w:r>
      <w:r w:rsidRPr="00DC3865">
        <w:rPr>
          <w:rFonts w:eastAsia="Times New Roman"/>
          <w:b/>
          <w:bCs/>
          <w:highlight w:val="green"/>
          <w:u w:val="single"/>
        </w:rPr>
        <w:t>derail life</w:t>
      </w:r>
      <w:r w:rsidRPr="000A7861">
        <w:rPr>
          <w:rFonts w:eastAsia="Times New Roman"/>
          <w:u w:val="single"/>
        </w:rPr>
        <w:t xml:space="preserve"> as we know it, </w:t>
      </w:r>
      <w:r w:rsidRPr="00DC3865">
        <w:rPr>
          <w:rFonts w:eastAsia="Times New Roman"/>
          <w:b/>
          <w:bCs/>
          <w:highlight w:val="green"/>
          <w:u w:val="single"/>
        </w:rPr>
        <w:t>unraveling</w:t>
      </w:r>
      <w:r w:rsidRPr="000A7861">
        <w:rPr>
          <w:rFonts w:eastAsia="Times New Roman"/>
          <w:sz w:val="16"/>
        </w:rPr>
        <w:t xml:space="preserve"> advanced </w:t>
      </w:r>
      <w:r w:rsidRPr="00DC3865">
        <w:rPr>
          <w:rFonts w:eastAsia="Times New Roman"/>
          <w:b/>
          <w:bCs/>
          <w:highlight w:val="green"/>
          <w:u w:val="single"/>
        </w:rPr>
        <w:t>civilization</w:t>
      </w:r>
      <w:r w:rsidRPr="000A7861">
        <w:rPr>
          <w:rFonts w:eastAsia="Times New Roman"/>
          <w:u w:val="single"/>
        </w:rPr>
        <w:t xml:space="preserve">, </w:t>
      </w:r>
      <w:r w:rsidRPr="00DC3865">
        <w:rPr>
          <w:rFonts w:eastAsia="Times New Roman"/>
          <w:b/>
          <w:bCs/>
          <w:highlight w:val="green"/>
          <w:u w:val="single"/>
        </w:rPr>
        <w:t>wipi</w:t>
      </w:r>
      <w:r w:rsidRPr="00DC3865">
        <w:rPr>
          <w:rFonts w:eastAsia="Times New Roman"/>
          <w:b/>
          <w:bCs/>
          <w:u w:val="single"/>
        </w:rPr>
        <w:t xml:space="preserve">ng </w:t>
      </w:r>
      <w:r w:rsidRPr="00DC3865">
        <w:rPr>
          <w:rFonts w:eastAsia="Times New Roman"/>
          <w:b/>
          <w:bCs/>
          <w:highlight w:val="green"/>
          <w:u w:val="single"/>
        </w:rPr>
        <w:t>out billions</w:t>
      </w:r>
      <w:r w:rsidRPr="000A7861">
        <w:rPr>
          <w:rFonts w:eastAsia="Times New Roman"/>
          <w:u w:val="single"/>
        </w:rPr>
        <w:t xml:space="preserve"> of people, </w:t>
      </w:r>
      <w:r w:rsidRPr="000A7861">
        <w:rPr>
          <w:rFonts w:eastAsia="Times New Roman"/>
          <w:sz w:val="16"/>
        </w:rPr>
        <w:t>or potentially</w:t>
      </w:r>
      <w:r w:rsidRPr="000A7861">
        <w:rPr>
          <w:rFonts w:eastAsia="Times New Roman"/>
          <w:u w:val="single"/>
        </w:rPr>
        <w:t xml:space="preserve"> </w:t>
      </w:r>
      <w:r w:rsidRPr="00DC3865">
        <w:rPr>
          <w:rFonts w:eastAsia="Times New Roman"/>
          <w:highlight w:val="green"/>
          <w:u w:val="single"/>
        </w:rPr>
        <w:t xml:space="preserve">even </w:t>
      </w:r>
      <w:r w:rsidRPr="00DC3865">
        <w:rPr>
          <w:rFonts w:eastAsia="Times New Roman"/>
          <w:b/>
          <w:bCs/>
          <w:highlight w:val="green"/>
          <w:u w:val="single"/>
        </w:rPr>
        <w:t>exterminating</w:t>
      </w:r>
      <w:r w:rsidRPr="00DC3865">
        <w:rPr>
          <w:rFonts w:eastAsia="Times New Roman"/>
          <w:highlight w:val="green"/>
          <w:u w:val="single"/>
        </w:rPr>
        <w:t xml:space="preserve"> our species</w:t>
      </w:r>
      <w:r w:rsidRPr="000A7861">
        <w:rPr>
          <w:rFonts w:eastAsia="Times New Roman"/>
          <w:sz w:val="16"/>
        </w:rPr>
        <w:t>. Yet there’s been surprisingly little research on the subject, says Anders Sandberg, a catastrophe researcher at the University of Oxford’s Future of Humanity Institute in the United Kingdom. Last he checked, “there are more papers about dung beetle reproduction than human extinction,” he says. “We might have our priorities slightly wrong.”</w:t>
      </w:r>
      <w:r>
        <w:rPr>
          <w:rFonts w:eastAsia="Times New Roman"/>
          <w:sz w:val="16"/>
        </w:rPr>
        <w:t xml:space="preserve"> </w:t>
      </w:r>
      <w:r w:rsidRPr="00DC3865">
        <w:rPr>
          <w:rFonts w:eastAsia="Times New Roman"/>
          <w:sz w:val="16"/>
        </w:rPr>
        <w:t xml:space="preserve">Frequent, moderately severe disasters such as earthquakes attract far more funding than low-probability apocalyptic ones. </w:t>
      </w:r>
      <w:r w:rsidRPr="000A7861">
        <w:rPr>
          <w:rFonts w:eastAsia="Times New Roman"/>
          <w:u w:val="single"/>
        </w:rPr>
        <w:t>Prejudice may also be at work</w:t>
      </w:r>
      <w:r w:rsidRPr="00DC3865">
        <w:rPr>
          <w:rFonts w:eastAsia="Times New Roman"/>
          <w:sz w:val="16"/>
        </w:rPr>
        <w:t xml:space="preserve">; for instance, </w:t>
      </w:r>
      <w:r w:rsidRPr="00DC3865">
        <w:rPr>
          <w:rFonts w:eastAsia="Times New Roman"/>
          <w:u w:val="single"/>
        </w:rPr>
        <w:t>scientists who pioneered studies of asteroid and comet impacts complained about confronting a pervasive “giggle factor.”</w:t>
      </w:r>
      <w:r w:rsidRPr="00DC3865">
        <w:rPr>
          <w:rFonts w:eastAsia="Times New Roman"/>
          <w:sz w:val="16"/>
        </w:rPr>
        <w:t xml:space="preserve"> </w:t>
      </w:r>
      <w:r w:rsidRPr="000A7861">
        <w:rPr>
          <w:rFonts w:eastAsia="Times New Roman"/>
          <w:u w:val="single"/>
        </w:rPr>
        <w:t>Consciously or unconsciously</w:t>
      </w:r>
      <w:r w:rsidRPr="00DC3865">
        <w:rPr>
          <w:rFonts w:eastAsia="Times New Roman"/>
          <w:sz w:val="16"/>
        </w:rPr>
        <w:t xml:space="preserve">, Sandberg says, </w:t>
      </w:r>
      <w:r w:rsidRPr="00DC3865">
        <w:rPr>
          <w:rFonts w:eastAsia="Times New Roman"/>
          <w:u w:val="single"/>
        </w:rPr>
        <w:t>many researchers consider catastrophic risks the province of fiction or fantasy</w:t>
      </w:r>
      <w:r w:rsidRPr="00DC3865">
        <w:rPr>
          <w:rFonts w:eastAsia="Times New Roman"/>
          <w:sz w:val="16"/>
        </w:rPr>
        <w:t xml:space="preserve">—not serious science. A handful of researchers, however, persist in thinking the unthinkable. </w:t>
      </w:r>
      <w:r w:rsidRPr="00DC3865">
        <w:rPr>
          <w:rFonts w:eastAsia="Times New Roman"/>
          <w:highlight w:val="green"/>
          <w:u w:val="single"/>
        </w:rPr>
        <w:t xml:space="preserve">With enough </w:t>
      </w:r>
      <w:r w:rsidRPr="008C7697">
        <w:rPr>
          <w:rFonts w:eastAsia="Times New Roman"/>
          <w:b/>
          <w:bCs/>
          <w:highlight w:val="green"/>
          <w:u w:val="single"/>
        </w:rPr>
        <w:t>knowledge</w:t>
      </w:r>
      <w:r w:rsidRPr="00DC3865">
        <w:rPr>
          <w:rFonts w:eastAsia="Times New Roman"/>
          <w:u w:val="single"/>
        </w:rPr>
        <w:t xml:space="preserve"> </w:t>
      </w:r>
      <w:r w:rsidRPr="008C7697">
        <w:rPr>
          <w:rFonts w:eastAsia="Times New Roman"/>
          <w:highlight w:val="green"/>
          <w:u w:val="single"/>
        </w:rPr>
        <w:t>and</w:t>
      </w:r>
      <w:r w:rsidRPr="00DC3865">
        <w:rPr>
          <w:rFonts w:eastAsia="Times New Roman"/>
          <w:u w:val="single"/>
        </w:rPr>
        <w:t xml:space="preserve"> proper </w:t>
      </w:r>
      <w:r w:rsidRPr="008C7697">
        <w:rPr>
          <w:rFonts w:eastAsia="Times New Roman"/>
          <w:b/>
          <w:bCs/>
          <w:highlight w:val="green"/>
          <w:u w:val="single"/>
        </w:rPr>
        <w:t>planning</w:t>
      </w:r>
      <w:r w:rsidRPr="00DC3865">
        <w:rPr>
          <w:rFonts w:eastAsia="Times New Roman"/>
          <w:u w:val="single"/>
        </w:rPr>
        <w:t xml:space="preserve">, they say, </w:t>
      </w:r>
      <w:r w:rsidRPr="008C7697">
        <w:rPr>
          <w:rFonts w:eastAsia="Times New Roman"/>
          <w:highlight w:val="green"/>
          <w:u w:val="single"/>
        </w:rPr>
        <w:t>it’s possible</w:t>
      </w:r>
      <w:r w:rsidRPr="00DC3865">
        <w:rPr>
          <w:rFonts w:eastAsia="Times New Roman"/>
          <w:u w:val="single"/>
        </w:rPr>
        <w:t xml:space="preserve"> </w:t>
      </w:r>
      <w:r w:rsidRPr="008C7697">
        <w:rPr>
          <w:rFonts w:eastAsia="Times New Roman"/>
          <w:highlight w:val="green"/>
          <w:u w:val="single"/>
        </w:rPr>
        <w:t>to</w:t>
      </w:r>
      <w:r w:rsidRPr="00DC3865">
        <w:rPr>
          <w:rFonts w:eastAsia="Times New Roman"/>
          <w:u w:val="single"/>
        </w:rPr>
        <w:t xml:space="preserve"> prepare for</w:t>
      </w:r>
      <w:r w:rsidRPr="00DC3865">
        <w:rPr>
          <w:rFonts w:eastAsia="Times New Roman"/>
          <w:sz w:val="16"/>
        </w:rPr>
        <w:t>—</w:t>
      </w:r>
      <w:r w:rsidRPr="00DC3865">
        <w:rPr>
          <w:rFonts w:eastAsia="Times New Roman"/>
          <w:u w:val="single"/>
        </w:rPr>
        <w:t>or</w:t>
      </w:r>
      <w:r w:rsidRPr="00DC3865">
        <w:rPr>
          <w:rFonts w:eastAsia="Times New Roman"/>
          <w:sz w:val="16"/>
        </w:rPr>
        <w:t xml:space="preserve"> in some cases </w:t>
      </w:r>
      <w:r w:rsidRPr="008C7697">
        <w:rPr>
          <w:rFonts w:eastAsia="Times New Roman"/>
          <w:highlight w:val="green"/>
          <w:u w:val="single"/>
        </w:rPr>
        <w:t>prevent</w:t>
      </w:r>
      <w:r w:rsidRPr="00DC3865">
        <w:rPr>
          <w:rFonts w:eastAsia="Times New Roman"/>
          <w:sz w:val="16"/>
        </w:rPr>
        <w:t xml:space="preserve">—rare but </w:t>
      </w:r>
      <w:r w:rsidRPr="008C7697">
        <w:rPr>
          <w:rFonts w:eastAsia="Times New Roman"/>
          <w:b/>
          <w:bCs/>
          <w:highlight w:val="green"/>
          <w:u w:val="single"/>
        </w:rPr>
        <w:t>devastating</w:t>
      </w:r>
      <w:r w:rsidRPr="00DC3865">
        <w:rPr>
          <w:rFonts w:eastAsia="Times New Roman"/>
          <w:u w:val="single"/>
        </w:rPr>
        <w:t xml:space="preserve"> </w:t>
      </w:r>
      <w:r w:rsidRPr="008C7697">
        <w:rPr>
          <w:rFonts w:eastAsia="Times New Roman"/>
          <w:b/>
          <w:bCs/>
          <w:highlight w:val="green"/>
          <w:u w:val="single"/>
        </w:rPr>
        <w:t>natural disasters</w:t>
      </w:r>
      <w:r w:rsidRPr="00DC3865">
        <w:rPr>
          <w:rFonts w:eastAsia="Times New Roman"/>
          <w:sz w:val="16"/>
        </w:rPr>
        <w:t xml:space="preserve">. Giggle all you want, but </w:t>
      </w:r>
      <w:r w:rsidRPr="00DC3865">
        <w:rPr>
          <w:rFonts w:eastAsia="Times New Roman"/>
          <w:u w:val="single"/>
        </w:rPr>
        <w:t xml:space="preserve">the </w:t>
      </w:r>
      <w:r w:rsidRPr="008C7697">
        <w:rPr>
          <w:rFonts w:eastAsia="Times New Roman"/>
          <w:b/>
          <w:bCs/>
          <w:highlight w:val="green"/>
          <w:u w:val="single"/>
        </w:rPr>
        <w:lastRenderedPageBreak/>
        <w:t xml:space="preserve">survival </w:t>
      </w:r>
      <w:r w:rsidRPr="008C7697">
        <w:rPr>
          <w:rFonts w:eastAsia="Times New Roman"/>
          <w:highlight w:val="green"/>
          <w:u w:val="single"/>
        </w:rPr>
        <w:t>of human civilization</w:t>
      </w:r>
      <w:r w:rsidRPr="00DC3865">
        <w:rPr>
          <w:rFonts w:eastAsia="Times New Roman"/>
          <w:u w:val="single"/>
        </w:rPr>
        <w:t xml:space="preserve"> could be </w:t>
      </w:r>
      <w:r w:rsidRPr="008C7697">
        <w:rPr>
          <w:rFonts w:eastAsia="Times New Roman"/>
          <w:b/>
          <w:bCs/>
          <w:highlight w:val="green"/>
          <w:u w:val="single"/>
        </w:rPr>
        <w:t>at stake</w:t>
      </w:r>
      <w:r w:rsidRPr="00DC3865">
        <w:rPr>
          <w:rFonts w:eastAsia="Times New Roman"/>
          <w:sz w:val="16"/>
        </w:rPr>
        <w:t>.</w:t>
      </w:r>
      <w:r>
        <w:rPr>
          <w:rFonts w:eastAsia="Times New Roman"/>
          <w:sz w:val="16"/>
        </w:rPr>
        <w:t xml:space="preserve"> </w:t>
      </w:r>
      <w:r w:rsidRPr="008C7697">
        <w:rPr>
          <w:rFonts w:eastAsia="Times New Roman"/>
          <w:sz w:val="16"/>
        </w:rPr>
        <w:t xml:space="preserve">Threat one: </w:t>
      </w:r>
      <w:r w:rsidRPr="00E20390">
        <w:rPr>
          <w:rFonts w:eastAsia="Times New Roman"/>
          <w:b/>
          <w:bCs/>
          <w:highlight w:val="green"/>
          <w:u w:val="single"/>
        </w:rPr>
        <w:t>Solar storms</w:t>
      </w:r>
      <w:r>
        <w:rPr>
          <w:rFonts w:eastAsia="Times New Roman"/>
          <w:sz w:val="16"/>
        </w:rPr>
        <w:t xml:space="preserve"> </w:t>
      </w:r>
      <w:r w:rsidRPr="008C7697">
        <w:rPr>
          <w:rFonts w:eastAsia="Times New Roman"/>
          <w:sz w:val="16"/>
        </w:rPr>
        <w:t xml:space="preserve">One threat to civilization could come not from too little sun, as in Leiber’s story, but from too much. Bill Murtagh has seen how it might start. On the morning of 23 July 2012, he sat before a colorful array of screens at the National Oceanic and Atmospheric Administration’s Space Weather Prediction Center in Boulder, Colorado, watching twin clouds of energetic particles—known as a </w:t>
      </w:r>
      <w:r w:rsidRPr="008C7697">
        <w:rPr>
          <w:rFonts w:eastAsia="Times New Roman"/>
          <w:b/>
          <w:bCs/>
          <w:u w:val="single"/>
        </w:rPr>
        <w:t>coronal mass ejection (</w:t>
      </w:r>
      <w:r w:rsidRPr="00E20390">
        <w:rPr>
          <w:rFonts w:eastAsia="Times New Roman"/>
          <w:b/>
          <w:bCs/>
          <w:u w:val="single"/>
        </w:rPr>
        <w:t>CME</w:t>
      </w:r>
      <w:r w:rsidRPr="008C7697">
        <w:rPr>
          <w:rFonts w:eastAsia="Times New Roman"/>
          <w:b/>
          <w:bCs/>
          <w:u w:val="single"/>
        </w:rPr>
        <w:t>)</w:t>
      </w:r>
      <w:r w:rsidRPr="008C7697">
        <w:rPr>
          <w:rFonts w:eastAsia="Times New Roman"/>
          <w:sz w:val="16"/>
        </w:rPr>
        <w:t>—erupt from the sun and barrel into space. A mere 19 hours later, the solar buckshot blazed past the spot where Earth had been just days before. If it had hit us, scientists say, we might still be reeling.</w:t>
      </w:r>
      <w:r>
        <w:rPr>
          <w:rFonts w:eastAsia="Times New Roman"/>
          <w:sz w:val="16"/>
        </w:rPr>
        <w:t xml:space="preserve"> </w:t>
      </w:r>
      <w:r w:rsidRPr="008C7697">
        <w:rPr>
          <w:rFonts w:eastAsia="Times New Roman"/>
          <w:sz w:val="16"/>
        </w:rPr>
        <w:t xml:space="preserve">Now the assistant director of space weather at the White House Office of Science and Technology Policy in Washington, D.C., Murtagh spends much of his time pondering solar eruptions. </w:t>
      </w:r>
      <w:r w:rsidRPr="008C7697">
        <w:rPr>
          <w:rFonts w:eastAsia="Times New Roman"/>
          <w:u w:val="single"/>
        </w:rPr>
        <w:t>CMEs</w:t>
      </w:r>
      <w:r w:rsidRPr="008C7697">
        <w:rPr>
          <w:rFonts w:eastAsia="Times New Roman"/>
          <w:sz w:val="16"/>
        </w:rPr>
        <w:t xml:space="preserve"> don’t harm human beings directly, and their </w:t>
      </w:r>
      <w:r w:rsidRPr="008C7697">
        <w:rPr>
          <w:rFonts w:eastAsia="Times New Roman"/>
          <w:u w:val="single"/>
        </w:rPr>
        <w:t xml:space="preserve">effects can be spectacular. By </w:t>
      </w:r>
      <w:r w:rsidRPr="0011064F">
        <w:rPr>
          <w:rFonts w:eastAsia="Times New Roman"/>
          <w:highlight w:val="green"/>
          <w:u w:val="single"/>
        </w:rPr>
        <w:t>funnel</w:t>
      </w:r>
      <w:r w:rsidRPr="008C7697">
        <w:rPr>
          <w:rFonts w:eastAsia="Times New Roman"/>
          <w:u w:val="single"/>
        </w:rPr>
        <w:t xml:space="preserve">ing </w:t>
      </w:r>
      <w:r w:rsidRPr="0011064F">
        <w:rPr>
          <w:rFonts w:eastAsia="Times New Roman"/>
          <w:b/>
          <w:bCs/>
          <w:highlight w:val="green"/>
          <w:u w:val="single"/>
        </w:rPr>
        <w:t>charged particles</w:t>
      </w:r>
      <w:r w:rsidRPr="0011064F">
        <w:rPr>
          <w:rFonts w:eastAsia="Times New Roman"/>
          <w:highlight w:val="green"/>
          <w:u w:val="single"/>
        </w:rPr>
        <w:t xml:space="preserve"> into</w:t>
      </w:r>
      <w:r w:rsidRPr="008C7697">
        <w:rPr>
          <w:rFonts w:eastAsia="Times New Roman"/>
          <w:u w:val="single"/>
        </w:rPr>
        <w:t xml:space="preserve"> Earth’s</w:t>
      </w:r>
      <w:r w:rsidRPr="008C7697">
        <w:rPr>
          <w:rFonts w:eastAsia="Times New Roman"/>
          <w:b/>
          <w:bCs/>
          <w:u w:val="single"/>
        </w:rPr>
        <w:t xml:space="preserve"> </w:t>
      </w:r>
      <w:r w:rsidRPr="0011064F">
        <w:rPr>
          <w:rFonts w:eastAsia="Times New Roman"/>
          <w:b/>
          <w:bCs/>
          <w:highlight w:val="green"/>
          <w:u w:val="single"/>
        </w:rPr>
        <w:t>magnetic field</w:t>
      </w:r>
      <w:r w:rsidRPr="008C7697">
        <w:rPr>
          <w:rFonts w:eastAsia="Times New Roman"/>
          <w:u w:val="single"/>
        </w:rPr>
        <w:t>, they</w:t>
      </w:r>
      <w:r w:rsidRPr="008C7697">
        <w:rPr>
          <w:rFonts w:eastAsia="Times New Roman"/>
          <w:sz w:val="16"/>
        </w:rPr>
        <w:t xml:space="preserve"> can </w:t>
      </w:r>
      <w:r w:rsidRPr="0011064F">
        <w:rPr>
          <w:rFonts w:eastAsia="Times New Roman"/>
          <w:highlight w:val="green"/>
          <w:u w:val="single"/>
        </w:rPr>
        <w:t xml:space="preserve">trigger </w:t>
      </w:r>
      <w:r w:rsidRPr="0011064F">
        <w:rPr>
          <w:rFonts w:eastAsia="Times New Roman"/>
          <w:b/>
          <w:bCs/>
          <w:highlight w:val="green"/>
          <w:u w:val="single"/>
        </w:rPr>
        <w:t>geomagnetic storms</w:t>
      </w:r>
      <w:r w:rsidRPr="008C7697">
        <w:rPr>
          <w:rFonts w:eastAsia="Times New Roman"/>
          <w:u w:val="single"/>
        </w:rPr>
        <w:t xml:space="preserve"> that</w:t>
      </w:r>
      <w:r w:rsidRPr="008C7697">
        <w:rPr>
          <w:rFonts w:eastAsia="Times New Roman"/>
          <w:sz w:val="16"/>
        </w:rPr>
        <w:t xml:space="preserve"> ignite dazzling auroral displays. But those storms can also </w:t>
      </w:r>
      <w:r w:rsidRPr="008C7697">
        <w:rPr>
          <w:rFonts w:eastAsia="Times New Roman"/>
          <w:u w:val="single"/>
        </w:rPr>
        <w:t>induce dangerous electrical currents in long-distance power lines</w:t>
      </w:r>
      <w:r w:rsidRPr="008C7697">
        <w:rPr>
          <w:rFonts w:eastAsia="Times New Roman"/>
          <w:sz w:val="16"/>
        </w:rPr>
        <w:t xml:space="preserve">. The currents last only a few minutes, but </w:t>
      </w:r>
      <w:r w:rsidRPr="008C7697">
        <w:rPr>
          <w:rFonts w:eastAsia="Times New Roman"/>
          <w:u w:val="single"/>
        </w:rPr>
        <w:t>they</w:t>
      </w:r>
      <w:r w:rsidRPr="008C7697">
        <w:rPr>
          <w:rFonts w:eastAsia="Times New Roman"/>
          <w:sz w:val="16"/>
        </w:rPr>
        <w:t xml:space="preserve"> can </w:t>
      </w:r>
      <w:r w:rsidRPr="0011064F">
        <w:rPr>
          <w:rFonts w:eastAsia="Times New Roman"/>
          <w:b/>
          <w:bCs/>
          <w:highlight w:val="green"/>
          <w:u w:val="single"/>
        </w:rPr>
        <w:t>take out electrical grids</w:t>
      </w:r>
      <w:r w:rsidRPr="008C7697">
        <w:rPr>
          <w:rFonts w:eastAsia="Times New Roman"/>
          <w:u w:val="single"/>
        </w:rPr>
        <w:t xml:space="preserve"> by destroying high-voltage transformers</w:t>
      </w:r>
      <w:r w:rsidRPr="008C7697">
        <w:rPr>
          <w:rFonts w:eastAsia="Times New Roman"/>
          <w:sz w:val="16"/>
        </w:rPr>
        <w:t>—particularly at high latitudes, where Earth’s magnetic field lines converge as they arc toward the surface.</w:t>
      </w:r>
      <w:r>
        <w:rPr>
          <w:rFonts w:eastAsia="Times New Roman"/>
          <w:sz w:val="16"/>
        </w:rPr>
        <w:t xml:space="preserve"> </w:t>
      </w:r>
      <w:r w:rsidRPr="0011064F">
        <w:rPr>
          <w:rFonts w:eastAsia="Times New Roman"/>
          <w:sz w:val="16"/>
          <w:szCs w:val="16"/>
        </w:rPr>
        <w:t xml:space="preserve">The worst CME event in recent history struck in 1989, frying a transformer in New Jersey and leaving 6 million people in Quebec province in Canada without power. The largest one on record—the Carrington Event of 1859, named after the U.K. astronomer who witnessed the accompanying solar flare—was up to 10 times more intense. It sent searing currents racing through telegraph cables, sparking </w:t>
      </w:r>
      <w:proofErr w:type="gramStart"/>
      <w:r w:rsidRPr="0011064F">
        <w:rPr>
          <w:rFonts w:eastAsia="Times New Roman"/>
          <w:sz w:val="16"/>
          <w:szCs w:val="16"/>
        </w:rPr>
        <w:t>fires</w:t>
      </w:r>
      <w:proofErr w:type="gramEnd"/>
      <w:r w:rsidRPr="0011064F">
        <w:rPr>
          <w:rFonts w:eastAsia="Times New Roman"/>
          <w:sz w:val="16"/>
          <w:szCs w:val="16"/>
        </w:rPr>
        <w:t xml:space="preserve"> and shocking operators, while the northern lights danced as far south as Cuba.</w:t>
      </w:r>
      <w:r>
        <w:rPr>
          <w:rFonts w:eastAsia="Times New Roman"/>
          <w:sz w:val="16"/>
        </w:rPr>
        <w:t xml:space="preserve"> </w:t>
      </w:r>
      <w:r w:rsidRPr="0011064F">
        <w:rPr>
          <w:rFonts w:eastAsia="Times New Roman"/>
          <w:sz w:val="16"/>
        </w:rPr>
        <w:t xml:space="preserve">“It was awesome,” says Patricia Reiff, a space physicist at Rice University in Houston, Texas. But </w:t>
      </w:r>
      <w:r w:rsidRPr="0011064F">
        <w:rPr>
          <w:rFonts w:eastAsia="Times New Roman"/>
          <w:u w:val="single"/>
        </w:rPr>
        <w:t>if a</w:t>
      </w:r>
      <w:r w:rsidRPr="0011064F">
        <w:rPr>
          <w:rFonts w:eastAsia="Times New Roman"/>
          <w:sz w:val="16"/>
        </w:rPr>
        <w:t xml:space="preserve">nother </w:t>
      </w:r>
      <w:r w:rsidRPr="0011064F">
        <w:rPr>
          <w:rFonts w:eastAsia="Times New Roman"/>
          <w:u w:val="single"/>
        </w:rPr>
        <w:t>storm</w:t>
      </w:r>
      <w:r w:rsidRPr="0011064F">
        <w:rPr>
          <w:rFonts w:eastAsia="Times New Roman"/>
          <w:sz w:val="16"/>
        </w:rPr>
        <w:t xml:space="preserve"> that size </w:t>
      </w:r>
      <w:r w:rsidRPr="0011064F">
        <w:rPr>
          <w:rFonts w:eastAsia="Times New Roman"/>
          <w:u w:val="single"/>
        </w:rPr>
        <w:t>struck today’s infrastructure</w:t>
      </w:r>
      <w:r w:rsidRPr="0011064F">
        <w:rPr>
          <w:rFonts w:eastAsia="Times New Roman"/>
          <w:sz w:val="16"/>
        </w:rPr>
        <w:t>, she says, “</w:t>
      </w:r>
      <w:r w:rsidRPr="0011064F">
        <w:rPr>
          <w:rFonts w:eastAsia="Times New Roman"/>
          <w:u w:val="single"/>
        </w:rPr>
        <w:t>there would be tremendous consequences</w:t>
      </w:r>
      <w:r w:rsidRPr="0011064F">
        <w:rPr>
          <w:rFonts w:eastAsia="Times New Roman"/>
          <w:sz w:val="16"/>
        </w:rPr>
        <w:t>.”</w:t>
      </w:r>
      <w:r>
        <w:rPr>
          <w:rFonts w:eastAsia="Times New Roman"/>
          <w:sz w:val="16"/>
        </w:rPr>
        <w:t xml:space="preserve"> </w:t>
      </w:r>
      <w:r w:rsidRPr="00E20390">
        <w:rPr>
          <w:rFonts w:eastAsia="Times New Roman"/>
          <w:sz w:val="16"/>
        </w:rPr>
        <w:t xml:space="preserve">Some researchers fear that </w:t>
      </w:r>
      <w:r w:rsidRPr="0011064F">
        <w:rPr>
          <w:rFonts w:eastAsia="Times New Roman"/>
          <w:u w:val="single"/>
        </w:rPr>
        <w:t xml:space="preserve">another </w:t>
      </w:r>
      <w:r w:rsidRPr="00E20390">
        <w:rPr>
          <w:rFonts w:eastAsia="Times New Roman"/>
          <w:u w:val="single"/>
        </w:rPr>
        <w:t>Carrington-like event</w:t>
      </w:r>
      <w:r w:rsidRPr="0011064F">
        <w:rPr>
          <w:rFonts w:eastAsia="Times New Roman"/>
          <w:u w:val="single"/>
        </w:rPr>
        <w:t xml:space="preserve"> could destroy tens to hundreds of transformers, plunging vast portions of entire continents into the dark for weeks or months—perhaps even years</w:t>
      </w:r>
      <w:r w:rsidRPr="00E20390">
        <w:rPr>
          <w:rFonts w:eastAsia="Times New Roman"/>
          <w:sz w:val="16"/>
        </w:rPr>
        <w:t xml:space="preserve">, Murtagh says. That’s because the custom-built, house-sized replacement transformers can’t be bought off the shelf. Transformer manufacturers maintain that such fears are </w:t>
      </w:r>
      <w:proofErr w:type="gramStart"/>
      <w:r w:rsidRPr="00E20390">
        <w:rPr>
          <w:rFonts w:eastAsia="Times New Roman"/>
          <w:sz w:val="16"/>
        </w:rPr>
        <w:t>overblown</w:t>
      </w:r>
      <w:proofErr w:type="gramEnd"/>
      <w:r w:rsidRPr="00E20390">
        <w:rPr>
          <w:rFonts w:eastAsia="Times New Roman"/>
          <w:sz w:val="16"/>
        </w:rPr>
        <w:t xml:space="preserve"> and that most equipment would survive. But Thomas Overbye, an electrical engineer at the University of Illinois, Urbana-Champaign, says nobody knows for sure. “We don’t have a lot of data associated with large storms because they are very rare,” he says. What’s clear is that </w:t>
      </w:r>
      <w:r w:rsidRPr="00E20390">
        <w:rPr>
          <w:rFonts w:eastAsia="Times New Roman"/>
          <w:b/>
          <w:bCs/>
          <w:u w:val="single"/>
        </w:rPr>
        <w:t>wid</w:t>
      </w:r>
      <w:r w:rsidRPr="00E20390">
        <w:rPr>
          <w:rFonts w:eastAsia="Times New Roman"/>
          <w:b/>
          <w:bCs/>
          <w:highlight w:val="green"/>
          <w:u w:val="single"/>
        </w:rPr>
        <w:t>espread blackouts</w:t>
      </w:r>
      <w:r w:rsidRPr="00E20390">
        <w:rPr>
          <w:rFonts w:eastAsia="Times New Roman"/>
          <w:highlight w:val="green"/>
          <w:u w:val="single"/>
        </w:rPr>
        <w:t xml:space="preserve"> could be </w:t>
      </w:r>
      <w:r w:rsidRPr="00E20390">
        <w:rPr>
          <w:rFonts w:eastAsia="Times New Roman"/>
          <w:b/>
          <w:bCs/>
          <w:highlight w:val="green"/>
          <w:u w:val="single"/>
        </w:rPr>
        <w:t>catastrophic</w:t>
      </w:r>
      <w:r w:rsidRPr="00E20390">
        <w:rPr>
          <w:rFonts w:eastAsia="Times New Roman"/>
          <w:sz w:val="16"/>
          <w:highlight w:val="green"/>
        </w:rPr>
        <w:t>,</w:t>
      </w:r>
      <w:r w:rsidRPr="00E20390">
        <w:rPr>
          <w:rFonts w:eastAsia="Times New Roman"/>
          <w:sz w:val="16"/>
        </w:rPr>
        <w:t xml:space="preserve"> especially in countries that depend on highly developed electrical grids. “</w:t>
      </w:r>
      <w:r w:rsidRPr="00E20390">
        <w:rPr>
          <w:rFonts w:eastAsia="Times New Roman"/>
          <w:highlight w:val="green"/>
          <w:u w:val="single"/>
        </w:rPr>
        <w:t>We’ve done</w:t>
      </w:r>
      <w:r w:rsidRPr="00E20390">
        <w:rPr>
          <w:rFonts w:eastAsia="Times New Roman"/>
          <w:u w:val="single"/>
        </w:rPr>
        <w:t xml:space="preserve"> a </w:t>
      </w:r>
      <w:r w:rsidRPr="00E20390">
        <w:rPr>
          <w:rFonts w:eastAsia="Times New Roman"/>
          <w:highlight w:val="green"/>
          <w:u w:val="single"/>
        </w:rPr>
        <w:t>marvelous</w:t>
      </w:r>
      <w:r w:rsidRPr="00E20390">
        <w:rPr>
          <w:rFonts w:eastAsia="Times New Roman"/>
          <w:u w:val="single"/>
        </w:rPr>
        <w:t xml:space="preserve"> job </w:t>
      </w:r>
      <w:r w:rsidRPr="00E20390">
        <w:rPr>
          <w:rFonts w:eastAsia="Times New Roman"/>
          <w:highlight w:val="green"/>
          <w:u w:val="single"/>
        </w:rPr>
        <w:t xml:space="preserve">creating a </w:t>
      </w:r>
      <w:r w:rsidRPr="00E20390">
        <w:rPr>
          <w:rFonts w:eastAsia="Times New Roman"/>
          <w:b/>
          <w:bCs/>
          <w:highlight w:val="green"/>
          <w:u w:val="single"/>
        </w:rPr>
        <w:t>great vulnerability</w:t>
      </w:r>
      <w:r w:rsidRPr="00E20390">
        <w:rPr>
          <w:rFonts w:eastAsia="Times New Roman"/>
          <w:u w:val="single"/>
        </w:rPr>
        <w:t xml:space="preserve"> to this threat</w:t>
      </w:r>
      <w:r w:rsidRPr="00E20390">
        <w:rPr>
          <w:rFonts w:eastAsia="Times New Roman"/>
          <w:sz w:val="16"/>
        </w:rPr>
        <w:t xml:space="preserve">,” Murtagh says. </w:t>
      </w:r>
      <w:r w:rsidRPr="00E20390">
        <w:rPr>
          <w:rFonts w:eastAsia="Times New Roman"/>
          <w:u w:val="single"/>
        </w:rPr>
        <w:t xml:space="preserve">Information technologies, fuel pipelines, water pumps, ATMs, </w:t>
      </w:r>
      <w:r w:rsidRPr="00E20390">
        <w:rPr>
          <w:rFonts w:eastAsia="Times New Roman"/>
          <w:highlight w:val="green"/>
          <w:u w:val="single"/>
        </w:rPr>
        <w:t xml:space="preserve">everything with a plug would be </w:t>
      </w:r>
      <w:r w:rsidRPr="00E20390">
        <w:rPr>
          <w:rFonts w:eastAsia="Times New Roman"/>
          <w:b/>
          <w:bCs/>
          <w:highlight w:val="green"/>
          <w:u w:val="single"/>
        </w:rPr>
        <w:t>rendered useless</w:t>
      </w:r>
      <w:r w:rsidRPr="00E20390">
        <w:rPr>
          <w:rFonts w:eastAsia="Times New Roman"/>
          <w:sz w:val="16"/>
        </w:rPr>
        <w:t>. “</w:t>
      </w:r>
      <w:r w:rsidRPr="00E20390">
        <w:rPr>
          <w:rFonts w:eastAsia="Times New Roman"/>
          <w:u w:val="single"/>
        </w:rPr>
        <w:t>That’s going to affect our ability to govern</w:t>
      </w:r>
      <w:r w:rsidRPr="00E20390">
        <w:rPr>
          <w:rFonts w:eastAsia="Times New Roman"/>
          <w:sz w:val="16"/>
        </w:rPr>
        <w:t xml:space="preserve"> the country,” Murtagh says.</w:t>
      </w:r>
    </w:p>
    <w:p w14:paraId="592E8624" w14:textId="77777777" w:rsidR="00F55C19" w:rsidRPr="00F55C19" w:rsidRDefault="00F55C19" w:rsidP="00F55C19"/>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r w:rsidR="00664EA1">
        <w:t xml:space="preserve">Miscalc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r w:rsidRPr="00175DBB">
        <w:rPr>
          <w:rStyle w:val="Style13ptBold"/>
        </w:rPr>
        <w:t>Dockrill 16</w:t>
      </w:r>
      <w:r w:rsidRPr="00175DBB">
        <w:t xml:space="preserve">. Award-winning science &amp; technology journalist. “Space Junk Accidents Could Trigger Armed Conflict, Study Finds.” </w:t>
      </w:r>
      <w:hyperlink r:id="rId8"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Astronautica,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speeds up to 28,160 km/h</w:t>
      </w:r>
      <w:r w:rsidRPr="00175DBB">
        <w:rPr>
          <w:sz w:val="14"/>
        </w:rPr>
        <w:t xml:space="preserve"> (17,500 mph). </w:t>
      </w:r>
      <w:proofErr w:type="gramStart"/>
      <w:r w:rsidRPr="00175DBB">
        <w:rPr>
          <w:sz w:val="14"/>
        </w:rPr>
        <w:t>The majority of</w:t>
      </w:r>
      <w:proofErr w:type="gramEnd"/>
      <w:r w:rsidRPr="00175DBB">
        <w:rPr>
          <w:sz w:val="14"/>
        </w:rPr>
        <w:t xml:space="preserve">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 xml:space="preserve">even </w:t>
      </w:r>
      <w:r w:rsidRPr="009B68E9">
        <w:rPr>
          <w:rStyle w:val="StyleUnderline"/>
          <w:highlight w:val="green"/>
        </w:rPr>
        <w:lastRenderedPageBreak/>
        <w:t>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w:t>
      </w:r>
      <w:proofErr w:type="gramStart"/>
      <w:r w:rsidRPr="00175DBB">
        <w:rPr>
          <w:sz w:val="14"/>
        </w:rPr>
        <w:t>fact</w:t>
      </w:r>
      <w:proofErr w:type="gramEnd"/>
      <w:r w:rsidRPr="00175DBB">
        <w:rPr>
          <w:sz w:val="14"/>
        </w:rPr>
        <w:t xml:space="preserve"> a number of space shuttle windows have been replaced because of damage caused by material that was analysed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failures of defence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Baen science fiction author, popular science writer, and NASA technologist. 2014, “Living without satellites” </w:t>
      </w:r>
      <w:hyperlink r:id="rId9" w:history="1">
        <w:r w:rsidRPr="00175DBB">
          <w:rPr>
            <w:rStyle w:val="Hyperlink"/>
          </w:rPr>
          <w:t>https://www.baen.com/living_without_satellites</w:t>
        </w:r>
      </w:hyperlink>
      <w:r w:rsidRPr="00175DBB">
        <w:t>)</w:t>
      </w:r>
    </w:p>
    <w:p w14:paraId="4404F61F" w14:textId="2FCDCDA6" w:rsidR="00664EA1" w:rsidRDefault="00664EA1" w:rsidP="00664EA1">
      <w:pPr>
        <w:rPr>
          <w:rStyle w:val="StyleUnderlin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proofErr w:type="gramStart"/>
      <w:r w:rsidRPr="00175DBB">
        <w:rPr>
          <w:rStyle w:val="Emphasis"/>
        </w:rPr>
        <w:t>whether or not</w:t>
      </w:r>
      <w:proofErr w:type="gramEnd"/>
      <w:r w:rsidRPr="00175DBB">
        <w:rPr>
          <w:rStyle w:val="Emphasis"/>
        </w:rPr>
        <w:t xml:space="preserve">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proofErr w:type="gramStart"/>
      <w:r w:rsidRPr="00175DBB">
        <w:rPr>
          <w:sz w:val="14"/>
        </w:rPr>
        <w:t>So</w:t>
      </w:r>
      <w:proofErr w:type="gramEnd"/>
      <w:r w:rsidRPr="00175DBB">
        <w:rPr>
          <w:sz w:val="14"/>
        </w:rPr>
        <w:t xml:space="preserve"> what does all this mean? And what do we do about it? </w:t>
      </w:r>
      <w:proofErr w:type="gramStart"/>
      <w:r w:rsidRPr="00175DBB">
        <w:rPr>
          <w:sz w:val="14"/>
        </w:rPr>
        <w:t>First of all</w:t>
      </w:r>
      <w:proofErr w:type="gramEnd"/>
      <w:r w:rsidRPr="00175DBB">
        <w:rPr>
          <w:sz w:val="14"/>
        </w:rPr>
        <w:t xml:space="preserve">,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bookmarkEnd w:id="0"/>
    <w:p w14:paraId="4789F6A1" w14:textId="77777777" w:rsidR="00952EB7" w:rsidRDefault="00952EB7" w:rsidP="00952EB7">
      <w:pPr>
        <w:pStyle w:val="Heading4"/>
      </w:pPr>
      <w:r>
        <w:t xml:space="preserve">Its good --- </w:t>
      </w:r>
    </w:p>
    <w:p w14:paraId="12C7467F" w14:textId="77777777" w:rsidR="00952EB7" w:rsidRDefault="00952EB7" w:rsidP="00952EB7">
      <w:pPr>
        <w:pStyle w:val="Heading4"/>
      </w:pPr>
      <w:r>
        <w:t>1] Effective debate necessitates primary focus on material violence— anything else ignores oppression.</w:t>
      </w:r>
    </w:p>
    <w:p w14:paraId="01E83EF9" w14:textId="77777777" w:rsidR="00952EB7" w:rsidRPr="00E865BF" w:rsidRDefault="00952EB7" w:rsidP="00952EB7">
      <w:pPr>
        <w:rPr>
          <w:sz w:val="16"/>
          <w:szCs w:val="16"/>
        </w:rPr>
      </w:pPr>
      <w:r w:rsidRPr="00AF12D5">
        <w:rPr>
          <w:sz w:val="16"/>
          <w:szCs w:val="16"/>
        </w:rPr>
        <w:t xml:space="preserve">Dr. Tommy J. </w:t>
      </w:r>
      <w:r w:rsidRPr="00AF12D5">
        <w:rPr>
          <w:rStyle w:val="Style13ptBold"/>
        </w:rPr>
        <w:t>Curry 14</w:t>
      </w:r>
      <w:r w:rsidRPr="00AF12D5">
        <w:rPr>
          <w:sz w:val="16"/>
          <w:szCs w:val="16"/>
        </w:rPr>
        <w:t>, [</w:t>
      </w:r>
      <w:r>
        <w:rPr>
          <w:sz w:val="16"/>
          <w:szCs w:val="16"/>
        </w:rPr>
        <w:t>Dr. Curry is a Prof</w:t>
      </w:r>
      <w:r w:rsidRPr="00AF12D5">
        <w:rPr>
          <w:sz w:val="16"/>
          <w:szCs w:val="16"/>
        </w:rPr>
        <w:t xml:space="preserve"> of Philosophy at Texas A&amp;M University</w:t>
      </w:r>
      <w:r>
        <w:rPr>
          <w:sz w:val="16"/>
          <w:szCs w:val="16"/>
        </w:rPr>
        <w:t>,</w:t>
      </w:r>
      <w:r w:rsidRPr="00AF12D5">
        <w:rPr>
          <w:sz w:val="16"/>
          <w:szCs w:val="16"/>
        </w:rPr>
        <w:t xml:space="preserve"> Ray A. Rothrock Fe</w:t>
      </w:r>
      <w:r>
        <w:rPr>
          <w:sz w:val="16"/>
          <w:szCs w:val="16"/>
        </w:rPr>
        <w:t>llow 13'-16' and</w:t>
      </w:r>
      <w:r w:rsidRPr="00AF12D5">
        <w:rPr>
          <w:sz w:val="16"/>
          <w:szCs w:val="16"/>
        </w:rPr>
        <w:t xml:space="preserve"> currently the USC Shoah Foundation 2016-17 A.I. and Manet Sch</w:t>
      </w:r>
      <w:r>
        <w:rPr>
          <w:sz w:val="16"/>
          <w:szCs w:val="16"/>
        </w:rPr>
        <w:t xml:space="preserve">epps Foundation Teaching Fellow, </w:t>
      </w:r>
      <w:r w:rsidRPr="00AF12D5">
        <w:rPr>
          <w:sz w:val="16"/>
          <w:szCs w:val="16"/>
        </w:rPr>
        <w:t>first Black JV National Debate champion (for UMKC</w:t>
      </w:r>
      <w:r>
        <w:rPr>
          <w:sz w:val="16"/>
          <w:szCs w:val="16"/>
        </w:rPr>
        <w:t>) and</w:t>
      </w:r>
      <w:r w:rsidRPr="00AF12D5">
        <w:rPr>
          <w:sz w:val="16"/>
          <w:szCs w:val="16"/>
        </w:rPr>
        <w:t xml:space="preserve"> half of the first all-</w:t>
      </w:r>
      <w:r>
        <w:rPr>
          <w:sz w:val="16"/>
          <w:szCs w:val="16"/>
        </w:rPr>
        <w:t xml:space="preserve">Black CEDA team to win Pi Kappa Delta] </w:t>
      </w:r>
      <w:r w:rsidRPr="00AF12D5">
        <w:rPr>
          <w:sz w:val="16"/>
          <w:szCs w:val="16"/>
        </w:rPr>
        <w:t>2014, “The Cost of a Thing: A Kingian Reformulation of a Living Wage Argument in the 21</w:t>
      </w:r>
      <w:r w:rsidRPr="00AF12D5">
        <w:rPr>
          <w:sz w:val="16"/>
          <w:szCs w:val="16"/>
          <w:vertAlign w:val="superscript"/>
        </w:rPr>
        <w:t>st</w:t>
      </w:r>
      <w:r w:rsidRPr="00AF12D5">
        <w:rPr>
          <w:sz w:val="16"/>
          <w:szCs w:val="16"/>
        </w:rPr>
        <w:t xml:space="preserve"> Century,”</w:t>
      </w:r>
      <w:r>
        <w:rPr>
          <w:sz w:val="16"/>
          <w:szCs w:val="16"/>
        </w:rPr>
        <w:t xml:space="preserve"> </w:t>
      </w:r>
      <w:hyperlink r:id="rId10" w:history="1">
        <w:r w:rsidRPr="00E865BF">
          <w:rPr>
            <w:rStyle w:val="Hyperlink"/>
            <w:sz w:val="16"/>
            <w:szCs w:val="16"/>
          </w:rPr>
          <w:t>http://www.academia.edu/9798210/The_Cost_of_a_Thing_A_Kingian_Reformulation_of_a_Living_Wage_Argument_in_the_21st_Century</w:t>
        </w:r>
      </w:hyperlink>
      <w:r w:rsidRPr="00E865BF">
        <w:rPr>
          <w:sz w:val="16"/>
          <w:szCs w:val="16"/>
        </w:rPr>
        <w:t xml:space="preserve"> **Brackets in original</w:t>
      </w:r>
    </w:p>
    <w:p w14:paraId="45C478D9" w14:textId="77777777" w:rsidR="00952EB7" w:rsidRPr="00E865BF" w:rsidRDefault="00952EB7" w:rsidP="00952EB7">
      <w:pPr>
        <w:rPr>
          <w:sz w:val="16"/>
          <w:szCs w:val="16"/>
        </w:rPr>
      </w:pPr>
    </w:p>
    <w:p w14:paraId="1D5D04FD" w14:textId="77777777" w:rsidR="00952EB7" w:rsidRDefault="00952EB7" w:rsidP="00952EB7">
      <w:pPr>
        <w:rPr>
          <w:sz w:val="16"/>
        </w:rPr>
      </w:pPr>
      <w:r w:rsidRPr="001A216A">
        <w:rPr>
          <w:rStyle w:val="StyleUnderline"/>
          <w:highlight w:val="green"/>
        </w:rPr>
        <w:t>Despite</w:t>
      </w:r>
      <w:r w:rsidRPr="00AF12D5">
        <w:rPr>
          <w:rStyle w:val="StyleUnderline"/>
        </w:rPr>
        <w:t xml:space="preserve"> the </w:t>
      </w:r>
      <w:r w:rsidRPr="001A216A">
        <w:rPr>
          <w:rStyle w:val="StyleUnderline"/>
          <w:highlight w:val="green"/>
        </w:rPr>
        <w:t>pronouncement of debate as</w:t>
      </w:r>
      <w:r w:rsidRPr="00AF12D5">
        <w:rPr>
          <w:rStyle w:val="StyleUnderline"/>
        </w:rPr>
        <w:t xml:space="preserve"> an</w:t>
      </w:r>
      <w:r w:rsidRPr="008144B4">
        <w:rPr>
          <w:sz w:val="16"/>
        </w:rPr>
        <w:t xml:space="preserve"> activity and </w:t>
      </w:r>
      <w:r w:rsidRPr="001A216A">
        <w:rPr>
          <w:rStyle w:val="StyleUnderline"/>
        </w:rPr>
        <w:t xml:space="preserve">intellectual exercise pointing to the </w:t>
      </w:r>
      <w:r w:rsidRPr="001A216A">
        <w:rPr>
          <w:rStyle w:val="StyleUnderline"/>
          <w:highlight w:val="green"/>
        </w:rPr>
        <w:t>real-world</w:t>
      </w:r>
      <w:r w:rsidRPr="00AF12D5">
        <w:rPr>
          <w:rStyle w:val="StyleUnderline"/>
        </w:rPr>
        <w:t xml:space="preserve"> consequences of</w:t>
      </w:r>
      <w:r w:rsidRPr="008144B4">
        <w:rPr>
          <w:sz w:val="16"/>
        </w:rPr>
        <w:t xml:space="preserve"> dialogue, thinking, and (personal) </w:t>
      </w:r>
      <w:r w:rsidRPr="00AF12D5">
        <w:rPr>
          <w:rStyle w:val="StyleUnderline"/>
        </w:rPr>
        <w:t xml:space="preserve">politics </w:t>
      </w:r>
      <w:r w:rsidRPr="001A216A">
        <w:rPr>
          <w:rStyle w:val="StyleUnderline"/>
          <w:highlight w:val="green"/>
        </w:rPr>
        <w:t>when addressing issues of</w:t>
      </w:r>
      <w:r w:rsidRPr="00AF12D5">
        <w:rPr>
          <w:rStyle w:val="StyleUnderline"/>
        </w:rPr>
        <w:t xml:space="preserve"> racism, sexism, economic </w:t>
      </w:r>
      <w:r w:rsidRPr="001A216A">
        <w:rPr>
          <w:rStyle w:val="StyleUnderline"/>
          <w:highlight w:val="green"/>
        </w:rPr>
        <w:t>disparity</w:t>
      </w:r>
      <w:r w:rsidRPr="00AF12D5">
        <w:rPr>
          <w:rStyle w:val="StyleUnderline"/>
        </w:rPr>
        <w:t xml:space="preserve">, global conflicts, and death, </w:t>
      </w:r>
      <w:r w:rsidRPr="001A216A">
        <w:rPr>
          <w:rStyle w:val="StyleUnderline"/>
          <w:highlight w:val="green"/>
        </w:rPr>
        <w:t>many</w:t>
      </w:r>
      <w:r w:rsidRPr="008144B4">
        <w:rPr>
          <w:sz w:val="16"/>
        </w:rPr>
        <w:t xml:space="preserve"> of the </w:t>
      </w:r>
      <w:r w:rsidRPr="001A216A">
        <w:rPr>
          <w:rStyle w:val="StyleUnderline"/>
          <w:highlight w:val="green"/>
        </w:rPr>
        <w:t>discussions</w:t>
      </w:r>
      <w:r w:rsidRPr="00AF12D5">
        <w:rPr>
          <w:rStyle w:val="StyleUnderline"/>
        </w:rPr>
        <w:t xml:space="preserve"> concerning these</w:t>
      </w:r>
      <w:r w:rsidRPr="008144B4">
        <w:rPr>
          <w:sz w:val="16"/>
        </w:rPr>
        <w:t xml:space="preserve"> ongoing challenges to humanity </w:t>
      </w:r>
      <w:r w:rsidRPr="001A216A">
        <w:rPr>
          <w:rStyle w:val="StyleUnderline"/>
          <w:highlight w:val="green"/>
        </w:rPr>
        <w:t>are fixed to a paradigm</w:t>
      </w:r>
      <w:r w:rsidRPr="008C1D97">
        <w:rPr>
          <w:rStyle w:val="StyleUnderline"/>
        </w:rPr>
        <w:t xml:space="preserve"> which sees</w:t>
      </w:r>
      <w:r w:rsidRPr="008144B4">
        <w:rPr>
          <w:sz w:val="16"/>
        </w:rPr>
        <w:t xml:space="preserve"> the adjudication of </w:t>
      </w:r>
      <w:r w:rsidRPr="008C1D97">
        <w:rPr>
          <w:rStyle w:val="StyleUnderline"/>
        </w:rPr>
        <w:t>material disparities</w:t>
      </w:r>
      <w:r w:rsidRPr="00AF12D5">
        <w:rPr>
          <w:rStyle w:val="StyleUnderline"/>
        </w:rPr>
        <w:t xml:space="preserve"> and sociological realities </w:t>
      </w:r>
      <w:r w:rsidRPr="008C1D97">
        <w:rPr>
          <w:rStyle w:val="StyleUnderline"/>
        </w:rPr>
        <w:t>as</w:t>
      </w:r>
      <w:r w:rsidRPr="00AF12D5">
        <w:rPr>
          <w:rStyle w:val="StyleUnderline"/>
        </w:rPr>
        <w:t xml:space="preserve"> the conquest </w:t>
      </w:r>
      <w:r w:rsidRPr="001A216A">
        <w:rPr>
          <w:rStyle w:val="StyleUnderline"/>
          <w:highlight w:val="green"/>
        </w:rPr>
        <w:t>of</w:t>
      </w:r>
      <w:r w:rsidRPr="00AF12D5">
        <w:rPr>
          <w:rStyle w:val="StyleUnderline"/>
        </w:rPr>
        <w:t xml:space="preserve"> </w:t>
      </w:r>
      <w:r w:rsidRPr="008C1D97">
        <w:rPr>
          <w:rStyle w:val="StyleUnderline"/>
        </w:rPr>
        <w:t xml:space="preserve">one </w:t>
      </w:r>
      <w:r w:rsidRPr="001A216A">
        <w:rPr>
          <w:rStyle w:val="StyleUnderline"/>
          <w:highlight w:val="green"/>
        </w:rPr>
        <w:t>ideal theory</w:t>
      </w:r>
      <w:r w:rsidRPr="008C1D97">
        <w:rPr>
          <w:rStyle w:val="StyleUnderline"/>
        </w:rPr>
        <w:t xml:space="preserve"> over the othe</w:t>
      </w:r>
      <w:r w:rsidRPr="00AF12D5">
        <w:rPr>
          <w:rStyle w:val="StyleUnderline"/>
        </w:rPr>
        <w:t>r</w:t>
      </w:r>
      <w:r w:rsidRPr="008144B4">
        <w:rPr>
          <w:sz w:val="16"/>
        </w:rPr>
        <w:t xml:space="preserve">.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sidRPr="001A216A">
        <w:rPr>
          <w:rStyle w:val="StyleUnderline"/>
          <w:highlight w:val="green"/>
        </w:rPr>
        <w:t>the conceptual chasm between</w:t>
      </w:r>
      <w:r w:rsidRPr="008C1D97">
        <w:rPr>
          <w:rStyle w:val="StyleUnderline"/>
        </w:rPr>
        <w:t xml:space="preserve"> what emerges as </w:t>
      </w:r>
      <w:r w:rsidRPr="001A216A">
        <w:rPr>
          <w:rStyle w:val="StyleUnderline"/>
          <w:highlight w:val="green"/>
        </w:rPr>
        <w:t>actual problems</w:t>
      </w:r>
      <w:r w:rsidRPr="008C1D97">
        <w:rPr>
          <w:rStyle w:val="StyleUnderline"/>
        </w:rPr>
        <w:t xml:space="preserve"> </w:t>
      </w:r>
      <w:r w:rsidRPr="008144B4">
        <w:rPr>
          <w:sz w:val="16"/>
        </w:rPr>
        <w:t xml:space="preserve">in the world (e.g.: racism, sexism, poverty, disease, etc.) </w:t>
      </w:r>
      <w:r w:rsidRPr="001A216A">
        <w:rPr>
          <w:rStyle w:val="StyleUnderline"/>
          <w:highlight w:val="green"/>
        </w:rPr>
        <w:t>and how we frame such problems</w:t>
      </w:r>
      <w:r w:rsidRPr="008C1D97">
        <w:rPr>
          <w:rStyle w:val="StyleUnderline"/>
        </w:rPr>
        <w:t xml:space="preserve"> theoretically</w:t>
      </w:r>
      <w:r w:rsidRPr="008144B4">
        <w:rPr>
          <w:sz w:val="16"/>
        </w:rPr>
        <w:t>—the assumptions and shared ideologies we depend upon for our problems to be heard and accepted as a worthy “problem” by an audience—</w:t>
      </w:r>
      <w:r w:rsidRPr="008C1D97">
        <w:rPr>
          <w:rStyle w:val="StyleUnderline"/>
        </w:rPr>
        <w:t xml:space="preserve">is the most obvious </w:t>
      </w:r>
      <w:r w:rsidRPr="001A216A">
        <w:rPr>
          <w:rStyle w:val="StyleUnderline"/>
          <w:highlight w:val="green"/>
        </w:rPr>
        <w:t>call for</w:t>
      </w:r>
      <w:r w:rsidRPr="001A216A">
        <w:rPr>
          <w:rStyle w:val="StyleUnderline"/>
        </w:rPr>
        <w:t xml:space="preserve"> an</w:t>
      </w:r>
      <w:r w:rsidRPr="008C1D97">
        <w:rPr>
          <w:rStyle w:val="StyleUnderline"/>
        </w:rPr>
        <w:t xml:space="preserve"> anti-ethical paradigm, since such </w:t>
      </w:r>
      <w:r w:rsidRPr="001A216A">
        <w:rPr>
          <w:rStyle w:val="StyleUnderline"/>
          <w:highlight w:val="green"/>
        </w:rPr>
        <w:t>a paradigm insists on the actual as</w:t>
      </w:r>
      <w:r w:rsidRPr="008144B4">
        <w:rPr>
          <w:sz w:val="16"/>
        </w:rPr>
        <w:t xml:space="preserve"> the basis of </w:t>
      </w:r>
      <w:r w:rsidRPr="008C1D97">
        <w:rPr>
          <w:rStyle w:val="StyleUnderline"/>
        </w:rPr>
        <w:t xml:space="preserve">what can be considered </w:t>
      </w:r>
      <w:r w:rsidRPr="001A216A">
        <w:rPr>
          <w:rStyle w:val="StyleUnderline"/>
          <w:highlight w:val="green"/>
        </w:rPr>
        <w:t>normative</w:t>
      </w:r>
      <w:r w:rsidRPr="008C1D97">
        <w:rPr>
          <w:rStyle w:val="StyleUnderline"/>
        </w:rPr>
        <w:t>ly</w:t>
      </w:r>
      <w:r w:rsidRPr="008144B4">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1A216A">
        <w:rPr>
          <w:rStyle w:val="StyleUnderline"/>
          <w:highlight w:val="green"/>
        </w:rPr>
        <w:t>This gap</w:t>
      </w:r>
      <w:r w:rsidRPr="008C1D97">
        <w:rPr>
          <w:rStyle w:val="StyleUnderline"/>
        </w:rPr>
        <w:t xml:space="preserve"> between what is actual</w:t>
      </w:r>
      <w:r w:rsidRPr="008144B4">
        <w:rPr>
          <w:sz w:val="16"/>
        </w:rPr>
        <w:t xml:space="preserve"> (in the world), </w:t>
      </w:r>
      <w:r w:rsidRPr="008C1D97">
        <w:rPr>
          <w:rStyle w:val="StyleUnderline"/>
        </w:rPr>
        <w:t>and what is represented by theories</w:t>
      </w:r>
      <w:r w:rsidRPr="008144B4">
        <w:rPr>
          <w:sz w:val="16"/>
        </w:rPr>
        <w:t xml:space="preserve"> and politics of debaters proposed in rounds </w:t>
      </w:r>
      <w:r w:rsidRPr="001A216A">
        <w:rPr>
          <w:rStyle w:val="StyleUnderline"/>
          <w:highlight w:val="green"/>
        </w:rPr>
        <w:t>threatens any</w:t>
      </w:r>
      <w:r w:rsidRPr="008C1D97">
        <w:rPr>
          <w:rStyle w:val="StyleUnderline"/>
        </w:rPr>
        <w:t xml:space="preserve"> real </w:t>
      </w:r>
      <w:r w:rsidRPr="001A216A">
        <w:rPr>
          <w:rStyle w:val="StyleUnderline"/>
          <w:highlight w:val="green"/>
        </w:rPr>
        <w:t>discussions about the concrete nature of oppression</w:t>
      </w:r>
      <w:r w:rsidRPr="008144B4">
        <w:rPr>
          <w:sz w:val="16"/>
        </w:rPr>
        <w:t xml:space="preserve"> and the racist economic structures which necessitate tangible policies and reorienting changes in our value orientations. </w:t>
      </w:r>
      <w:r w:rsidRPr="001A216A">
        <w:rPr>
          <w:rStyle w:val="StyleUnderline"/>
        </w:rPr>
        <w:t>As Mills states: “</w:t>
      </w:r>
      <w:r w:rsidRPr="001A216A">
        <w:rPr>
          <w:rStyle w:val="StyleUnderline"/>
          <w:highlight w:val="green"/>
        </w:rPr>
        <w:t>What distinguishes ideal theory is</w:t>
      </w:r>
      <w:r w:rsidRPr="008C1D97">
        <w:rPr>
          <w:rStyle w:val="StyleUnderline"/>
        </w:rPr>
        <w:t xml:space="preserve"> the reliance on idealization to the </w:t>
      </w:r>
      <w:r w:rsidRPr="001A216A">
        <w:rPr>
          <w:rStyle w:val="StyleUnderline"/>
          <w:highlight w:val="green"/>
        </w:rPr>
        <w:t>exclusion</w:t>
      </w:r>
      <w:r w:rsidRPr="008144B4">
        <w:rPr>
          <w:sz w:val="16"/>
        </w:rPr>
        <w:t>, or at least marginalization</w:t>
      </w:r>
      <w:r w:rsidRPr="001A216A">
        <w:rPr>
          <w:sz w:val="16"/>
        </w:rPr>
        <w:t xml:space="preserve">, </w:t>
      </w:r>
      <w:r w:rsidRPr="001A216A">
        <w:rPr>
          <w:rStyle w:val="StyleUnderline"/>
          <w:highlight w:val="green"/>
        </w:rPr>
        <w:t>of the actual</w:t>
      </w:r>
      <w:r w:rsidRPr="008144B4">
        <w:rPr>
          <w:sz w:val="16"/>
        </w:rPr>
        <w:t xml:space="preserve">,” so </w:t>
      </w:r>
      <w:r w:rsidRPr="00761675">
        <w:rPr>
          <w:rStyle w:val="StyleUnderline"/>
        </w:rPr>
        <w:t xml:space="preserve">what we are seeking to resolve </w:t>
      </w:r>
      <w:proofErr w:type="gramStart"/>
      <w:r w:rsidRPr="00761675">
        <w:rPr>
          <w:rStyle w:val="StyleUnderline"/>
        </w:rPr>
        <w:t>on the basis of</w:t>
      </w:r>
      <w:proofErr w:type="gramEnd"/>
      <w:r w:rsidRPr="00761675">
        <w:rPr>
          <w:rStyle w:val="StyleUnderline"/>
        </w:rPr>
        <w:t xml:space="preserve"> “thought” is</w:t>
      </w:r>
      <w:r w:rsidRPr="008144B4">
        <w:rPr>
          <w:sz w:val="16"/>
        </w:rPr>
        <w:t xml:space="preserve"> in fact incomplete, incorrect, or </w:t>
      </w:r>
      <w:r w:rsidRPr="00761675">
        <w:rPr>
          <w:rStyle w:val="StyleUnderline"/>
        </w:rPr>
        <w:t>ultimately irrelevant to the actual problems</w:t>
      </w:r>
      <w:r w:rsidRPr="008144B4">
        <w:rPr>
          <w:sz w:val="16"/>
        </w:rPr>
        <w:t xml:space="preserve"> which our “theories” seek to address. Our </w:t>
      </w:r>
      <w:r w:rsidRPr="001A216A">
        <w:rPr>
          <w:rStyle w:val="StyleUnderline"/>
          <w:highlight w:val="green"/>
        </w:rPr>
        <w:t>attempts to situate social disparity</w:t>
      </w:r>
      <w:r w:rsidRPr="008C1D97">
        <w:rPr>
          <w:rStyle w:val="StyleUnderline"/>
        </w:rPr>
        <w:t xml:space="preserve"> cannot simply appeal to the ontologization of social phenomenon</w:t>
      </w:r>
      <w:r w:rsidRPr="008144B4">
        <w:rPr>
          <w:sz w:val="16"/>
        </w:rPr>
        <w:t xml:space="preserve">—meaning </w:t>
      </w:r>
      <w:r w:rsidRPr="008C1D97">
        <w:rPr>
          <w:rStyle w:val="StyleUnderline"/>
        </w:rPr>
        <w:t xml:space="preserve">we </w:t>
      </w:r>
      <w:r w:rsidRPr="001A216A">
        <w:rPr>
          <w:rStyle w:val="StyleUnderline"/>
          <w:highlight w:val="green"/>
        </w:rPr>
        <w:t>cannot suggest</w:t>
      </w:r>
      <w:r w:rsidRPr="008C1D97">
        <w:rPr>
          <w:rStyle w:val="StyleUnderline"/>
        </w:rPr>
        <w:t xml:space="preserve"> that </w:t>
      </w:r>
      <w:r w:rsidRPr="001A216A">
        <w:rPr>
          <w:rStyle w:val="StyleUnderline"/>
          <w:highlight w:val="green"/>
        </w:rPr>
        <w:t>the various complexities of social problems</w:t>
      </w:r>
      <w:r w:rsidRPr="008144B4">
        <w:rPr>
          <w:sz w:val="16"/>
        </w:rPr>
        <w:t xml:space="preserve"> (which are constantly emerging and undisclosed beyond the effects we observe) </w:t>
      </w:r>
      <w:r w:rsidRPr="001A216A">
        <w:rPr>
          <w:rStyle w:val="StyleUnderline"/>
          <w:highlight w:val="green"/>
        </w:rPr>
        <w:t>are totalizable by any one</w:t>
      </w:r>
      <w:r w:rsidRPr="008C1D97">
        <w:rPr>
          <w:rStyle w:val="StyleUnderline"/>
        </w:rPr>
        <w:t xml:space="preserve"> set of </w:t>
      </w:r>
      <w:r w:rsidRPr="00C5057E">
        <w:rPr>
          <w:rStyle w:val="StyleUnderline"/>
        </w:rPr>
        <w:t>theories</w:t>
      </w:r>
      <w:r w:rsidRPr="008C1D97">
        <w:rPr>
          <w:rStyle w:val="StyleUnderline"/>
        </w:rPr>
        <w:t xml:space="preserve"> within an </w:t>
      </w:r>
      <w:r w:rsidRPr="001A216A">
        <w:rPr>
          <w:rStyle w:val="StyleUnderline"/>
          <w:highlight w:val="green"/>
        </w:rPr>
        <w:t>ideologi</w:t>
      </w:r>
      <w:r w:rsidRPr="008144B4">
        <w:rPr>
          <w:rStyle w:val="StyleUnderline"/>
        </w:rPr>
        <w:t>cal frame</w:t>
      </w:r>
      <w:r w:rsidRPr="008C1D97">
        <w:rPr>
          <w:rStyle w:val="StyleUnderline"/>
        </w:rPr>
        <w:t xml:space="preserve"> be it</w:t>
      </w:r>
      <w:r w:rsidRPr="008144B4">
        <w:rPr>
          <w:sz w:val="16"/>
        </w:rPr>
        <w:t xml:space="preserve"> our most cherished notions of </w:t>
      </w:r>
      <w:r w:rsidRPr="008C1D97">
        <w:rPr>
          <w:rStyle w:val="StyleUnderline"/>
        </w:rPr>
        <w:t>Afro-pessimism, feminism, Marxism, or the like</w:t>
      </w:r>
      <w:r w:rsidRPr="008144B4">
        <w:rPr>
          <w:sz w:val="16"/>
        </w:rPr>
        <w:t xml:space="preserve">.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w:t>
      </w:r>
      <w:proofErr w:type="gramStart"/>
      <w:r w:rsidRPr="008144B4">
        <w:rPr>
          <w:sz w:val="16"/>
        </w:rPr>
        <w:t>As a whole, debate</w:t>
      </w:r>
      <w:proofErr w:type="gramEnd"/>
      <w:r w:rsidRPr="008144B4">
        <w:rPr>
          <w:sz w:val="16"/>
        </w:rPr>
        <w:t xml:space="preserv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4951476" w14:textId="77777777" w:rsidR="00952EB7" w:rsidRDefault="00952EB7" w:rsidP="00952EB7">
      <w:pPr>
        <w:pStyle w:val="Heading4"/>
      </w:pPr>
      <w:r>
        <w:lastRenderedPageBreak/>
        <w:t>2] Actor spec—</w:t>
      </w:r>
    </w:p>
    <w:p w14:paraId="363EAF56" w14:textId="77777777" w:rsidR="00952EB7" w:rsidRDefault="00952EB7" w:rsidP="00952EB7">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1DD94020" w14:textId="77777777" w:rsidR="00952EB7" w:rsidRDefault="00952EB7" w:rsidP="00952EB7">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xml:space="preserve">, </w:t>
      </w:r>
      <w:proofErr w:type="gramStart"/>
      <w:r>
        <w:t>ie</w:t>
      </w:r>
      <w:proofErr w:type="gramEnd"/>
      <w:r>
        <w:t xml:space="preserve"> voting against something is still acting.</w:t>
      </w:r>
    </w:p>
    <w:p w14:paraId="327DC2D9" w14:textId="77777777" w:rsidR="00952EB7" w:rsidRDefault="00952EB7" w:rsidP="00952EB7">
      <w:pPr>
        <w:pStyle w:val="Heading4"/>
      </w:pPr>
      <w:r>
        <w:t xml:space="preserve">c. no intent foresight distinction— governments can’t have intent since they’re made up of multiple actors with separate motivations, </w:t>
      </w:r>
      <w:proofErr w:type="gramStart"/>
      <w:r>
        <w:t>ie</w:t>
      </w:r>
      <w:proofErr w:type="gramEnd"/>
      <w:r>
        <w:t xml:space="preserve"> some congress people might vote for something to gain votes while other actually think the bill is good.</w:t>
      </w:r>
    </w:p>
    <w:p w14:paraId="1DA8D3A7" w14:textId="77777777" w:rsidR="00952EB7" w:rsidRDefault="00952EB7" w:rsidP="00952EB7">
      <w:pPr>
        <w:pStyle w:val="Heading4"/>
      </w:pPr>
      <w:r>
        <w:t>Takes out and turns calc indicts, consequentialism might be hard but it’s not impossible, and the alternative is no action which is worse; and actor spec outweighs since different actors have different ethical standings.</w:t>
      </w:r>
    </w:p>
    <w:p w14:paraId="70CC78D2" w14:textId="77777777" w:rsidR="00952EB7" w:rsidRPr="001314EE" w:rsidRDefault="00952EB7" w:rsidP="00952EB7">
      <w:pPr>
        <w:pStyle w:val="Heading4"/>
        <w:rPr>
          <w:rFonts w:cs="Calibri"/>
        </w:rPr>
      </w:pPr>
      <w:r>
        <w:rPr>
          <w:rFonts w:cs="Calibri"/>
        </w:rPr>
        <w:t>3</w:t>
      </w:r>
      <w:r w:rsidRPr="001314EE">
        <w:rPr>
          <w:rFonts w:cs="Calibri"/>
        </w:rPr>
        <w:t>] Substitutability—</w:t>
      </w:r>
      <w:r>
        <w:rPr>
          <w:rFonts w:cs="Calibri"/>
        </w:rPr>
        <w:t xml:space="preserve"> </w:t>
      </w:r>
      <w:r w:rsidRPr="001314EE">
        <w:rPr>
          <w:rFonts w:cs="Calibri"/>
        </w:rPr>
        <w:t>only consequentiali</w:t>
      </w:r>
      <w:r>
        <w:rPr>
          <w:rFonts w:cs="Calibri"/>
        </w:rPr>
        <w:t>sm explains necessary enablers.</w:t>
      </w:r>
    </w:p>
    <w:p w14:paraId="6F43F13E" w14:textId="77777777" w:rsidR="00952EB7" w:rsidRPr="0093224E" w:rsidRDefault="00952EB7" w:rsidP="00952EB7">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1C8AD987" w14:textId="77777777" w:rsidR="00952EB7" w:rsidRPr="0093224E" w:rsidRDefault="00952EB7" w:rsidP="00952EB7">
      <w:pPr>
        <w:rPr>
          <w:sz w:val="16"/>
          <w:szCs w:val="16"/>
        </w:rPr>
      </w:pPr>
      <w:r w:rsidRPr="0093224E">
        <w:rPr>
          <w:sz w:val="16"/>
          <w:szCs w:val="16"/>
        </w:rPr>
        <w:t xml:space="preserve"> </w:t>
      </w:r>
    </w:p>
    <w:p w14:paraId="62A38005" w14:textId="6F9BAEA1" w:rsidR="00952EB7" w:rsidRPr="00952EB7" w:rsidRDefault="00952EB7" w:rsidP="00952EB7">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w:t>
      </w:r>
      <w:proofErr w:type="gramStart"/>
      <w:r w:rsidRPr="00844933">
        <w:rPr>
          <w:rStyle w:val="StyleUnderline"/>
        </w:rPr>
        <w:t>as a result of</w:t>
      </w:r>
      <w:proofErr w:type="gramEnd"/>
      <w:r w:rsidRPr="00844933">
        <w:rPr>
          <w:rStyle w:val="StyleUnderline"/>
        </w:rPr>
        <w:t xml:space="preserve">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w:t>
      </w:r>
      <w:proofErr w:type="gramStart"/>
      <w:r w:rsidRPr="00DC7E83">
        <w:rPr>
          <w:sz w:val="16"/>
        </w:rPr>
        <w:t>In order to</w:t>
      </w:r>
      <w:proofErr w:type="gramEnd"/>
      <w:r w:rsidRPr="00DC7E83">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7E83">
        <w:rPr>
          <w:sz w:val="16"/>
        </w:rPr>
        <w:t>are</w:t>
      </w:r>
      <w:proofErr w:type="gramEnd"/>
      <w:r w:rsidRPr="00DC7E83">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w:t>
      </w:r>
      <w:r w:rsidRPr="00DC7E83">
        <w:rPr>
          <w:sz w:val="16"/>
        </w:rPr>
        <w:lastRenderedPageBreak/>
        <w:t xml:space="preserve">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 xml:space="preserve">without starting my </w:t>
      </w:r>
      <w:proofErr w:type="gramStart"/>
      <w:r w:rsidRPr="00DC7E83">
        <w:rPr>
          <w:rStyle w:val="StyleUnderline"/>
          <w:highlight w:val="green"/>
        </w:rPr>
        <w:t>mower</w:t>
      </w:r>
      <w:r w:rsidRPr="00844933">
        <w:rPr>
          <w:rStyle w:val="StyleUnderline"/>
        </w:rPr>
        <w:t>, and</w:t>
      </w:r>
      <w:proofErr w:type="gramEnd"/>
      <w:r w:rsidRPr="00844933">
        <w:rPr>
          <w:rStyle w:val="StyleUnderline"/>
        </w:rPr>
        <w:t xml:space="preserve">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35733C20" w14:textId="5B3E2B41" w:rsidR="00952EB7" w:rsidRDefault="00952EB7" w:rsidP="00952EB7">
      <w:pPr>
        <w:pStyle w:val="Heading4"/>
      </w:pPr>
      <w:r>
        <w:t xml:space="preserve">4] Weighability—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20D65837" w14:textId="6FD23DB1" w:rsidR="00952EB7" w:rsidRDefault="00952EB7" w:rsidP="00952EB7">
      <w:pPr>
        <w:pStyle w:val="Heading4"/>
      </w:pPr>
      <w:r>
        <w:t>5] Use epistemic modesty— that’s the probability of the framework being true times the magnitude of an impact under it.</w:t>
      </w:r>
    </w:p>
    <w:p w14:paraId="5A02FF7C" w14:textId="77777777" w:rsidR="00952EB7" w:rsidRDefault="00952EB7" w:rsidP="00952EB7">
      <w:pPr>
        <w:pStyle w:val="Heading4"/>
      </w:pPr>
      <w:r>
        <w:t>a. substantively true: maximizes the probability of the most moral value; arguments against a framework mitigate offense under it but that mitigation is contingent, half the debate shouldn’t be thrown out just since someone’s 1% ahead on fwk.</w:t>
      </w:r>
    </w:p>
    <w:p w14:paraId="40101927" w14:textId="77777777" w:rsidR="00952EB7" w:rsidRPr="00E971A8" w:rsidRDefault="00952EB7" w:rsidP="00952EB7">
      <w:pPr>
        <w:pStyle w:val="Heading4"/>
      </w:pPr>
      <w:r>
        <w:t xml:space="preserve">b. </w:t>
      </w:r>
      <w:proofErr w:type="gramStart"/>
      <w:r>
        <w:t>clash:</w:t>
      </w:r>
      <w:proofErr w:type="gramEnd"/>
      <w:r>
        <w:t xml:space="preserve"> discourages debaters from ignoring contention level debate which means we get education about phil and the topic— topical ed outweighs since we only have 2 months for each topic; this is drop the arg.</w:t>
      </w:r>
    </w:p>
    <w:p w14:paraId="2AC525CB" w14:textId="77777777" w:rsidR="00A82DB7" w:rsidRPr="00C76EB5" w:rsidRDefault="00A82DB7" w:rsidP="00A82DB7">
      <w:pPr>
        <w:pStyle w:val="Heading4"/>
        <w:rPr>
          <w:rFonts w:cs="Calibri"/>
        </w:rPr>
      </w:pPr>
      <w:r w:rsidRPr="00C76EB5">
        <w:rPr>
          <w:rFonts w:cs="Calibri"/>
        </w:rPr>
        <w:t>Evaluate consequences – not doing so is morally bankrupt</w:t>
      </w:r>
    </w:p>
    <w:p w14:paraId="684794A4" w14:textId="77777777" w:rsidR="00A82DB7" w:rsidRPr="00C76EB5" w:rsidRDefault="00A82DB7" w:rsidP="00A82DB7">
      <w:r w:rsidRPr="00C76EB5">
        <w:rPr>
          <w:rStyle w:val="Style13ptBold"/>
        </w:rPr>
        <w:t>Daase and Friesendorf 10</w:t>
      </w:r>
      <w:r w:rsidRPr="00C76EB5">
        <w:t xml:space="preserve"> (Daase; Christopher Daase; professor at the Goethe University Frankfurt and head of the program area International Organizations and International Law at the Peace Research Institute Frankfurt; Friesendorf; Cornelius Friesendorf; lecturer at the Goethe University Frankfurt and research fellow at the Peace Research Institute Frankfurt; “Rethinking Security Governance: the problem of unintended consequences”; Routledge; 2010; pp 205-207; </w:t>
      </w:r>
      <w:hyperlink r:id="rId11"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576CE088" w14:textId="1D1E44C0" w:rsidR="00664EA1" w:rsidRPr="00664EA1" w:rsidRDefault="00A82DB7" w:rsidP="00A82DB7">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sobering reading for anyone espousing security governance as the best contemporary policy mode. Even refined security governance tools such </w:t>
      </w:r>
      <w:r w:rsidRPr="00C76EB5">
        <w:rPr>
          <w:sz w:val="16"/>
        </w:rPr>
        <w:lastRenderedPageBreak/>
        <w:t xml:space="preserve">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w:t>
      </w:r>
      <w:proofErr w:type="gramStart"/>
      <w:r w:rsidRPr="00C76EB5">
        <w:rPr>
          <w:sz w:val="16"/>
        </w:rPr>
        <w:t>Adding to these difficulties, there</w:t>
      </w:r>
      <w:proofErr w:type="gramEnd"/>
      <w:r w:rsidRPr="00C76EB5">
        <w:rPr>
          <w:sz w:val="16"/>
        </w:rPr>
        <w:t xml:space="preserv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w:t>
      </w:r>
      <w:proofErr w:type="gramStart"/>
      <w:r w:rsidRPr="00C76EB5">
        <w:rPr>
          <w:rStyle w:val="StyleUnderline"/>
        </w:rPr>
        <w:t>in order to</w:t>
      </w:r>
      <w:proofErr w:type="gramEnd"/>
      <w:r w:rsidRPr="00C76EB5">
        <w:rPr>
          <w:rStyle w:val="StyleUnderline"/>
        </w:rPr>
        <w:t xml:space="preserve">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proofErr w:type="gramStart"/>
      <w:r w:rsidRPr="00C76EB5">
        <w:rPr>
          <w:rStyle w:val="StyleUnderline"/>
          <w:highlight w:val="green"/>
        </w:rPr>
        <w:t>is</w:t>
      </w:r>
      <w:proofErr w:type="gramEnd"/>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937483389024"/>
    <w:docVar w:name="VerbatimVersion" w:val="5.1"/>
  </w:docVars>
  <w:rsids>
    <w:rsidRoot w:val="00543B4A"/>
    <w:rsid w:val="000139A3"/>
    <w:rsid w:val="000908EF"/>
    <w:rsid w:val="000E5F12"/>
    <w:rsid w:val="00100833"/>
    <w:rsid w:val="00104529"/>
    <w:rsid w:val="00105942"/>
    <w:rsid w:val="00107396"/>
    <w:rsid w:val="00144A4C"/>
    <w:rsid w:val="00176AB0"/>
    <w:rsid w:val="00177B7D"/>
    <w:rsid w:val="0018322D"/>
    <w:rsid w:val="00185CC5"/>
    <w:rsid w:val="001B5776"/>
    <w:rsid w:val="001E527A"/>
    <w:rsid w:val="001F78CE"/>
    <w:rsid w:val="00251FC7"/>
    <w:rsid w:val="002855A7"/>
    <w:rsid w:val="002A2A67"/>
    <w:rsid w:val="002B146A"/>
    <w:rsid w:val="002B5E17"/>
    <w:rsid w:val="002D5C20"/>
    <w:rsid w:val="00315690"/>
    <w:rsid w:val="00316B75"/>
    <w:rsid w:val="00325646"/>
    <w:rsid w:val="003460F2"/>
    <w:rsid w:val="003461A7"/>
    <w:rsid w:val="0038158C"/>
    <w:rsid w:val="003902BA"/>
    <w:rsid w:val="003A09E2"/>
    <w:rsid w:val="003B27F0"/>
    <w:rsid w:val="003D0B77"/>
    <w:rsid w:val="00407037"/>
    <w:rsid w:val="004333BD"/>
    <w:rsid w:val="00445B06"/>
    <w:rsid w:val="004605D6"/>
    <w:rsid w:val="004A2A24"/>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A2AD0"/>
    <w:rsid w:val="006A5BC5"/>
    <w:rsid w:val="006C2375"/>
    <w:rsid w:val="006D4ECC"/>
    <w:rsid w:val="00722258"/>
    <w:rsid w:val="007243E5"/>
    <w:rsid w:val="00766EA0"/>
    <w:rsid w:val="00784443"/>
    <w:rsid w:val="007A2226"/>
    <w:rsid w:val="007F5B66"/>
    <w:rsid w:val="00823A1C"/>
    <w:rsid w:val="00845B9D"/>
    <w:rsid w:val="00851C07"/>
    <w:rsid w:val="00860984"/>
    <w:rsid w:val="008A13FF"/>
    <w:rsid w:val="008B3ECB"/>
    <w:rsid w:val="008B4E85"/>
    <w:rsid w:val="008C1B2E"/>
    <w:rsid w:val="0091627E"/>
    <w:rsid w:val="00917D90"/>
    <w:rsid w:val="00952EB7"/>
    <w:rsid w:val="0097032B"/>
    <w:rsid w:val="009B68E9"/>
    <w:rsid w:val="009D2C09"/>
    <w:rsid w:val="009D2EAD"/>
    <w:rsid w:val="009D54B2"/>
    <w:rsid w:val="009E1922"/>
    <w:rsid w:val="009F7ED2"/>
    <w:rsid w:val="00A01378"/>
    <w:rsid w:val="00A82DB7"/>
    <w:rsid w:val="00A93661"/>
    <w:rsid w:val="00A95652"/>
    <w:rsid w:val="00AC0AB8"/>
    <w:rsid w:val="00AD31E9"/>
    <w:rsid w:val="00B33C6D"/>
    <w:rsid w:val="00B426D5"/>
    <w:rsid w:val="00B4508F"/>
    <w:rsid w:val="00B55AD5"/>
    <w:rsid w:val="00B8057C"/>
    <w:rsid w:val="00B91A5A"/>
    <w:rsid w:val="00BD2EE6"/>
    <w:rsid w:val="00BD6238"/>
    <w:rsid w:val="00BF593B"/>
    <w:rsid w:val="00BF773A"/>
    <w:rsid w:val="00BF7E81"/>
    <w:rsid w:val="00C13773"/>
    <w:rsid w:val="00C17CC8"/>
    <w:rsid w:val="00C3388B"/>
    <w:rsid w:val="00C46AF5"/>
    <w:rsid w:val="00C52AE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CC0"/>
    <w:rsid w:val="00DF2725"/>
    <w:rsid w:val="00DF45F6"/>
    <w:rsid w:val="00E15E75"/>
    <w:rsid w:val="00E5262C"/>
    <w:rsid w:val="00EA45FD"/>
    <w:rsid w:val="00EC7DC4"/>
    <w:rsid w:val="00ED30CF"/>
    <w:rsid w:val="00F176EF"/>
    <w:rsid w:val="00F45E10"/>
    <w:rsid w:val="00F55C1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5C19"/>
    <w:rPr>
      <w:rFonts w:ascii="Calibri" w:hAnsi="Calibri"/>
    </w:rPr>
  </w:style>
  <w:style w:type="paragraph" w:styleId="Heading1">
    <w:name w:val="heading 1"/>
    <w:aliases w:val="Pocket"/>
    <w:basedOn w:val="Normal"/>
    <w:next w:val="Normal"/>
    <w:link w:val="Heading1Char"/>
    <w:qFormat/>
    <w:rsid w:val="00F55C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5C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55C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F55C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5C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C19"/>
  </w:style>
  <w:style w:type="character" w:customStyle="1" w:styleId="Heading1Char">
    <w:name w:val="Heading 1 Char"/>
    <w:aliases w:val="Pocket Char"/>
    <w:basedOn w:val="DefaultParagraphFont"/>
    <w:link w:val="Heading1"/>
    <w:rsid w:val="00F55C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5C1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F55C1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55C1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F55C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55C1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55C19"/>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F55C19"/>
    <w:rPr>
      <w:color w:val="auto"/>
      <w:u w:val="none"/>
    </w:rPr>
  </w:style>
  <w:style w:type="character" w:styleId="FollowedHyperlink">
    <w:name w:val="FollowedHyperlink"/>
    <w:basedOn w:val="DefaultParagraphFont"/>
    <w:uiPriority w:val="99"/>
    <w:semiHidden/>
    <w:unhideWhenUsed/>
    <w:rsid w:val="00F55C19"/>
    <w:rPr>
      <w:color w:val="auto"/>
      <w:u w:val="none"/>
    </w:rPr>
  </w:style>
  <w:style w:type="paragraph" w:customStyle="1" w:styleId="Style1">
    <w:name w:val="Style1"/>
    <w:basedOn w:val="Normal"/>
    <w:link w:val="Style1Char"/>
    <w:uiPriority w:val="4"/>
    <w:qFormat/>
    <w:rsid w:val="00F55C19"/>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F55C19"/>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F55C19"/>
    <w:rPr>
      <w:color w:val="4472C4" w:themeColor="accent5"/>
    </w:rPr>
  </w:style>
  <w:style w:type="character" w:customStyle="1" w:styleId="analytics---nngbChar">
    <w:name w:val="analytics---nngb Char"/>
    <w:basedOn w:val="DefaultParagraphFont"/>
    <w:link w:val="analytics---nngb"/>
    <w:uiPriority w:val="4"/>
    <w:rsid w:val="00F55C19"/>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07684">
      <w:bodyDiv w:val="1"/>
      <w:marLeft w:val="0"/>
      <w:marRight w:val="0"/>
      <w:marTop w:val="0"/>
      <w:marBottom w:val="0"/>
      <w:divBdr>
        <w:top w:val="none" w:sz="0" w:space="0" w:color="auto"/>
        <w:left w:val="none" w:sz="0" w:space="0" w:color="auto"/>
        <w:bottom w:val="none" w:sz="0" w:space="0" w:color="auto"/>
        <w:right w:val="none" w:sz="0" w:space="0" w:color="auto"/>
      </w:divBdr>
      <w:divsChild>
        <w:div w:id="689069730">
          <w:marLeft w:val="0"/>
          <w:marRight w:val="0"/>
          <w:marTop w:val="0"/>
          <w:marBottom w:val="0"/>
          <w:divBdr>
            <w:top w:val="none" w:sz="0" w:space="0" w:color="auto"/>
            <w:left w:val="none" w:sz="0" w:space="0" w:color="auto"/>
            <w:bottom w:val="none" w:sz="0" w:space="0" w:color="auto"/>
            <w:right w:val="none" w:sz="0" w:space="0" w:color="auto"/>
          </w:divBdr>
          <w:divsChild>
            <w:div w:id="853303541">
              <w:marLeft w:val="0"/>
              <w:marRight w:val="0"/>
              <w:marTop w:val="0"/>
              <w:marBottom w:val="0"/>
              <w:divBdr>
                <w:top w:val="none" w:sz="0" w:space="0" w:color="auto"/>
                <w:left w:val="none" w:sz="0" w:space="0" w:color="auto"/>
                <w:bottom w:val="none" w:sz="0" w:space="0" w:color="auto"/>
                <w:right w:val="none" w:sz="0" w:space="0" w:color="auto"/>
              </w:divBdr>
              <w:divsChild>
                <w:div w:id="855853413">
                  <w:marLeft w:val="0"/>
                  <w:marRight w:val="0"/>
                  <w:marTop w:val="0"/>
                  <w:marBottom w:val="0"/>
                  <w:divBdr>
                    <w:top w:val="none" w:sz="0" w:space="0" w:color="auto"/>
                    <w:left w:val="none" w:sz="0" w:space="0" w:color="auto"/>
                    <w:bottom w:val="none" w:sz="0" w:space="0" w:color="auto"/>
                    <w:right w:val="none" w:sz="0" w:space="0" w:color="auto"/>
                  </w:divBdr>
                  <w:divsChild>
                    <w:div w:id="17199303">
                      <w:marLeft w:val="0"/>
                      <w:marRight w:val="0"/>
                      <w:marTop w:val="0"/>
                      <w:marBottom w:val="0"/>
                      <w:divBdr>
                        <w:top w:val="none" w:sz="0" w:space="0" w:color="auto"/>
                        <w:left w:val="none" w:sz="0" w:space="0" w:color="auto"/>
                        <w:bottom w:val="none" w:sz="0" w:space="0" w:color="auto"/>
                        <w:right w:val="none" w:sz="0" w:space="0" w:color="auto"/>
                      </w:divBdr>
                      <w:divsChild>
                        <w:div w:id="289097850">
                          <w:marLeft w:val="0"/>
                          <w:marRight w:val="0"/>
                          <w:marTop w:val="0"/>
                          <w:marBottom w:val="0"/>
                          <w:divBdr>
                            <w:top w:val="none" w:sz="0" w:space="0" w:color="auto"/>
                            <w:left w:val="none" w:sz="0" w:space="0" w:color="auto"/>
                            <w:bottom w:val="none" w:sz="0" w:space="0" w:color="auto"/>
                            <w:right w:val="none" w:sz="0" w:space="0" w:color="auto"/>
                          </w:divBdr>
                          <w:divsChild>
                            <w:div w:id="81875344">
                              <w:marLeft w:val="-240"/>
                              <w:marRight w:val="-120"/>
                              <w:marTop w:val="0"/>
                              <w:marBottom w:val="0"/>
                              <w:divBdr>
                                <w:top w:val="none" w:sz="0" w:space="0" w:color="auto"/>
                                <w:left w:val="none" w:sz="0" w:space="0" w:color="auto"/>
                                <w:bottom w:val="none" w:sz="0" w:space="0" w:color="auto"/>
                                <w:right w:val="none" w:sz="0" w:space="0" w:color="auto"/>
                              </w:divBdr>
                              <w:divsChild>
                                <w:div w:id="1636568552">
                                  <w:marLeft w:val="0"/>
                                  <w:marRight w:val="0"/>
                                  <w:marTop w:val="0"/>
                                  <w:marBottom w:val="60"/>
                                  <w:divBdr>
                                    <w:top w:val="none" w:sz="0" w:space="0" w:color="auto"/>
                                    <w:left w:val="none" w:sz="0" w:space="0" w:color="auto"/>
                                    <w:bottom w:val="none" w:sz="0" w:space="0" w:color="auto"/>
                                    <w:right w:val="none" w:sz="0" w:space="0" w:color="auto"/>
                                  </w:divBdr>
                                  <w:divsChild>
                                    <w:div w:id="147748628">
                                      <w:marLeft w:val="0"/>
                                      <w:marRight w:val="0"/>
                                      <w:marTop w:val="0"/>
                                      <w:marBottom w:val="0"/>
                                      <w:divBdr>
                                        <w:top w:val="none" w:sz="0" w:space="0" w:color="auto"/>
                                        <w:left w:val="none" w:sz="0" w:space="0" w:color="auto"/>
                                        <w:bottom w:val="none" w:sz="0" w:space="0" w:color="auto"/>
                                        <w:right w:val="none" w:sz="0" w:space="0" w:color="auto"/>
                                      </w:divBdr>
                                      <w:divsChild>
                                        <w:div w:id="135033420">
                                          <w:marLeft w:val="0"/>
                                          <w:marRight w:val="0"/>
                                          <w:marTop w:val="0"/>
                                          <w:marBottom w:val="0"/>
                                          <w:divBdr>
                                            <w:top w:val="none" w:sz="0" w:space="0" w:color="auto"/>
                                            <w:left w:val="none" w:sz="0" w:space="0" w:color="auto"/>
                                            <w:bottom w:val="none" w:sz="0" w:space="0" w:color="auto"/>
                                            <w:right w:val="none" w:sz="0" w:space="0" w:color="auto"/>
                                          </w:divBdr>
                                          <w:divsChild>
                                            <w:div w:id="457995606">
                                              <w:marLeft w:val="0"/>
                                              <w:marRight w:val="0"/>
                                              <w:marTop w:val="0"/>
                                              <w:marBottom w:val="0"/>
                                              <w:divBdr>
                                                <w:top w:val="none" w:sz="0" w:space="0" w:color="auto"/>
                                                <w:left w:val="none" w:sz="0" w:space="0" w:color="auto"/>
                                                <w:bottom w:val="none" w:sz="0" w:space="0" w:color="auto"/>
                                                <w:right w:val="none" w:sz="0" w:space="0" w:color="auto"/>
                                              </w:divBdr>
                                              <w:divsChild>
                                                <w:div w:id="123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202097">
          <w:marLeft w:val="0"/>
          <w:marRight w:val="0"/>
          <w:marTop w:val="0"/>
          <w:marBottom w:val="0"/>
          <w:divBdr>
            <w:top w:val="none" w:sz="0" w:space="0" w:color="auto"/>
            <w:left w:val="none" w:sz="0" w:space="0" w:color="auto"/>
            <w:bottom w:val="none" w:sz="0" w:space="0" w:color="auto"/>
            <w:right w:val="none" w:sz="0" w:space="0" w:color="auto"/>
          </w:divBdr>
          <w:divsChild>
            <w:div w:id="1618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ciencealert.com/space-junk-accidents-could-trigger-armed-conflict-expert-war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scholarship.mcgill.ca/downloads/n009w560v?locale=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6430818.pdf?refreqid=excelsior%3A5c3c9eb9129d569ffff0fca50581bec9" TargetMode="External"/><Relationship Id="rId11"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 Id="rId5" Type="http://schemas.openxmlformats.org/officeDocument/2006/relationships/webSettings" Target="webSettings.xml"/><Relationship Id="rId10" Type="http://schemas.openxmlformats.org/officeDocument/2006/relationships/hyperlink" Target="http://www.academia.edu/9798210/The_Cost_of_a_Thing_A_Kingian_Reformulation_of_a_Living_Wage_Argument_in_the_21st_Century"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TotalTime>
  <Pages>22</Pages>
  <Words>17735</Words>
  <Characters>101090</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18</cp:revision>
  <dcterms:created xsi:type="dcterms:W3CDTF">2021-12-12T04:12:00Z</dcterms:created>
  <dcterms:modified xsi:type="dcterms:W3CDTF">2022-01-15T18:55:00Z</dcterms:modified>
</cp:coreProperties>
</file>