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9431" w14:textId="77777777" w:rsidR="00E3263A" w:rsidRPr="00136D72" w:rsidRDefault="00E3263A" w:rsidP="00E3263A">
      <w:pPr>
        <w:pStyle w:val="Heading3"/>
        <w:rPr>
          <w:rFonts w:asciiTheme="majorHAnsi" w:hAnsiTheme="majorHAnsi"/>
        </w:rPr>
      </w:pPr>
      <w:r w:rsidRPr="00136D72">
        <w:rPr>
          <w:rFonts w:asciiTheme="majorHAnsi" w:hAnsiTheme="majorHAnsi"/>
        </w:rPr>
        <w:t>1NC Shell</w:t>
      </w:r>
    </w:p>
    <w:p w14:paraId="0C1AFDA9" w14:textId="77777777" w:rsidR="00E3263A" w:rsidRPr="00136D72" w:rsidRDefault="00E3263A" w:rsidP="00E3263A">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w:t>
      </w:r>
      <w:r>
        <w:rPr>
          <w:rFonts w:asciiTheme="majorHAnsi" w:hAnsiTheme="majorHAnsi"/>
        </w:rPr>
        <w:t xml:space="preserve"> have read full text on the 2018-2019</w:t>
      </w:r>
      <w:r w:rsidRPr="00136D72">
        <w:rPr>
          <w:rFonts w:asciiTheme="majorHAnsi" w:hAnsiTheme="majorHAnsi"/>
        </w:rPr>
        <w:t xml:space="preserve"> NDCA wiki</w:t>
      </w:r>
      <w:r>
        <w:rPr>
          <w:rFonts w:asciiTheme="majorHAnsi" w:hAnsiTheme="majorHAnsi"/>
        </w:rPr>
        <w:t xml:space="preserve"> at least 30 minutes before the round.</w:t>
      </w:r>
    </w:p>
    <w:p w14:paraId="0281F86B" w14:textId="77777777" w:rsidR="00E3263A" w:rsidRPr="00136D72" w:rsidRDefault="00E3263A" w:rsidP="00E3263A">
      <w:pPr>
        <w:rPr>
          <w:rFonts w:asciiTheme="majorHAnsi" w:hAnsiTheme="majorHAnsi"/>
        </w:rPr>
      </w:pPr>
    </w:p>
    <w:p w14:paraId="4F23C0F1" w14:textId="77777777" w:rsidR="00E3263A" w:rsidRPr="00136D72" w:rsidRDefault="00E3263A" w:rsidP="00E3263A">
      <w:pPr>
        <w:pStyle w:val="Heading4"/>
        <w:rPr>
          <w:rFonts w:asciiTheme="majorHAnsi" w:hAnsiTheme="majorHAnsi"/>
        </w:rPr>
      </w:pPr>
      <w:r w:rsidRPr="00136D72">
        <w:rPr>
          <w:rFonts w:asciiTheme="majorHAnsi" w:hAnsiTheme="majorHAnsi"/>
        </w:rPr>
        <w:t>Violation: you didn’t, I have screenshots</w:t>
      </w:r>
    </w:p>
    <w:p w14:paraId="29ADAD81" w14:textId="77777777" w:rsidR="00E3263A" w:rsidRDefault="00E3263A" w:rsidP="00E3263A">
      <w:pPr>
        <w:rPr>
          <w:rFonts w:asciiTheme="majorHAnsi" w:hAnsiTheme="majorHAnsi"/>
        </w:rPr>
      </w:pPr>
      <w:r>
        <w:rPr>
          <w:rFonts w:asciiTheme="majorHAnsi" w:hAnsiTheme="majorHAnsi"/>
          <w:noProof/>
        </w:rPr>
        <w:drawing>
          <wp:inline distT="0" distB="0" distL="0" distR="0" wp14:anchorId="624E2C6F" wp14:editId="6C0B7B75">
            <wp:extent cx="5486400" cy="201041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486400" cy="2010410"/>
                    </a:xfrm>
                    <a:prstGeom prst="rect">
                      <a:avLst/>
                    </a:prstGeom>
                  </pic:spPr>
                </pic:pic>
              </a:graphicData>
            </a:graphic>
          </wp:inline>
        </w:drawing>
      </w:r>
    </w:p>
    <w:p w14:paraId="06E5F114" w14:textId="77777777" w:rsidR="00E3263A" w:rsidRPr="00136D72" w:rsidRDefault="00E3263A" w:rsidP="00E3263A">
      <w:pPr>
        <w:rPr>
          <w:rFonts w:asciiTheme="majorHAnsi" w:hAnsiTheme="majorHAnsi"/>
        </w:rPr>
      </w:pPr>
    </w:p>
    <w:p w14:paraId="3E5E3D1F" w14:textId="77777777" w:rsidR="00E3263A" w:rsidRPr="00136D72" w:rsidRDefault="00E3263A" w:rsidP="00E3263A">
      <w:pPr>
        <w:pStyle w:val="Heading4"/>
        <w:rPr>
          <w:rFonts w:asciiTheme="majorHAnsi" w:hAnsiTheme="majorHAnsi"/>
        </w:rPr>
      </w:pPr>
      <w:r w:rsidRPr="00136D72">
        <w:rPr>
          <w:rFonts w:asciiTheme="majorHAnsi" w:hAnsiTheme="majorHAnsi"/>
        </w:rPr>
        <w:t>Net benefits:</w:t>
      </w:r>
    </w:p>
    <w:p w14:paraId="405B9239" w14:textId="77777777" w:rsidR="00E3263A" w:rsidRPr="00136D72" w:rsidRDefault="00E3263A" w:rsidP="00E3263A">
      <w:pPr>
        <w:rPr>
          <w:rFonts w:asciiTheme="majorHAnsi" w:hAnsiTheme="majorHAnsi"/>
        </w:rPr>
      </w:pPr>
    </w:p>
    <w:p w14:paraId="140564E2" w14:textId="77777777" w:rsidR="00E3263A" w:rsidRPr="00136D72" w:rsidRDefault="00E3263A" w:rsidP="00E3263A">
      <w:pPr>
        <w:pStyle w:val="Heading4"/>
        <w:numPr>
          <w:ilvl w:val="0"/>
          <w:numId w:val="16"/>
        </w:numPr>
        <w:rPr>
          <w:rFonts w:asciiTheme="majorHAnsi" w:hAnsiTheme="majorHAnsi"/>
        </w:rPr>
      </w:pPr>
      <w:r w:rsidRPr="00136D72">
        <w:rPr>
          <w:rFonts w:asciiTheme="majorHAnsi" w:hAnsiTheme="majorHAnsi"/>
        </w:rPr>
        <w:t xml:space="preserve">Education  </w:t>
      </w:r>
    </w:p>
    <w:p w14:paraId="2DFBF337" w14:textId="77777777" w:rsidR="00E3263A" w:rsidRPr="00136D72" w:rsidRDefault="00E3263A" w:rsidP="00E3263A">
      <w:pPr>
        <w:rPr>
          <w:rFonts w:asciiTheme="majorHAnsi" w:hAnsiTheme="majorHAnsi"/>
        </w:rPr>
      </w:pPr>
    </w:p>
    <w:p w14:paraId="35AE58E7" w14:textId="77777777" w:rsidR="00E3263A" w:rsidRPr="00136D72" w:rsidRDefault="00E3263A" w:rsidP="00E3263A">
      <w:pPr>
        <w:pStyle w:val="Heading4"/>
        <w:numPr>
          <w:ilvl w:val="1"/>
          <w:numId w:val="16"/>
        </w:numPr>
        <w:rPr>
          <w:rStyle w:val="Style13ptBold"/>
          <w:rFonts w:asciiTheme="majorHAnsi" w:hAnsiTheme="majorHAnsi"/>
          <w:b/>
        </w:rPr>
      </w:pPr>
      <w:r w:rsidRPr="00136D72">
        <w:rPr>
          <w:rFonts w:asciiTheme="majorHAnsi" w:hAnsiTheme="majorHAnsi"/>
        </w:rPr>
        <w:t xml:space="preserve">Incentivizes Research – Disclosure allows debaters to craft specific responses to their opponent’s positions which promotes deep discussion.  </w:t>
      </w:r>
    </w:p>
    <w:p w14:paraId="7C955A2D" w14:textId="77777777" w:rsidR="00E3263A" w:rsidRPr="00136D72" w:rsidRDefault="00E3263A" w:rsidP="00E3263A">
      <w:pPr>
        <w:rPr>
          <w:rStyle w:val="StyleUnderline"/>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136D72">
        <w:rPr>
          <w:rFonts w:asciiTheme="majorHAnsi" w:hAnsiTheme="majorHAnsi"/>
        </w:rPr>
        <w:t>disclosure is that it motivates research.</w:t>
      </w:r>
      <w:r w:rsidRPr="00136D72">
        <w:rPr>
          <w:rFonts w:asciiTheme="majorHAnsi" w:hAnsiTheme="majorHAnsi" w:cs="Times"/>
          <w:color w:val="262626"/>
          <w:szCs w:val="26"/>
        </w:rPr>
        <w:t xml:space="preserve"> Debaters cannot expect to make it a whole topic with the same stock AC – that is, unless they are continually updating and </w:t>
      </w:r>
      <w:proofErr w:type="spellStart"/>
      <w:r w:rsidRPr="00136D72">
        <w:rPr>
          <w:rFonts w:asciiTheme="majorHAnsi" w:hAnsiTheme="majorHAnsi" w:cs="Times"/>
          <w:color w:val="262626"/>
          <w:szCs w:val="26"/>
        </w:rPr>
        <w:t>frontlining</w:t>
      </w:r>
      <w:proofErr w:type="spellEnd"/>
      <w:r w:rsidRPr="00136D72">
        <w:rPr>
          <w:rFonts w:asciiTheme="majorHAnsi" w:hAnsiTheme="majorHAnsi" w:cs="Times"/>
          <w:color w:val="262626"/>
          <w:szCs w:val="26"/>
        </w:rPr>
        <w:t xml:space="preserve"> it. Likewise, </w:t>
      </w:r>
      <w:r w:rsidRPr="00136D72">
        <w:rPr>
          <w:rStyle w:val="StyleUnderline"/>
          <w:rFonts w:asciiTheme="majorHAnsi" w:hAnsiTheme="majorHAnsi"/>
          <w:highlight w:val="green"/>
        </w:rPr>
        <w:t>debaters with access to their opponents’ cases can do more targeted</w:t>
      </w:r>
      <w:r w:rsidRPr="00136D72">
        <w:rPr>
          <w:rStyle w:val="StyleUnderline"/>
          <w:rFonts w:asciiTheme="majorHAnsi" w:hAnsiTheme="majorHAnsi"/>
        </w:rPr>
        <w:t xml:space="preserve"> and specific </w:t>
      </w:r>
      <w:r w:rsidRPr="00136D72">
        <w:rPr>
          <w:rStyle w:val="StyleUnderline"/>
          <w:rFonts w:asciiTheme="majorHAnsi" w:hAnsiTheme="majorHAnsi"/>
          <w:highlight w:val="green"/>
        </w:rPr>
        <w:t>research.</w:t>
      </w:r>
      <w:r w:rsidRPr="00136D72">
        <w:rPr>
          <w:rStyle w:val="StyleUnderline"/>
          <w:rFonts w:asciiTheme="majorHAnsi" w:hAnsiTheme="majorHAnsi"/>
        </w:rPr>
        <w:t xml:space="preserve"> Students can go to a new level of depth</w:t>
      </w:r>
      <w:r w:rsidRPr="00136D72">
        <w:rPr>
          <w:rFonts w:asciiTheme="majorHAnsi" w:hAnsiTheme="majorHAnsi" w:cs="Times"/>
          <w:color w:val="262626"/>
          <w:szCs w:val="26"/>
        </w:rPr>
        <w:t xml:space="preserve">, researching not just the pros and cons of the topic but the specific authors, arguments, and </w:t>
      </w:r>
      <w:proofErr w:type="spellStart"/>
      <w:r w:rsidRPr="00136D72">
        <w:rPr>
          <w:rFonts w:asciiTheme="majorHAnsi" w:hAnsiTheme="majorHAnsi" w:cs="Times"/>
          <w:color w:val="262626"/>
          <w:szCs w:val="26"/>
        </w:rPr>
        <w:t>adovcacies</w:t>
      </w:r>
      <w:proofErr w:type="spellEnd"/>
      <w:r w:rsidRPr="00136D72">
        <w:rPr>
          <w:rFonts w:asciiTheme="majorHAnsi" w:hAnsiTheme="majorHAnsi" w:cs="Times"/>
          <w:color w:val="262626"/>
          <w:szCs w:val="26"/>
        </w:rPr>
        <w:t xml:space="preserve"> employed by other debaters. </w:t>
      </w:r>
      <w:r w:rsidRPr="00136D72">
        <w:rPr>
          <w:rStyle w:val="StyleUnderline"/>
          <w:rFonts w:asciiTheme="majorHAnsi" w:hAnsiTheme="majorHAnsi"/>
          <w:highlight w:val="green"/>
        </w:rPr>
        <w:t>The incentive to cut author</w:t>
      </w:r>
      <w:r w:rsidRPr="00136D72">
        <w:rPr>
          <w:rStyle w:val="StyleUnderline"/>
          <w:rFonts w:asciiTheme="majorHAnsi" w:hAnsiTheme="majorHAnsi"/>
        </w:rPr>
        <w:t xml:space="preserve">-specific </w:t>
      </w:r>
      <w:r w:rsidRPr="00136D72">
        <w:rPr>
          <w:rStyle w:val="StyleUnderline"/>
          <w:rFonts w:asciiTheme="majorHAnsi" w:hAnsiTheme="majorHAnsi"/>
          <w:highlight w:val="green"/>
        </w:rPr>
        <w:t>indicts is low if there’s little guarantee that the author will ever be cited</w:t>
      </w:r>
      <w:r w:rsidRPr="00136D72">
        <w:rPr>
          <w:rStyle w:val="StyleUnderline"/>
          <w:rFonts w:asciiTheme="majorHAnsi" w:hAnsiTheme="majorHAnsi"/>
        </w:rPr>
        <w:t xml:space="preserve"> in a round </w:t>
      </w:r>
      <w:r w:rsidRPr="00136D72">
        <w:rPr>
          <w:rStyle w:val="StyleUnderline"/>
          <w:rFonts w:asciiTheme="majorHAnsi" w:hAnsiTheme="majorHAnsi"/>
          <w:highlight w:val="green"/>
        </w:rPr>
        <w:t>but high</w:t>
      </w:r>
      <w:r w:rsidRPr="00136D72">
        <w:rPr>
          <w:rStyle w:val="StyleUnderline"/>
          <w:rFonts w:asciiTheme="majorHAnsi" w:hAnsiTheme="majorHAnsi"/>
        </w:rPr>
        <w:t xml:space="preserve"> </w:t>
      </w:r>
      <w:r w:rsidRPr="00136D72">
        <w:rPr>
          <w:rStyle w:val="StyleUnderline"/>
          <w:rFonts w:asciiTheme="majorHAnsi" w:hAnsiTheme="majorHAnsi"/>
          <w:highlight w:val="green"/>
        </w:rPr>
        <w:t>if one knows</w:t>
      </w:r>
      <w:r w:rsidRPr="00136D72">
        <w:rPr>
          <w:rStyle w:val="StyleUnderline"/>
          <w:rFonts w:asciiTheme="majorHAnsi" w:hAnsiTheme="majorHAnsi"/>
        </w:rPr>
        <w:t xml:space="preserve"> that </w:t>
      </w:r>
      <w:r w:rsidRPr="00136D72">
        <w:rPr>
          <w:rStyle w:val="StyleUnderline"/>
          <w:rFonts w:asciiTheme="majorHAnsi" w:hAnsiTheme="majorHAnsi"/>
          <w:highlight w:val="green"/>
        </w:rPr>
        <w:t>specific schools are using that author</w:t>
      </w:r>
      <w:r w:rsidRPr="00136D72">
        <w:rPr>
          <w:rStyle w:val="StyleUnderline"/>
          <w:rFonts w:asciiTheme="majorHAnsi" w:hAnsiTheme="majorHAnsi"/>
        </w:rPr>
        <w:t xml:space="preserve"> in rounds.</w:t>
      </w:r>
      <w:r w:rsidRPr="00136D72">
        <w:rPr>
          <w:rFonts w:asciiTheme="majorHAnsi" w:hAnsiTheme="majorHAnsi" w:cs="Times"/>
          <w:color w:val="262626"/>
          <w:szCs w:val="26"/>
        </w:rPr>
        <w:t xml:space="preserve"> In this way, </w:t>
      </w:r>
      <w:r w:rsidRPr="00136D72">
        <w:rPr>
          <w:rStyle w:val="StyleUnderline"/>
          <w:rFonts w:asciiTheme="majorHAnsi" w:hAnsiTheme="majorHAnsi"/>
        </w:rPr>
        <w:t>disclosure increases incentive to research by altering a student’s cost-benefit analysis so that the time spent researching is more valuable</w:t>
      </w:r>
      <w:r w:rsidRPr="00136D72">
        <w:rPr>
          <w:rFonts w:asciiTheme="majorHAnsi" w:hAnsiTheme="majorHAnsi" w:cs="Times"/>
          <w:color w:val="262626"/>
          <w:szCs w:val="26"/>
        </w:rPr>
        <w:t xml:space="preserve">, i.e. more likely to produce useful evidence </w:t>
      </w:r>
      <w:r w:rsidRPr="00136D72">
        <w:rPr>
          <w:rFonts w:asciiTheme="majorHAnsi" w:hAnsiTheme="majorHAnsi" w:cs="Times"/>
          <w:color w:val="262626"/>
          <w:szCs w:val="26"/>
        </w:rPr>
        <w:lastRenderedPageBreak/>
        <w:t xml:space="preserve">because it is more directed. In any case, </w:t>
      </w:r>
      <w:r w:rsidRPr="00136D72">
        <w:rPr>
          <w:rStyle w:val="StyleUnderline"/>
          <w:rFonts w:asciiTheme="majorHAnsi" w:hAnsiTheme="majorHAnsi"/>
          <w:highlight w:val="green"/>
        </w:rPr>
        <w:t>if publicly accessible evidence jeopardized research, backfiles</w:t>
      </w:r>
      <w:r w:rsidRPr="00136D72">
        <w:rPr>
          <w:rStyle w:val="StyleUnderline"/>
          <w:rFonts w:asciiTheme="majorHAnsi" w:hAnsiTheme="majorHAnsi"/>
        </w:rPr>
        <w:t xml:space="preserve"> and briefs </w:t>
      </w:r>
      <w:r w:rsidRPr="00136D72">
        <w:rPr>
          <w:rStyle w:val="StyleUnderline"/>
          <w:rFonts w:asciiTheme="majorHAnsi" w:hAnsiTheme="majorHAnsi"/>
          <w:highlight w:val="green"/>
        </w:rPr>
        <w:t>would have</w:t>
      </w:r>
      <w:r w:rsidRPr="00136D72">
        <w:rPr>
          <w:rStyle w:val="StyleUnderline"/>
          <w:rFonts w:asciiTheme="majorHAnsi" w:hAnsiTheme="majorHAnsi"/>
        </w:rPr>
        <w:t xml:space="preserve"> done LD in </w:t>
      </w:r>
      <w:r w:rsidRPr="00136D72">
        <w:rPr>
          <w:rStyle w:val="StyleUnderline"/>
          <w:rFonts w:asciiTheme="majorHAnsi" w:hAnsiTheme="majorHAnsi"/>
          <w:highlight w:val="green"/>
        </w:rPr>
        <w:t>a long time ago.</w:t>
      </w:r>
    </w:p>
    <w:p w14:paraId="08B15C66" w14:textId="77777777" w:rsidR="00E3263A" w:rsidRPr="00136D72" w:rsidRDefault="00E3263A" w:rsidP="00E3263A">
      <w:pPr>
        <w:pStyle w:val="Heading4"/>
        <w:numPr>
          <w:ilvl w:val="0"/>
          <w:numId w:val="16"/>
        </w:numPr>
        <w:rPr>
          <w:rFonts w:asciiTheme="majorHAnsi" w:hAnsiTheme="majorHAnsi"/>
        </w:rPr>
      </w:pPr>
      <w:r w:rsidRPr="00136D72">
        <w:rPr>
          <w:rStyle w:val="StyleUnderline"/>
          <w:rFonts w:asciiTheme="majorHAnsi" w:hAnsiTheme="majorHAnsi"/>
          <w:b/>
          <w:sz w:val="26"/>
          <w:u w:val="none"/>
        </w:rPr>
        <w:t>Evidence Ethics</w:t>
      </w:r>
      <w:r w:rsidRPr="00136D72">
        <w:rPr>
          <w:rFonts w:asciiTheme="majorHAnsi" w:hAnsiTheme="majorHAnsi"/>
        </w:rPr>
        <w:t xml:space="preserve"> – Full text disclosure allows debaters to ensure that evidence has been accurately tagged and cut. </w:t>
      </w:r>
    </w:p>
    <w:p w14:paraId="173265D6" w14:textId="77777777" w:rsidR="00E3263A" w:rsidRPr="00136D72" w:rsidRDefault="00E3263A" w:rsidP="00E3263A">
      <w:pPr>
        <w:pStyle w:val="Heading4"/>
        <w:rPr>
          <w:rFonts w:asciiTheme="majorHAnsi" w:hAnsiTheme="majorHAnsi"/>
          <w:b w:val="0"/>
          <w:sz w:val="16"/>
          <w:szCs w:val="22"/>
        </w:rPr>
      </w:pPr>
      <w:proofErr w:type="spellStart"/>
      <w:r w:rsidRPr="00136D72">
        <w:rPr>
          <w:rStyle w:val="Style13ptBold"/>
          <w:rFonts w:asciiTheme="majorHAnsi" w:hAnsiTheme="majorHAnsi"/>
          <w:b/>
        </w:rPr>
        <w:t>Tambe</w:t>
      </w:r>
      <w:proofErr w:type="spellEnd"/>
      <w:r w:rsidRPr="00136D72">
        <w:rPr>
          <w:rStyle w:val="Style13ptBold"/>
          <w:rFonts w:asciiTheme="majorHAnsi" w:hAnsiTheme="majorHAnsi"/>
          <w:b/>
        </w:rPr>
        <w:t xml:space="preserve"> and </w:t>
      </w:r>
      <w:proofErr w:type="spellStart"/>
      <w:r w:rsidRPr="00136D72">
        <w:rPr>
          <w:rStyle w:val="Style13ptBold"/>
          <w:rFonts w:asciiTheme="majorHAnsi" w:hAnsiTheme="majorHAnsi"/>
          <w:b/>
        </w:rPr>
        <w:t>Ghandra</w:t>
      </w:r>
      <w:proofErr w:type="spellEnd"/>
      <w:r w:rsidRPr="00136D72">
        <w:rPr>
          <w:rStyle w:val="Style13ptBold"/>
          <w:rFonts w:asciiTheme="majorHAnsi" w:hAnsiTheme="majorHAnsi"/>
          <w:b/>
        </w:rPr>
        <w:t xml:space="preserve"> 14 </w:t>
      </w:r>
      <w:r w:rsidRPr="00136D72">
        <w:rPr>
          <w:rStyle w:val="Style13ptBold"/>
          <w:rFonts w:asciiTheme="majorHAnsi" w:hAnsiTheme="majorHAnsi"/>
          <w:szCs w:val="16"/>
        </w:rPr>
        <w:t xml:space="preserve">[(Arjun, </w:t>
      </w:r>
      <w:proofErr w:type="spellStart"/>
      <w:r w:rsidRPr="00136D72">
        <w:rPr>
          <w:rStyle w:val="Style13ptBold"/>
          <w:rFonts w:asciiTheme="majorHAnsi" w:hAnsiTheme="majorHAnsi"/>
          <w:szCs w:val="16"/>
        </w:rPr>
        <w:t>ToC</w:t>
      </w:r>
      <w:proofErr w:type="spellEnd"/>
      <w:r w:rsidRPr="00136D72">
        <w:rPr>
          <w:rStyle w:val="Style13ptBold"/>
          <w:rFonts w:asciiTheme="majorHAnsi" w:hAnsiTheme="majorHAnsi"/>
          <w:szCs w:val="16"/>
        </w:rPr>
        <w:t xml:space="preserve"> Quarterfinalist) and (Akhil, Three time </w:t>
      </w:r>
      <w:proofErr w:type="spellStart"/>
      <w:r w:rsidRPr="00136D72">
        <w:rPr>
          <w:rStyle w:val="Style13ptBold"/>
          <w:rFonts w:asciiTheme="majorHAnsi" w:hAnsiTheme="majorHAnsi"/>
          <w:szCs w:val="16"/>
        </w:rPr>
        <w:t>ToC</w:t>
      </w:r>
      <w:proofErr w:type="spellEnd"/>
      <w:r w:rsidRPr="00136D72">
        <w:rPr>
          <w:rStyle w:val="Style13ptBold"/>
          <w:rFonts w:asciiTheme="majorHAnsi" w:hAnsiTheme="majorHAnsi"/>
          <w:szCs w:val="16"/>
        </w:rPr>
        <w:t xml:space="preserve"> qualifier), “Evidence Ethics in LD Debate: A Proposal by Akhil </w:t>
      </w:r>
      <w:proofErr w:type="spellStart"/>
      <w:r w:rsidRPr="00136D72">
        <w:rPr>
          <w:rStyle w:val="Style13ptBold"/>
          <w:rFonts w:asciiTheme="majorHAnsi" w:hAnsiTheme="majorHAnsi"/>
          <w:szCs w:val="16"/>
        </w:rPr>
        <w:t>Ghandra</w:t>
      </w:r>
      <w:proofErr w:type="spellEnd"/>
      <w:r w:rsidRPr="00136D72">
        <w:rPr>
          <w:rStyle w:val="Style13ptBold"/>
          <w:rFonts w:asciiTheme="majorHAnsi" w:hAnsiTheme="majorHAnsi"/>
          <w:szCs w:val="16"/>
        </w:rPr>
        <w:t xml:space="preserve"> and Arjun </w:t>
      </w:r>
      <w:proofErr w:type="spellStart"/>
      <w:r w:rsidRPr="00136D72">
        <w:rPr>
          <w:rStyle w:val="Style13ptBold"/>
          <w:rFonts w:asciiTheme="majorHAnsi" w:hAnsiTheme="majorHAnsi"/>
          <w:szCs w:val="16"/>
        </w:rPr>
        <w:t>Tambe</w:t>
      </w:r>
      <w:proofErr w:type="spellEnd"/>
      <w:r w:rsidRPr="00136D72">
        <w:rPr>
          <w:rStyle w:val="Style13ptBold"/>
          <w:rFonts w:asciiTheme="majorHAnsi" w:hAnsiTheme="majorHAnsi"/>
          <w:szCs w:val="16"/>
        </w:rPr>
        <w:t xml:space="preserve">”, </w:t>
      </w:r>
      <w:proofErr w:type="spellStart"/>
      <w:r w:rsidRPr="00136D72">
        <w:rPr>
          <w:rStyle w:val="Style13ptBold"/>
          <w:rFonts w:asciiTheme="majorHAnsi" w:hAnsiTheme="majorHAnsi"/>
          <w:szCs w:val="16"/>
        </w:rPr>
        <w:t>VBriefly</w:t>
      </w:r>
      <w:proofErr w:type="spellEnd"/>
      <w:r w:rsidRPr="00136D72">
        <w:rPr>
          <w:rStyle w:val="Style13ptBold"/>
          <w:rFonts w:asciiTheme="majorHAnsi" w:hAnsiTheme="majorHAnsi"/>
          <w:szCs w:val="16"/>
        </w:rPr>
        <w:t>, 10/24/2014] DD</w:t>
      </w:r>
      <w:r w:rsidRPr="00136D72">
        <w:rPr>
          <w:rStyle w:val="Style13ptBold"/>
          <w:rFonts w:asciiTheme="majorHAnsi" w:hAnsiTheme="majorHAnsi"/>
          <w:b/>
        </w:rPr>
        <w:br/>
      </w:r>
      <w:r w:rsidRPr="00136D72">
        <w:rPr>
          <w:rFonts w:asciiTheme="majorHAnsi" w:hAnsiTheme="majorHAnsi" w:cs="Times"/>
          <w:b w:val="0"/>
          <w:sz w:val="16"/>
          <w:szCs w:val="22"/>
        </w:rPr>
        <w:t xml:space="preserve">First, we think </w:t>
      </w:r>
      <w:r w:rsidRPr="00136D72">
        <w:rPr>
          <w:rStyle w:val="StyleUnderline"/>
          <w:rFonts w:asciiTheme="majorHAnsi" w:hAnsiTheme="majorHAnsi"/>
          <w:b/>
        </w:rPr>
        <w:t>debaters should disclose</w:t>
      </w:r>
      <w:r w:rsidRPr="00136D72">
        <w:rPr>
          <w:rFonts w:asciiTheme="majorHAnsi" w:hAnsiTheme="majorHAnsi" w:cs="Times"/>
          <w:b w:val="0"/>
          <w:sz w:val="16"/>
          <w:szCs w:val="22"/>
        </w:rPr>
        <w:t xml:space="preserve"> the </w:t>
      </w:r>
      <w:r w:rsidRPr="00136D72">
        <w:rPr>
          <w:rStyle w:val="StyleUnderline"/>
          <w:rFonts w:asciiTheme="majorHAnsi" w:hAnsiTheme="majorHAnsi"/>
          <w:b/>
          <w:highlight w:val="green"/>
        </w:rPr>
        <w:t>full text</w:t>
      </w:r>
      <w:r w:rsidRPr="00136D72">
        <w:rPr>
          <w:rFonts w:asciiTheme="majorHAnsi" w:hAnsiTheme="majorHAnsi" w:cs="Times"/>
          <w:b w:val="0"/>
          <w:sz w:val="16"/>
          <w:szCs w:val="22"/>
        </w:rPr>
        <w:t xml:space="preserve"> of their positions on the NDCA wiki. Many articles have already been written on the importance of disclosure, so we won’t repeat those arguments here. However, we think </w:t>
      </w:r>
      <w:r w:rsidRPr="00136D72">
        <w:rPr>
          <w:rStyle w:val="StyleUnderline"/>
          <w:rFonts w:asciiTheme="majorHAnsi" w:hAnsiTheme="majorHAnsi"/>
          <w:b/>
          <w:highlight w:val="green"/>
        </w:rPr>
        <w:t>disclosure can</w:t>
      </w:r>
      <w:r w:rsidRPr="00136D72">
        <w:rPr>
          <w:rStyle w:val="StyleUnderline"/>
          <w:rFonts w:asciiTheme="majorHAnsi" w:hAnsiTheme="majorHAnsi"/>
          <w:b/>
        </w:rPr>
        <w:t xml:space="preserve"> help </w:t>
      </w:r>
      <w:r w:rsidRPr="00136D72">
        <w:rPr>
          <w:rStyle w:val="StyleUnderline"/>
          <w:rFonts w:asciiTheme="majorHAnsi" w:hAnsiTheme="majorHAnsi"/>
          <w:b/>
          <w:highlight w:val="green"/>
        </w:rPr>
        <w:t>address the issue of</w:t>
      </w:r>
      <w:r w:rsidRPr="00136D72">
        <w:rPr>
          <w:rStyle w:val="StyleUnderline"/>
          <w:rFonts w:asciiTheme="majorHAnsi" w:hAnsiTheme="majorHAnsi"/>
          <w:b/>
        </w:rPr>
        <w:t xml:space="preserve"> miscutting or </w:t>
      </w:r>
      <w:r w:rsidRPr="00136D72">
        <w:rPr>
          <w:rStyle w:val="StyleUnderline"/>
          <w:rFonts w:asciiTheme="majorHAnsi" w:hAnsiTheme="majorHAnsi"/>
          <w:b/>
          <w:highlight w:val="green"/>
        </w:rPr>
        <w:t>fabricating evidence since debaters can verify whether a piece of evidence</w:t>
      </w:r>
      <w:r w:rsidRPr="00136D72">
        <w:rPr>
          <w:rStyle w:val="StyleUnderline"/>
          <w:rFonts w:asciiTheme="majorHAnsi" w:hAnsiTheme="majorHAnsi"/>
          <w:b/>
        </w:rPr>
        <w:t xml:space="preserve"> read by their opponent </w:t>
      </w:r>
      <w:r w:rsidRPr="00136D72">
        <w:rPr>
          <w:rStyle w:val="StyleUnderline"/>
          <w:rFonts w:asciiTheme="majorHAnsi" w:hAnsiTheme="majorHAnsi"/>
          <w:b/>
          <w:highlight w:val="green"/>
        </w:rPr>
        <w:t>has been cut ethically by reading the article the evidence is</w:t>
      </w:r>
      <w:r w:rsidRPr="00136D72">
        <w:rPr>
          <w:rStyle w:val="StyleUnderline"/>
          <w:rFonts w:asciiTheme="majorHAnsi" w:hAnsiTheme="majorHAnsi"/>
          <w:b/>
        </w:rPr>
        <w:t xml:space="preserve"> cut </w:t>
      </w:r>
      <w:r w:rsidRPr="00136D72">
        <w:rPr>
          <w:rStyle w:val="StyleUnderline"/>
          <w:rFonts w:asciiTheme="majorHAnsi" w:hAnsiTheme="majorHAnsi"/>
          <w:b/>
          <w:highlight w:val="green"/>
        </w:rPr>
        <w:t>from.</w:t>
      </w:r>
      <w:r w:rsidRPr="00136D72">
        <w:rPr>
          <w:rStyle w:val="StyleUnderline"/>
          <w:rFonts w:asciiTheme="majorHAnsi" w:hAnsiTheme="majorHAnsi"/>
          <w:b/>
        </w:rPr>
        <w:t xml:space="preserve"> </w:t>
      </w:r>
      <w:r w:rsidRPr="00136D72">
        <w:rPr>
          <w:rFonts w:asciiTheme="majorHAnsi" w:hAnsiTheme="majorHAnsi" w:cs="Times"/>
          <w:b w:val="0"/>
          <w:sz w:val="16"/>
          <w:szCs w:val="22"/>
        </w:rPr>
        <w:t xml:space="preserve">Full text disclosure would also elevate the quality of disclosure. </w:t>
      </w:r>
      <w:r w:rsidRPr="00136D72">
        <w:rPr>
          <w:rStyle w:val="StyleUnderline"/>
          <w:rFonts w:asciiTheme="majorHAnsi" w:hAnsiTheme="majorHAnsi"/>
          <w:b/>
        </w:rPr>
        <w:t xml:space="preserve">Providing </w:t>
      </w:r>
      <w:r w:rsidRPr="00136D72">
        <w:rPr>
          <w:rStyle w:val="StyleUnderline"/>
          <w:rFonts w:asciiTheme="majorHAnsi" w:hAnsiTheme="majorHAnsi"/>
          <w:b/>
          <w:highlight w:val="green"/>
        </w:rPr>
        <w:t>the first and last three words of an article</w:t>
      </w:r>
      <w:r w:rsidRPr="00136D72">
        <w:rPr>
          <w:rStyle w:val="StyleUnderline"/>
          <w:rFonts w:asciiTheme="majorHAnsi" w:hAnsiTheme="majorHAnsi"/>
          <w:b/>
        </w:rPr>
        <w:t xml:space="preserve"> can </w:t>
      </w:r>
      <w:r w:rsidRPr="00136D72">
        <w:rPr>
          <w:rStyle w:val="StyleUnderline"/>
          <w:rFonts w:asciiTheme="majorHAnsi" w:hAnsiTheme="majorHAnsi"/>
          <w:b/>
          <w:highlight w:val="green"/>
        </w:rPr>
        <w:t xml:space="preserve">make it difficult to reconstruct a </w:t>
      </w:r>
      <w:r w:rsidRPr="00136D72">
        <w:rPr>
          <w:rStyle w:val="StyleUnderline"/>
          <w:rFonts w:asciiTheme="majorHAnsi" w:hAnsiTheme="majorHAnsi"/>
          <w:b/>
        </w:rPr>
        <w:t xml:space="preserve">debater’s </w:t>
      </w:r>
      <w:r w:rsidRPr="00136D72">
        <w:rPr>
          <w:rStyle w:val="StyleUnderline"/>
          <w:rFonts w:asciiTheme="majorHAnsi" w:hAnsiTheme="majorHAnsi"/>
          <w:b/>
          <w:highlight w:val="green"/>
        </w:rPr>
        <w:t xml:space="preserve">case since not everyone has access </w:t>
      </w:r>
      <w:r w:rsidRPr="00136D72">
        <w:rPr>
          <w:rStyle w:val="StyleUnderline"/>
          <w:rFonts w:asciiTheme="majorHAnsi" w:hAnsiTheme="majorHAnsi"/>
          <w:b/>
        </w:rPr>
        <w:t xml:space="preserve">to all the </w:t>
      </w:r>
      <w:r w:rsidRPr="00136D72">
        <w:rPr>
          <w:rStyle w:val="StyleUnderline"/>
          <w:rFonts w:asciiTheme="majorHAnsi" w:hAnsiTheme="majorHAnsi"/>
          <w:b/>
          <w:highlight w:val="green"/>
        </w:rPr>
        <w:t>databases</w:t>
      </w:r>
      <w:r w:rsidRPr="00136D72">
        <w:rPr>
          <w:rStyle w:val="StyleUnderline"/>
          <w:rFonts w:asciiTheme="majorHAnsi" w:hAnsiTheme="majorHAnsi"/>
          <w:b/>
        </w:rPr>
        <w:t xml:space="preserve"> articles may have been accessed from.</w:t>
      </w:r>
      <w:r w:rsidRPr="00136D72">
        <w:rPr>
          <w:rFonts w:asciiTheme="majorHAnsi" w:hAnsiTheme="majorHAnsi" w:cs="Times"/>
          <w:b w:val="0"/>
          <w:sz w:val="16"/>
          <w:szCs w:val="22"/>
        </w:rPr>
        <w:t xml:space="preserve"> Full text disclosure expands access to debaters’ evidence.</w:t>
      </w:r>
      <w:r w:rsidRPr="00136D72">
        <w:rPr>
          <w:rFonts w:asciiTheme="majorHAnsi" w:hAnsiTheme="majorHAnsi"/>
          <w:b w:val="0"/>
          <w:sz w:val="16"/>
          <w:szCs w:val="22"/>
        </w:rPr>
        <w:t xml:space="preserve">  </w:t>
      </w:r>
    </w:p>
    <w:p w14:paraId="03797FBD" w14:textId="77777777" w:rsidR="00E3263A" w:rsidRPr="00136D72" w:rsidRDefault="00E3263A" w:rsidP="00E3263A">
      <w:pPr>
        <w:rPr>
          <w:rFonts w:asciiTheme="majorHAnsi" w:hAnsiTheme="majorHAnsi"/>
        </w:rPr>
      </w:pPr>
    </w:p>
    <w:p w14:paraId="67262397" w14:textId="77777777" w:rsidR="00E3263A" w:rsidRPr="00136D72" w:rsidRDefault="00E3263A" w:rsidP="00E3263A">
      <w:pPr>
        <w:pStyle w:val="Heading4"/>
        <w:numPr>
          <w:ilvl w:val="0"/>
          <w:numId w:val="16"/>
        </w:numPr>
        <w:rPr>
          <w:rFonts w:asciiTheme="majorHAnsi" w:hAnsiTheme="majorHAnsi"/>
        </w:rPr>
      </w:pPr>
      <w:r w:rsidRPr="00136D72">
        <w:rPr>
          <w:rFonts w:asciiTheme="majorHAnsi" w:hAnsiTheme="majorHAnsi"/>
        </w:rPr>
        <w:t>Accessibility</w:t>
      </w:r>
    </w:p>
    <w:p w14:paraId="3D303EF5" w14:textId="77777777" w:rsidR="00E3263A" w:rsidRPr="00136D72" w:rsidRDefault="00E3263A" w:rsidP="00E3263A">
      <w:pPr>
        <w:rPr>
          <w:rFonts w:asciiTheme="majorHAnsi" w:hAnsiTheme="majorHAnsi"/>
        </w:rPr>
      </w:pPr>
    </w:p>
    <w:p w14:paraId="7EEC1471" w14:textId="77777777" w:rsidR="00E3263A" w:rsidRPr="00136D72" w:rsidRDefault="00E3263A" w:rsidP="00E3263A">
      <w:pPr>
        <w:pStyle w:val="Heading4"/>
        <w:numPr>
          <w:ilvl w:val="1"/>
          <w:numId w:val="16"/>
        </w:numPr>
        <w:rPr>
          <w:rFonts w:asciiTheme="majorHAnsi" w:hAnsiTheme="majorHAnsi"/>
        </w:rPr>
      </w:pPr>
      <w:r w:rsidRPr="00136D72">
        <w:rPr>
          <w:rFonts w:asciiTheme="majorHAnsi" w:hAnsiTheme="majorHAnsi"/>
        </w:rPr>
        <w:t xml:space="preserve">Resource Inequality – Full text disclosure puts everyone on an equal playing field by ensuring that debaters with fewer resources can still access evidence cut from expensive online libraries and databases. </w:t>
      </w:r>
    </w:p>
    <w:p w14:paraId="41D93247" w14:textId="77777777" w:rsidR="00E3263A" w:rsidRPr="00136D72" w:rsidRDefault="00E3263A" w:rsidP="00E3263A">
      <w:pPr>
        <w:rPr>
          <w:rFonts w:asciiTheme="majorHAnsi" w:hAnsiTheme="majorHAnsi"/>
        </w:rPr>
      </w:pPr>
    </w:p>
    <w:p w14:paraId="446AB81E" w14:textId="77777777" w:rsidR="00E3263A" w:rsidRPr="00136D72" w:rsidRDefault="00E3263A" w:rsidP="00E3263A">
      <w:pPr>
        <w:pStyle w:val="Heading4"/>
        <w:numPr>
          <w:ilvl w:val="1"/>
          <w:numId w:val="16"/>
        </w:numPr>
        <w:rPr>
          <w:rFonts w:asciiTheme="majorHAnsi" w:hAnsiTheme="majorHAnsi"/>
        </w:rPr>
      </w:pPr>
      <w:r w:rsidRPr="00136D72">
        <w:rPr>
          <w:rFonts w:asciiTheme="majorHAnsi" w:hAnsiTheme="majorHAnsi"/>
        </w:rPr>
        <w:t xml:space="preserve">Prep Burden – Larger schools have the ability to scout more rounds at tournaments by virtue of the fact that they have larger teams and more connections on the circuit. Disclosure solves because it gives everyone access to the same intelligence. </w:t>
      </w:r>
    </w:p>
    <w:p w14:paraId="4D262712" w14:textId="77777777" w:rsidR="00E3263A" w:rsidRPr="00136D72" w:rsidRDefault="00E3263A" w:rsidP="00E3263A">
      <w:pPr>
        <w:rPr>
          <w:rFonts w:asciiTheme="majorHAnsi" w:hAnsiTheme="majorHAnsi"/>
        </w:rPr>
      </w:pPr>
    </w:p>
    <w:p w14:paraId="4BB5C504" w14:textId="77777777" w:rsidR="00E3263A" w:rsidRPr="00136D72" w:rsidRDefault="00E3263A" w:rsidP="00E3263A">
      <w:pPr>
        <w:pStyle w:val="Heading4"/>
        <w:rPr>
          <w:rFonts w:asciiTheme="majorHAnsi" w:hAnsiTheme="majorHAnsi"/>
        </w:rPr>
      </w:pPr>
      <w:r w:rsidRPr="00136D72">
        <w:rPr>
          <w:rFonts w:asciiTheme="majorHAnsi" w:hAnsiTheme="majorHAnsi"/>
        </w:rPr>
        <w:t xml:space="preserve">Voter: Fairness, Education </w:t>
      </w:r>
    </w:p>
    <w:p w14:paraId="1753FE60" w14:textId="77777777" w:rsidR="00E3263A" w:rsidRPr="00136D72" w:rsidRDefault="00E3263A" w:rsidP="00E3263A">
      <w:pPr>
        <w:rPr>
          <w:rFonts w:asciiTheme="majorHAnsi" w:hAnsiTheme="majorHAnsi"/>
        </w:rPr>
      </w:pPr>
    </w:p>
    <w:p w14:paraId="0C526D23" w14:textId="77777777" w:rsidR="00E3263A" w:rsidRPr="00136D72" w:rsidRDefault="00E3263A" w:rsidP="00E3263A">
      <w:pPr>
        <w:pStyle w:val="Heading3"/>
        <w:rPr>
          <w:rFonts w:asciiTheme="majorHAnsi" w:hAnsiTheme="majorHAnsi"/>
        </w:rPr>
      </w:pPr>
      <w:r w:rsidRPr="00136D72">
        <w:rPr>
          <w:rFonts w:asciiTheme="majorHAnsi" w:hAnsiTheme="majorHAnsi"/>
        </w:rPr>
        <w:lastRenderedPageBreak/>
        <w:t xml:space="preserve">1NC – Paradigm Issues </w:t>
      </w:r>
    </w:p>
    <w:p w14:paraId="51319D66" w14:textId="77777777" w:rsidR="00E3263A" w:rsidRPr="00136D72" w:rsidRDefault="00E3263A" w:rsidP="00E3263A">
      <w:pPr>
        <w:pStyle w:val="Heading4"/>
        <w:rPr>
          <w:rFonts w:asciiTheme="majorHAnsi" w:hAnsiTheme="majorHAnsi"/>
        </w:rPr>
      </w:pPr>
      <w:r w:rsidRPr="00136D72">
        <w:rPr>
          <w:rFonts w:asciiTheme="majorHAnsi" w:hAnsiTheme="majorHAnsi"/>
        </w:rPr>
        <w:t xml:space="preserve">Use competing interpretations: </w:t>
      </w:r>
    </w:p>
    <w:p w14:paraId="7770290B" w14:textId="77777777" w:rsidR="00E3263A" w:rsidRPr="00136D72" w:rsidRDefault="00E3263A" w:rsidP="00E3263A">
      <w:pPr>
        <w:pStyle w:val="Heading4"/>
        <w:numPr>
          <w:ilvl w:val="0"/>
          <w:numId w:val="17"/>
        </w:numPr>
        <w:rPr>
          <w:rFonts w:asciiTheme="majorHAnsi" w:hAnsiTheme="majorHAnsi"/>
        </w:rPr>
      </w:pPr>
      <w:r w:rsidRPr="00136D72">
        <w:rPr>
          <w:rFonts w:asciiTheme="majorHAnsi" w:hAnsiTheme="majorHAnsi"/>
        </w:rPr>
        <w:t xml:space="preserve">Reasonability is arbitrary which invites judge intervention or random unjustified thresholds. </w:t>
      </w:r>
    </w:p>
    <w:p w14:paraId="24E386C8" w14:textId="77777777" w:rsidR="00E3263A" w:rsidRPr="00136D72" w:rsidRDefault="00E3263A" w:rsidP="00E3263A">
      <w:pPr>
        <w:pStyle w:val="Heading4"/>
        <w:numPr>
          <w:ilvl w:val="0"/>
          <w:numId w:val="17"/>
        </w:numPr>
        <w:rPr>
          <w:rFonts w:asciiTheme="majorHAnsi" w:hAnsiTheme="majorHAnsi"/>
        </w:rPr>
      </w:pPr>
      <w:r w:rsidRPr="00136D72">
        <w:rPr>
          <w:rFonts w:asciiTheme="majorHAnsi" w:hAnsiTheme="majorHAnsi"/>
        </w:rPr>
        <w:t xml:space="preserve">Competing interpretations deters future abuse by creating consistent norms that debaters can be held to in the future. </w:t>
      </w:r>
    </w:p>
    <w:p w14:paraId="47B65CD4" w14:textId="77777777" w:rsidR="00E3263A" w:rsidRPr="00136D72" w:rsidRDefault="00E3263A" w:rsidP="00E3263A">
      <w:pPr>
        <w:pStyle w:val="Heading4"/>
        <w:numPr>
          <w:ilvl w:val="0"/>
          <w:numId w:val="17"/>
        </w:numPr>
        <w:rPr>
          <w:rFonts w:asciiTheme="majorHAnsi" w:hAnsiTheme="majorHAnsi"/>
        </w:rPr>
      </w:pPr>
      <w:r w:rsidRPr="00136D72">
        <w:rPr>
          <w:rFonts w:asciiTheme="majorHAnsi" w:hAnsiTheme="majorHAnsi"/>
        </w:rPr>
        <w:t xml:space="preserve">Reasonability causes a race to the bottom where debaters try to be as abusive as possible while still remaining reasonable, which increases abuse. </w:t>
      </w:r>
    </w:p>
    <w:p w14:paraId="3A14175E" w14:textId="77777777" w:rsidR="00E3263A" w:rsidRPr="00136D72" w:rsidRDefault="00E3263A" w:rsidP="00E3263A">
      <w:pPr>
        <w:pStyle w:val="Heading4"/>
        <w:numPr>
          <w:ilvl w:val="0"/>
          <w:numId w:val="17"/>
        </w:numPr>
        <w:rPr>
          <w:rFonts w:asciiTheme="majorHAnsi" w:hAnsiTheme="majorHAnsi"/>
        </w:rPr>
      </w:pPr>
      <w:r w:rsidRPr="00136D72">
        <w:rPr>
          <w:rFonts w:asciiTheme="majorHAnsi" w:hAnsiTheme="majorHAnsi"/>
        </w:rPr>
        <w:t xml:space="preserve">Reasonability collapses into competing interpretations because you still need to read a counter-interp to prove that you are being reasonable. </w:t>
      </w:r>
    </w:p>
    <w:p w14:paraId="2FD14FA2" w14:textId="77777777" w:rsidR="00E3263A" w:rsidRPr="00136D72" w:rsidRDefault="00E3263A" w:rsidP="00E3263A">
      <w:pPr>
        <w:rPr>
          <w:rFonts w:asciiTheme="majorHAnsi" w:hAnsiTheme="majorHAnsi"/>
        </w:rPr>
      </w:pPr>
    </w:p>
    <w:p w14:paraId="0BE8D591" w14:textId="77777777" w:rsidR="00E3263A" w:rsidRPr="00136D72" w:rsidRDefault="00E3263A" w:rsidP="00E3263A">
      <w:p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Drop the debater:</w:t>
      </w:r>
    </w:p>
    <w:p w14:paraId="7E55DBBC" w14:textId="77777777" w:rsidR="00E3263A" w:rsidRPr="00136D72" w:rsidRDefault="00E3263A" w:rsidP="00E3263A">
      <w:pPr>
        <w:numPr>
          <w:ilvl w:val="0"/>
          <w:numId w:val="19"/>
        </w:num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 xml:space="preserve">Dropping the arg is the equivalent of severance because it allows them to shift to a different position in the 1ar which moots 7 minutes of 1nc offense. </w:t>
      </w:r>
    </w:p>
    <w:p w14:paraId="3EDBC71D" w14:textId="77777777" w:rsidR="00E3263A" w:rsidRPr="00136D72" w:rsidRDefault="00E3263A" w:rsidP="00E3263A">
      <w:pPr>
        <w:numPr>
          <w:ilvl w:val="0"/>
          <w:numId w:val="19"/>
        </w:num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 xml:space="preserve">Drop the arg collapses to drop the debater on T because if they have no advocacy there is nothing to vote for. </w:t>
      </w:r>
    </w:p>
    <w:p w14:paraId="10727B48" w14:textId="77777777" w:rsidR="00E3263A" w:rsidRPr="00136D72" w:rsidRDefault="00E3263A" w:rsidP="00E3263A">
      <w:pPr>
        <w:numPr>
          <w:ilvl w:val="0"/>
          <w:numId w:val="19"/>
        </w:num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Deters future abuse the greatest incentive in debate is competitive success so debaters won’t read positions if they can’t win on them.</w:t>
      </w:r>
    </w:p>
    <w:p w14:paraId="12F0212C" w14:textId="77777777" w:rsidR="00E3263A" w:rsidRPr="00136D72" w:rsidRDefault="00E3263A" w:rsidP="00E3263A">
      <w:pPr>
        <w:pStyle w:val="Heading4"/>
        <w:rPr>
          <w:rFonts w:asciiTheme="majorHAnsi" w:hAnsiTheme="majorHAnsi"/>
        </w:rPr>
      </w:pPr>
      <w:r w:rsidRPr="00136D72">
        <w:rPr>
          <w:rFonts w:asciiTheme="majorHAnsi" w:hAnsiTheme="majorHAnsi"/>
        </w:rPr>
        <w:t>Drop all undisclosed arguments:</w:t>
      </w:r>
    </w:p>
    <w:p w14:paraId="21354850" w14:textId="77777777" w:rsidR="00E3263A" w:rsidRPr="00136D72" w:rsidRDefault="00E3263A" w:rsidP="00E3263A">
      <w:pPr>
        <w:pStyle w:val="Heading4"/>
        <w:numPr>
          <w:ilvl w:val="0"/>
          <w:numId w:val="18"/>
        </w:numPr>
        <w:tabs>
          <w:tab w:val="num" w:pos="360"/>
        </w:tabs>
        <w:ind w:left="0" w:firstLine="0"/>
        <w:rPr>
          <w:rFonts w:asciiTheme="majorHAnsi" w:hAnsiTheme="majorHAnsi"/>
        </w:rPr>
      </w:pPr>
      <w:r w:rsidRPr="00136D72">
        <w:rPr>
          <w:rFonts w:asciiTheme="majorHAnsi" w:hAnsiTheme="majorHAnsi"/>
        </w:rPr>
        <w:t xml:space="preserve">Substance crowd out – Drop the debater crowds out substantive discussion, if the ballot is at stake debaters will go all in on theory. </w:t>
      </w:r>
    </w:p>
    <w:p w14:paraId="1423E8CD" w14:textId="77777777" w:rsidR="00E3263A" w:rsidRPr="00136D72" w:rsidRDefault="00E3263A" w:rsidP="00E3263A">
      <w:pPr>
        <w:pStyle w:val="Heading4"/>
        <w:numPr>
          <w:ilvl w:val="0"/>
          <w:numId w:val="18"/>
        </w:numPr>
        <w:tabs>
          <w:tab w:val="num" w:pos="360"/>
        </w:tabs>
        <w:ind w:left="0" w:firstLine="0"/>
        <w:rPr>
          <w:rFonts w:asciiTheme="majorHAnsi" w:hAnsiTheme="majorHAnsi"/>
        </w:rPr>
      </w:pPr>
      <w:r w:rsidRPr="00136D72">
        <w:rPr>
          <w:rFonts w:asciiTheme="majorHAnsi" w:hAnsiTheme="majorHAnsi"/>
        </w:rPr>
        <w:t>Drop the debater incentivizes frivolous theory because even cheap shot interpretation can win rounds, that kills substantive engagement.</w:t>
      </w:r>
    </w:p>
    <w:p w14:paraId="242F53C6" w14:textId="3FF011FE" w:rsidR="00E3263A" w:rsidRDefault="00E3263A" w:rsidP="000D4C8D">
      <w:pPr>
        <w:pStyle w:val="Heading4"/>
        <w:numPr>
          <w:ilvl w:val="0"/>
          <w:numId w:val="18"/>
        </w:numPr>
        <w:tabs>
          <w:tab w:val="num" w:pos="360"/>
        </w:tabs>
        <w:ind w:left="0" w:firstLine="0"/>
      </w:pPr>
      <w:r w:rsidRPr="000D4C8D">
        <w:rPr>
          <w:rFonts w:asciiTheme="majorHAnsi" w:hAnsiTheme="majorHAnsi"/>
        </w:rPr>
        <w:t xml:space="preserve">Proportional – Dropping the debater overcompensates for the abuse. Dropping the argument is a more proportional punishment since it still gives them an opportunity to win the round on turns to negative position.  </w:t>
      </w:r>
    </w:p>
    <w:p w14:paraId="0B2BE31B" w14:textId="5E586231" w:rsidR="00A8436B" w:rsidRDefault="00A8436B" w:rsidP="00A8436B">
      <w:pPr>
        <w:pStyle w:val="Heading2"/>
      </w:pPr>
      <w:r>
        <w:lastRenderedPageBreak/>
        <w:t>1NC – </w:t>
      </w:r>
      <w:r w:rsidR="00BC02F2">
        <w:t>Off</w:t>
      </w:r>
    </w:p>
    <w:p w14:paraId="2DB439A8" w14:textId="77777777" w:rsidR="00A8436B" w:rsidRPr="00FE51A3" w:rsidRDefault="00A8436B" w:rsidP="00A8436B">
      <w:pPr>
        <w:pStyle w:val="Heading4"/>
        <w:rPr>
          <w:rFonts w:asciiTheme="majorHAnsi" w:hAnsiTheme="majorHAnsi" w:cstheme="majorHAnsi"/>
        </w:rPr>
      </w:pPr>
      <w:r w:rsidRPr="00FE51A3">
        <w:rPr>
          <w:rFonts w:asciiTheme="majorHAnsi" w:hAnsiTheme="majorHAnsi" w:cstheme="majorHAnsi"/>
        </w:rPr>
        <w:t>Biotech industry strong now</w:t>
      </w:r>
    </w:p>
    <w:p w14:paraId="7614BA5E" w14:textId="77777777" w:rsidR="00A8436B" w:rsidRPr="00FE51A3" w:rsidRDefault="00A8436B" w:rsidP="00A8436B">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43EAE46" w14:textId="77777777" w:rsidR="00A8436B" w:rsidRPr="00B73CE8" w:rsidRDefault="00A8436B" w:rsidP="00A8436B">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43B06C4D" w14:textId="77777777" w:rsidR="00A8436B" w:rsidRPr="00B73CE8" w:rsidRDefault="00A8436B" w:rsidP="00A8436B">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62379AA4" w14:textId="77777777" w:rsidR="00A8436B" w:rsidRPr="00B73CE8" w:rsidRDefault="00A8436B" w:rsidP="00A8436B">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0A346929" w14:textId="77777777" w:rsidR="00A8436B" w:rsidRPr="00B73CE8" w:rsidRDefault="00A8436B" w:rsidP="00A8436B">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17B30CBC" w14:textId="77777777" w:rsidR="00A8436B" w:rsidRPr="00FE51A3" w:rsidRDefault="00A8436B" w:rsidP="00A8436B">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4AFC3CAC" w14:textId="77777777" w:rsidR="00A8436B" w:rsidRPr="00FE51A3" w:rsidRDefault="00A8436B" w:rsidP="00A8436B">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49B06B0D" w14:textId="77777777" w:rsidR="00A8436B" w:rsidRPr="00B73CE8" w:rsidRDefault="00A8436B" w:rsidP="00A8436B">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1007A007" w14:textId="77777777" w:rsidR="00A8436B" w:rsidRPr="00B73CE8" w:rsidRDefault="00A8436B" w:rsidP="00A8436B">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0F92D8E7" w14:textId="77777777" w:rsidR="00A8436B" w:rsidRPr="00B73CE8" w:rsidRDefault="00A8436B" w:rsidP="00A8436B">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0F97DDC7" w14:textId="77777777" w:rsidR="00A8436B" w:rsidRPr="00B73CE8" w:rsidRDefault="00A8436B" w:rsidP="00A8436B">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5023D630" w14:textId="77777777" w:rsidR="00A8436B" w:rsidRPr="00B73CE8" w:rsidRDefault="00A8436B" w:rsidP="00A8436B">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09DCC070" w14:textId="77777777" w:rsidR="00A8436B" w:rsidRDefault="00A8436B" w:rsidP="00A8436B"/>
    <w:p w14:paraId="74CF49B9" w14:textId="77777777" w:rsidR="00A8436B" w:rsidRPr="00D1700D" w:rsidRDefault="00A8436B" w:rsidP="00A8436B">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4F4C3185" w14:textId="77777777" w:rsidR="00A8436B" w:rsidRPr="00D1700D" w:rsidRDefault="00A8436B" w:rsidP="00A8436B">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3914AA23" w14:textId="77777777" w:rsidR="00A8436B" w:rsidRPr="006F506E" w:rsidRDefault="00A8436B" w:rsidP="00A8436B">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68CFCCFD" w14:textId="77777777" w:rsidR="00A8436B" w:rsidRPr="006F506E" w:rsidRDefault="00A8436B" w:rsidP="00A8436B">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6F802AB" w14:textId="77777777" w:rsidR="00A8436B" w:rsidRPr="006F506E" w:rsidRDefault="00A8436B" w:rsidP="00A8436B">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38B1E27" w14:textId="77777777" w:rsidR="00A8436B" w:rsidRPr="006F506E" w:rsidRDefault="00A8436B" w:rsidP="00A8436B">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B10BBAC" w14:textId="77777777" w:rsidR="00A8436B" w:rsidRPr="00D1700D" w:rsidRDefault="00A8436B" w:rsidP="00A8436B">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0BFC98EB" w14:textId="77777777" w:rsidR="00A8436B" w:rsidRDefault="00A8436B" w:rsidP="00A8436B">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74832445" w14:textId="77777777" w:rsidR="00A8436B" w:rsidRDefault="00A8436B" w:rsidP="00A8436B">
      <w:pPr>
        <w:rPr>
          <w:sz w:val="12"/>
        </w:rPr>
      </w:pPr>
    </w:p>
    <w:p w14:paraId="66134E0B" w14:textId="77777777" w:rsidR="00A8436B" w:rsidRDefault="00A8436B" w:rsidP="00A8436B">
      <w:pPr>
        <w:pStyle w:val="Heading4"/>
      </w:pPr>
      <w:r>
        <w:t>MRNA solves a litany of diseases, but continued innovation is key</w:t>
      </w:r>
    </w:p>
    <w:p w14:paraId="0DA5FA41" w14:textId="77777777" w:rsidR="00A8436B" w:rsidRPr="00B769DF" w:rsidRDefault="00A8436B" w:rsidP="00A8436B">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337E4590" w14:textId="77777777" w:rsidR="00A8436B" w:rsidRPr="00B769DF" w:rsidRDefault="00A8436B" w:rsidP="00A8436B">
      <w:pPr>
        <w:rPr>
          <w:sz w:val="12"/>
        </w:rPr>
      </w:pPr>
      <w:r w:rsidRPr="00B73CE8">
        <w:rPr>
          <w:rStyle w:val="StyleUnderline"/>
          <w:highlight w:val="green"/>
        </w:rPr>
        <w:lastRenderedPageBreak/>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 xml:space="preserve">They also can be safely administered repeatedly, as we are seeing with the two-dose regimen for both the Pfizer-BioNTech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0E3F76C3" w14:textId="77777777" w:rsidR="00A8436B" w:rsidRPr="00B769DF" w:rsidRDefault="00A8436B" w:rsidP="00A8436B">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33BBDB53" w14:textId="77777777" w:rsidR="00A8436B" w:rsidRPr="00B769DF" w:rsidRDefault="00A8436B" w:rsidP="00A8436B">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outbreaks, and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48D9D9BE" w14:textId="77777777" w:rsidR="00A8436B" w:rsidRDefault="00A8436B" w:rsidP="00A8436B">
      <w:pPr>
        <w:rPr>
          <w:sz w:val="12"/>
        </w:rPr>
      </w:pPr>
    </w:p>
    <w:p w14:paraId="688318A6" w14:textId="77777777" w:rsidR="00A8436B" w:rsidRPr="00131F53" w:rsidRDefault="00A8436B" w:rsidP="00A8436B">
      <w:pPr>
        <w:pStyle w:val="Heading4"/>
      </w:pPr>
      <w:r>
        <w:rPr>
          <w:u w:val="single"/>
        </w:rPr>
        <w:t>Disease causes e</w:t>
      </w:r>
      <w:r w:rsidRPr="009A7E01">
        <w:rPr>
          <w:u w:val="single"/>
        </w:rPr>
        <w:t>xtinction</w:t>
      </w:r>
      <w:r>
        <w:t xml:space="preserve"> – </w:t>
      </w:r>
      <w:r w:rsidRPr="00131F53">
        <w:t xml:space="preserve">defense is wrong </w:t>
      </w:r>
    </w:p>
    <w:p w14:paraId="08559537" w14:textId="77777777" w:rsidR="00A8436B" w:rsidRPr="00131F53" w:rsidRDefault="00A8436B" w:rsidP="00A8436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64A0A96" w14:textId="77777777" w:rsidR="00A8436B" w:rsidRPr="003216EB" w:rsidRDefault="00A8436B" w:rsidP="00A8436B">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718511C1" w14:textId="77777777" w:rsidR="00A8436B" w:rsidRPr="003216EB" w:rsidRDefault="00A8436B" w:rsidP="00A8436B">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1906FD38" w14:textId="77777777" w:rsidR="00A8436B" w:rsidRPr="003216EB" w:rsidRDefault="00A8436B" w:rsidP="00A8436B">
      <w:pPr>
        <w:rPr>
          <w:sz w:val="12"/>
        </w:rPr>
      </w:pPr>
      <w:r w:rsidRPr="003216EB">
        <w:rPr>
          <w:sz w:val="12"/>
        </w:rPr>
        <w:lastRenderedPageBreak/>
        <w:t xml:space="preserve">While </w:t>
      </w:r>
      <w:r w:rsidRPr="006E0700">
        <w:rPr>
          <w:rStyle w:val="StyleUnderline"/>
          <w:highlight w:val="green"/>
        </w:rPr>
        <w:t>these 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do not rule the possibility out</w:t>
      </w:r>
      <w:r w:rsidRPr="003216EB">
        <w:rPr>
          <w:sz w:val="12"/>
        </w:rPr>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3C2D1A98" w14:textId="77777777" w:rsidR="00A8436B" w:rsidRPr="003216EB" w:rsidRDefault="00A8436B" w:rsidP="00A8436B">
      <w:pPr>
        <w:rPr>
          <w:rStyle w:val="StyleUnderline"/>
          <w:b w:val="0"/>
          <w:sz w:val="12"/>
          <w:u w:val="none"/>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29621D79" w14:textId="77777777" w:rsidR="00A8436B" w:rsidRPr="0078545D" w:rsidRDefault="00A8436B" w:rsidP="00A8436B">
      <w:pPr>
        <w:rPr>
          <w:sz w:val="12"/>
        </w:rPr>
      </w:pPr>
    </w:p>
    <w:p w14:paraId="34118625" w14:textId="77777777" w:rsidR="00A8436B" w:rsidRPr="00B73CE8" w:rsidRDefault="00A8436B" w:rsidP="00A8436B"/>
    <w:p w14:paraId="1F541575" w14:textId="70385F6A" w:rsidR="00A8436B" w:rsidRDefault="00A8436B" w:rsidP="00A8436B">
      <w:pPr>
        <w:pStyle w:val="Heading2"/>
      </w:pPr>
      <w:r>
        <w:lastRenderedPageBreak/>
        <w:t>1NC – </w:t>
      </w:r>
      <w:r w:rsidR="00BC02F2">
        <w:t>Off</w:t>
      </w:r>
    </w:p>
    <w:p w14:paraId="77C7DF13" w14:textId="77777777" w:rsidR="00A8436B" w:rsidRDefault="00A8436B" w:rsidP="00A8436B">
      <w:pPr>
        <w:pStyle w:val="Heading4"/>
      </w:pPr>
      <w:r>
        <w:t>CP: Member nations of the World Trade Organization should adopt the European Union’s proposal to:</w:t>
      </w:r>
    </w:p>
    <w:p w14:paraId="49C5D73C" w14:textId="77777777" w:rsidR="00A8436B" w:rsidRPr="00D927A7" w:rsidRDefault="00A8436B" w:rsidP="00A8436B">
      <w:pPr>
        <w:pStyle w:val="Heading4"/>
        <w:numPr>
          <w:ilvl w:val="0"/>
          <w:numId w:val="14"/>
        </w:numPr>
      </w:pPr>
      <w:r w:rsidRPr="00D927A7">
        <w:t>Ensure that COVID-19 vaccines, treatments and their components can cross borders freely</w:t>
      </w:r>
    </w:p>
    <w:p w14:paraId="45DEF209" w14:textId="77777777" w:rsidR="00A8436B" w:rsidRPr="00D927A7" w:rsidRDefault="00A8436B" w:rsidP="00A8436B">
      <w:pPr>
        <w:pStyle w:val="Heading4"/>
        <w:numPr>
          <w:ilvl w:val="0"/>
          <w:numId w:val="14"/>
        </w:numPr>
      </w:pPr>
      <w:r>
        <w:t>E</w:t>
      </w:r>
      <w:r w:rsidRPr="00D927A7">
        <w:t>ncourage producers to expand their production, while ensuring that those countries most in need of vaccines receive them at an affordable price</w:t>
      </w:r>
    </w:p>
    <w:p w14:paraId="14F829ED" w14:textId="77777777" w:rsidR="00A8436B" w:rsidRDefault="00A8436B" w:rsidP="00A8436B">
      <w:pPr>
        <w:pStyle w:val="Heading4"/>
        <w:numPr>
          <w:ilvl w:val="0"/>
          <w:numId w:val="14"/>
        </w:numPr>
      </w:pPr>
      <w:r>
        <w:t>F</w:t>
      </w:r>
      <w:r w:rsidRPr="00D927A7">
        <w:t>acilitate the use of compulsory licensing within the WTO's existing Agreement on Trade-Related Aspects of Intellectual Property Rights</w:t>
      </w:r>
    </w:p>
    <w:p w14:paraId="0F6D16BB" w14:textId="77777777" w:rsidR="00A8436B" w:rsidRPr="00D500D6" w:rsidRDefault="00A8436B" w:rsidP="00A8436B">
      <w:pPr>
        <w:pStyle w:val="Heading4"/>
      </w:pPr>
      <w:r>
        <w:t>Solves vaccine access but avoids innovation</w:t>
      </w:r>
    </w:p>
    <w:p w14:paraId="670DCF29" w14:textId="77777777" w:rsidR="00A8436B" w:rsidRPr="00177892" w:rsidRDefault="00A8436B" w:rsidP="00A8436B">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17D13FD3" w14:textId="77777777" w:rsidR="00A8436B" w:rsidRPr="00177892" w:rsidRDefault="00A8436B" w:rsidP="00A8436B">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in order to address India’s own exploding COVID-19 infection rates. For its part, the United States under President Joe Biden recently announced an increase of 20 million doses to the country’s planned COVID-19 vaccine exports.</w:t>
      </w:r>
    </w:p>
    <w:p w14:paraId="518A32A8" w14:textId="77777777" w:rsidR="00A8436B" w:rsidRPr="00177892" w:rsidRDefault="00A8436B" w:rsidP="00A8436B">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BioNTech,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3DC628EE" w14:textId="77777777" w:rsidR="00A8436B" w:rsidRPr="00177892" w:rsidRDefault="00A8436B" w:rsidP="00A8436B">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761CFA64" w14:textId="77777777" w:rsidR="00A8436B" w:rsidRPr="00177892" w:rsidRDefault="00A8436B" w:rsidP="00A8436B">
      <w:pPr>
        <w:rPr>
          <w:sz w:val="12"/>
          <w:szCs w:val="12"/>
        </w:rPr>
      </w:pPr>
      <w:r w:rsidRPr="00177892">
        <w:rPr>
          <w:sz w:val="12"/>
          <w:szCs w:val="12"/>
        </w:rPr>
        <w:t>As regards the broad waiver proposed by a number of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50BEB68D" w14:textId="77777777" w:rsidR="00A8436B" w:rsidRPr="00177892" w:rsidRDefault="00A8436B" w:rsidP="00A8436B">
      <w:pPr>
        <w:rPr>
          <w:sz w:val="12"/>
        </w:rPr>
      </w:pPr>
      <w:r w:rsidRPr="00177892">
        <w:rPr>
          <w:rStyle w:val="StyleUnderline"/>
        </w:rPr>
        <w:lastRenderedPageBreak/>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3F6E328A" w14:textId="308FB55D" w:rsidR="00A8436B" w:rsidRPr="00177892" w:rsidRDefault="00A8436B" w:rsidP="00A8436B">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0195A085" w14:textId="77777777" w:rsidR="00A8436B" w:rsidRPr="00177892" w:rsidRDefault="00A8436B" w:rsidP="00A8436B"/>
    <w:p w14:paraId="121FF8CF" w14:textId="03F5B8D4" w:rsidR="000D4C8D" w:rsidRDefault="000D4C8D" w:rsidP="000D4C8D">
      <w:pPr>
        <w:pStyle w:val="Heading3"/>
      </w:pPr>
      <w:r>
        <w:lastRenderedPageBreak/>
        <w:t>Framing</w:t>
      </w:r>
    </w:p>
    <w:p w14:paraId="142D71AD" w14:textId="15BD16CA" w:rsidR="000D4C8D" w:rsidRPr="00A355C6" w:rsidRDefault="000D4C8D" w:rsidP="000D4C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E6EB8DD" w14:textId="77777777" w:rsidR="000D4C8D" w:rsidRPr="00A355C6" w:rsidRDefault="000D4C8D" w:rsidP="000D4C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8B6C6E8" w14:textId="77777777" w:rsidR="000D4C8D" w:rsidRPr="00A355C6" w:rsidRDefault="000D4C8D" w:rsidP="000D4C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6F99D34" w14:textId="77777777" w:rsidR="000D4C8D" w:rsidRPr="00A355C6" w:rsidRDefault="000D4C8D" w:rsidP="000D4C8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valuable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110B572" w14:textId="77777777" w:rsidR="000D4C8D" w:rsidRPr="00A355C6" w:rsidRDefault="000D4C8D" w:rsidP="000D4C8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90DC349" w14:textId="77777777" w:rsidR="000D4C8D" w:rsidRPr="00A355C6" w:rsidRDefault="000D4C8D" w:rsidP="000D4C8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0099E84" w14:textId="77777777" w:rsidR="000D4C8D" w:rsidRPr="00A355C6" w:rsidRDefault="000D4C8D" w:rsidP="000D4C8D">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C12DD02" w14:textId="77777777" w:rsidR="000D4C8D" w:rsidRPr="00A355C6" w:rsidRDefault="000D4C8D" w:rsidP="000D4C8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AB57243" w14:textId="77777777" w:rsidR="000D4C8D" w:rsidRPr="00A355C6" w:rsidRDefault="000D4C8D" w:rsidP="000D4C8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7DED5AB0" w14:textId="77777777" w:rsidR="000D4C8D" w:rsidRPr="00651F2F" w:rsidRDefault="000D4C8D" w:rsidP="000D4C8D"/>
    <w:p w14:paraId="643BAD43" w14:textId="7A9DCF72" w:rsidR="00A8436B" w:rsidRDefault="000D4C8D" w:rsidP="000D4C8D">
      <w:pPr>
        <w:pStyle w:val="Heading4"/>
      </w:pPr>
      <w:r>
        <w:lastRenderedPageBreak/>
        <w:t>Prefer further:</w:t>
      </w:r>
    </w:p>
    <w:p w14:paraId="132C4FD0" w14:textId="6A8AA62B" w:rsidR="000D4C8D" w:rsidRPr="000D4C8D" w:rsidRDefault="000D4C8D" w:rsidP="000D4C8D">
      <w:pPr>
        <w:pStyle w:val="Heading4"/>
      </w:pPr>
      <w:r>
        <w:t xml:space="preserve">Moral uncertainty- </w:t>
      </w:r>
    </w:p>
    <w:p w14:paraId="3DF7D0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notTrueType/>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1380D"/>
    <w:multiLevelType w:val="hybridMultilevel"/>
    <w:tmpl w:val="E6D2A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0849C3"/>
    <w:multiLevelType w:val="hybridMultilevel"/>
    <w:tmpl w:val="19646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801358"/>
    <w:multiLevelType w:val="hybridMultilevel"/>
    <w:tmpl w:val="B7CEC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DC1D64"/>
    <w:multiLevelType w:val="multilevel"/>
    <w:tmpl w:val="5F5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EB601A"/>
    <w:multiLevelType w:val="multilevel"/>
    <w:tmpl w:val="2CA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1"/>
  </w:num>
  <w:num w:numId="15">
    <w:abstractNumId w:val="12"/>
  </w:num>
  <w:num w:numId="16">
    <w:abstractNumId w:val="13"/>
  </w:num>
  <w:num w:numId="17">
    <w:abstractNumId w:val="14"/>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77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7C8"/>
    <w:rsid w:val="0008785F"/>
    <w:rsid w:val="00090CBE"/>
    <w:rsid w:val="00094DEC"/>
    <w:rsid w:val="000A2D8A"/>
    <w:rsid w:val="000D26A6"/>
    <w:rsid w:val="000D2B90"/>
    <w:rsid w:val="000D4C8D"/>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FF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47F0"/>
    <w:rsid w:val="00335A23"/>
    <w:rsid w:val="00340707"/>
    <w:rsid w:val="00341C61"/>
    <w:rsid w:val="00351841"/>
    <w:rsid w:val="003624A6"/>
    <w:rsid w:val="00364ADF"/>
    <w:rsid w:val="00365C8D"/>
    <w:rsid w:val="00366472"/>
    <w:rsid w:val="003670D9"/>
    <w:rsid w:val="00370B41"/>
    <w:rsid w:val="00371B27"/>
    <w:rsid w:val="003726C3"/>
    <w:rsid w:val="00375D2E"/>
    <w:rsid w:val="00376B4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4C2"/>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54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8C6"/>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36B"/>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2F2"/>
    <w:rsid w:val="00BC0ABE"/>
    <w:rsid w:val="00BC30DB"/>
    <w:rsid w:val="00BC64FF"/>
    <w:rsid w:val="00BC7C37"/>
    <w:rsid w:val="00BD2244"/>
    <w:rsid w:val="00BE6472"/>
    <w:rsid w:val="00BF29B8"/>
    <w:rsid w:val="00BF46EA"/>
    <w:rsid w:val="00C07769"/>
    <w:rsid w:val="00C07D05"/>
    <w:rsid w:val="00C10856"/>
    <w:rsid w:val="00C203FA"/>
    <w:rsid w:val="00C2279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63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2777B"/>
  <w14:defaultImageDpi w14:val="300"/>
  <w15:docId w15:val="{CF063049-B16B-0B49-B0FE-B575B074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647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664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64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64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3664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64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472"/>
  </w:style>
  <w:style w:type="character" w:customStyle="1" w:styleId="Heading1Char">
    <w:name w:val="Heading 1 Char"/>
    <w:aliases w:val="Pocket Char"/>
    <w:basedOn w:val="DefaultParagraphFont"/>
    <w:link w:val="Heading1"/>
    <w:uiPriority w:val="9"/>
    <w:rsid w:val="003664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64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647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664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6647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366472"/>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366472"/>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6647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66472"/>
    <w:rPr>
      <w:color w:val="auto"/>
      <w:u w:val="none"/>
    </w:rPr>
  </w:style>
  <w:style w:type="paragraph" w:styleId="DocumentMap">
    <w:name w:val="Document Map"/>
    <w:basedOn w:val="Normal"/>
    <w:link w:val="DocumentMapChar"/>
    <w:uiPriority w:val="99"/>
    <w:semiHidden/>
    <w:unhideWhenUsed/>
    <w:rsid w:val="003664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6472"/>
    <w:rPr>
      <w:rFonts w:ascii="Lucida Grande" w:hAnsi="Lucida Grande" w:cs="Lucida Grande"/>
    </w:rPr>
  </w:style>
  <w:style w:type="paragraph" w:customStyle="1" w:styleId="Emphasis1">
    <w:name w:val="Emphasis1"/>
    <w:basedOn w:val="Normal"/>
    <w:link w:val="Emphasis"/>
    <w:autoRedefine/>
    <w:uiPriority w:val="20"/>
    <w:qFormat/>
    <w:rsid w:val="00A8436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styleId="UnresolvedMention">
    <w:name w:val="Unresolved Mention"/>
    <w:basedOn w:val="DefaultParagraphFont"/>
    <w:uiPriority w:val="99"/>
    <w:semiHidden/>
    <w:unhideWhenUsed/>
    <w:rsid w:val="00A8436B"/>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843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A8436B"/>
    <w:pPr>
      <w:ind w:left="720"/>
      <w:jc w:val="both"/>
    </w:pPr>
    <w:rPr>
      <w:b/>
      <w:iCs/>
      <w:u w:val="single"/>
      <w:bdr w:val="single" w:sz="8" w:space="0" w:color="auto"/>
    </w:rPr>
  </w:style>
  <w:style w:type="paragraph" w:styleId="ListParagraph">
    <w:name w:val="List Paragraph"/>
    <w:basedOn w:val="Normal"/>
    <w:uiPriority w:val="34"/>
    <w:rsid w:val="008C58C6"/>
    <w:pPr>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5342</Words>
  <Characters>29919</Characters>
  <Application>Microsoft Office Word</Application>
  <DocSecurity>0</DocSecurity>
  <Lines>398</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10</cp:revision>
  <dcterms:created xsi:type="dcterms:W3CDTF">2021-09-18T15:26:00Z</dcterms:created>
  <dcterms:modified xsi:type="dcterms:W3CDTF">2021-09-18T20:39:00Z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