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4BD6" w:rsidRDefault="00494BD6" w:rsidP="00494BD6">
      <w:pPr>
        <w:pStyle w:val="Heading1"/>
      </w:pPr>
      <w:r>
        <w:t>1NC vs Westwood AG</w:t>
      </w:r>
    </w:p>
    <w:p w:rsidR="006D318B" w:rsidRDefault="006D318B" w:rsidP="006D318B">
      <w:pPr>
        <w:pStyle w:val="Heading2"/>
      </w:pPr>
      <w:r>
        <w:lastRenderedPageBreak/>
        <w:t>1NC – </w:t>
      </w:r>
      <w:r w:rsidR="00494BD6">
        <w:t>Off</w:t>
      </w:r>
    </w:p>
    <w:p w:rsidR="006D318B" w:rsidRDefault="006D318B" w:rsidP="006D318B">
      <w:pPr>
        <w:pStyle w:val="Heading4"/>
      </w:pPr>
      <w:r>
        <w:t>Interpretation: “medicine” is</w:t>
      </w:r>
    </w:p>
    <w:p w:rsidR="006D318B" w:rsidRPr="00BD6AF4" w:rsidRDefault="006D318B" w:rsidP="006D318B">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rsidR="006D318B" w:rsidRPr="00DC05AF" w:rsidRDefault="006D318B" w:rsidP="006D318B">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rsidR="006D318B" w:rsidRDefault="006D318B" w:rsidP="006D318B">
      <w:pPr>
        <w:pStyle w:val="Heading4"/>
      </w:pPr>
      <w:r>
        <w:t xml:space="preserve">Violation: they’re extra T – beyond medicines, traditional knowledge includes </w:t>
      </w:r>
    </w:p>
    <w:p w:rsidR="006D318B" w:rsidRPr="00DC05AF" w:rsidRDefault="006D318B" w:rsidP="006D318B">
      <w:pPr>
        <w:rPr>
          <w:rStyle w:val="Style13ptBold"/>
          <w:bCs/>
        </w:rPr>
      </w:pPr>
      <w:r>
        <w:rPr>
          <w:rStyle w:val="Style13ptBold"/>
        </w:rPr>
        <w:t xml:space="preserve">Bruchac 14 </w:t>
      </w:r>
      <w:r w:rsidRPr="00DC05AF">
        <w:rPr>
          <w:rStyle w:val="Style13ptBold"/>
          <w:b w:val="0"/>
          <w:bCs/>
          <w:sz w:val="16"/>
          <w:szCs w:val="16"/>
        </w:rPr>
        <w:t xml:space="preserve">[(Margaret, </w:t>
      </w:r>
      <w:r w:rsidRPr="00DC05AF">
        <w:rPr>
          <w:szCs w:val="16"/>
        </w:rPr>
        <w:t>Coordinator, Native American &amp; Indigenous Studies at the University of Pennsylvania, PhD in anthropology from the University of Massachusetts Amherst</w:t>
      </w:r>
      <w:r w:rsidRPr="00DC05AF">
        <w:rPr>
          <w:rStyle w:val="Style13ptBold"/>
          <w:b w:val="0"/>
          <w:bCs/>
          <w:sz w:val="16"/>
          <w:szCs w:val="16"/>
        </w:rPr>
        <w:t>) “</w:t>
      </w:r>
      <w:r w:rsidRPr="00DC05AF">
        <w:rPr>
          <w:bCs/>
          <w:szCs w:val="16"/>
        </w:rPr>
        <w:t>Indigenous Knowledge and Traditional Knowledge,” Encyclopedia of Global Archaeology, 2014] JL</w:t>
      </w:r>
    </w:p>
    <w:p w:rsidR="006D318B" w:rsidRPr="00DC05AF" w:rsidRDefault="006D318B" w:rsidP="006D318B">
      <w:pPr>
        <w:rPr>
          <w:sz w:val="12"/>
        </w:rPr>
      </w:pPr>
      <w:r w:rsidRPr="00DC05AF">
        <w:rPr>
          <w:rStyle w:val="StyleUnderline"/>
        </w:rPr>
        <w:t>Traditional Indigenous knowledge can be defined as a network of knowledges, beliefs, and traditions intended to preserve, communicate, and contextualize Indigenous relationships with culture and landscape over time</w:t>
      </w:r>
      <w:r w:rsidRPr="00DC05AF">
        <w:rPr>
          <w:sz w:val="12"/>
        </w:rPr>
        <w:t xml:space="preserve">. One might distinguish "knowledge" as factual data, "belief" as religious concepts, and "tradition" as practice, but these terms are often used imprecisely and interchangeably to describe Indigenous epistemologies. </w:t>
      </w:r>
      <w:r w:rsidRPr="00DC05AF">
        <w:rPr>
          <w:rStyle w:val="StyleUnderline"/>
        </w:rPr>
        <w:t>Indigenous knowledges are conveyed</w:t>
      </w:r>
      <w:r w:rsidRPr="00DC05AF">
        <w:rPr>
          <w:sz w:val="12"/>
        </w:rPr>
        <w:t xml:space="preserve"> formally and informally among kin groups and communities </w:t>
      </w:r>
      <w:r w:rsidRPr="00DC05AF">
        <w:rPr>
          <w:rStyle w:val="StyleUnderline"/>
        </w:rPr>
        <w:t xml:space="preserve">through social encounters, oral traditions, ritual practices, and other activities. They include: </w:t>
      </w:r>
      <w:r w:rsidRPr="00DC05AF">
        <w:rPr>
          <w:rStyle w:val="Emphasis"/>
          <w:highlight w:val="green"/>
        </w:rPr>
        <w:t>oral narratives</w:t>
      </w:r>
      <w:r w:rsidRPr="00DC05AF">
        <w:rPr>
          <w:rStyle w:val="Emphasis"/>
        </w:rPr>
        <w:t xml:space="preserve"> that recount human histories; </w:t>
      </w:r>
      <w:r w:rsidRPr="00DC05AF">
        <w:rPr>
          <w:rStyle w:val="Emphasis"/>
          <w:highlight w:val="green"/>
        </w:rPr>
        <w:t>cosmological observations</w:t>
      </w:r>
      <w:r w:rsidRPr="00DC05AF">
        <w:rPr>
          <w:rStyle w:val="Emphasis"/>
        </w:rPr>
        <w:t xml:space="preserve"> and modes of reckoning time; </w:t>
      </w:r>
      <w:r w:rsidRPr="00DC05AF">
        <w:rPr>
          <w:rStyle w:val="Emphasis"/>
          <w:highlight w:val="green"/>
        </w:rPr>
        <w:t>symbolic and decorative</w:t>
      </w:r>
      <w:r w:rsidRPr="00DC05AF">
        <w:rPr>
          <w:rStyle w:val="Emphasis"/>
        </w:rPr>
        <w:t xml:space="preserve"> modes of </w:t>
      </w:r>
      <w:r w:rsidRPr="00DC05AF">
        <w:rPr>
          <w:rStyle w:val="Emphasis"/>
          <w:highlight w:val="green"/>
        </w:rPr>
        <w:t>communication; techniques for planting and harvesting; hunting and gathering skills;</w:t>
      </w:r>
      <w:r w:rsidRPr="00DC05AF">
        <w:rPr>
          <w:rStyle w:val="Emphasis"/>
        </w:rPr>
        <w:t xml:space="preserve"> specialized </w:t>
      </w:r>
      <w:r w:rsidRPr="00DC05AF">
        <w:rPr>
          <w:rStyle w:val="Emphasis"/>
          <w:highlight w:val="green"/>
        </w:rPr>
        <w:t>understandings of</w:t>
      </w:r>
      <w:r w:rsidRPr="00DC05AF">
        <w:rPr>
          <w:rStyle w:val="Emphasis"/>
        </w:rPr>
        <w:t xml:space="preserve"> local </w:t>
      </w:r>
      <w:r w:rsidRPr="00DC05AF">
        <w:rPr>
          <w:rStyle w:val="Emphasis"/>
          <w:highlight w:val="green"/>
        </w:rPr>
        <w:t>ecosystems</w:t>
      </w:r>
      <w:r w:rsidRPr="00DC05AF">
        <w:rPr>
          <w:rStyle w:val="Emphasis"/>
        </w:rPr>
        <w:t xml:space="preserve">; and the manufacture of specialized </w:t>
      </w:r>
      <w:r w:rsidRPr="00DC05AF">
        <w:rPr>
          <w:rStyle w:val="Emphasis"/>
          <w:highlight w:val="green"/>
        </w:rPr>
        <w:t>tools</w:t>
      </w:r>
      <w:r w:rsidRPr="00DC05AF">
        <w:rPr>
          <w:rStyle w:val="Emphasis"/>
        </w:rPr>
        <w:t xml:space="preserve"> and technologies</w:t>
      </w:r>
      <w:r w:rsidRPr="00DC05AF">
        <w:rPr>
          <w:rStyle w:val="StyleUnderline"/>
        </w:rPr>
        <w:t xml:space="preserve"> (</w:t>
      </w:r>
      <w:r w:rsidRPr="00DC05AF">
        <w:rPr>
          <w:rStyle w:val="StyleUnderline"/>
          <w:highlight w:val="green"/>
        </w:rPr>
        <w:t>e.g., flintknapping, hide tanning, pottery-making</w:t>
      </w:r>
      <w:r w:rsidRPr="00DC05AF">
        <w:rPr>
          <w:rStyle w:val="StyleUnderline"/>
        </w:rPr>
        <w:t>, and concocting medicinal remedies</w:t>
      </w:r>
      <w:r w:rsidRPr="00DC05AF">
        <w:rPr>
          <w:sz w:val="12"/>
        </w:rPr>
        <w:t xml:space="preserve">). </w:t>
      </w:r>
    </w:p>
    <w:p w:rsidR="006D318B" w:rsidRDefault="006D318B" w:rsidP="006D318B">
      <w:pPr>
        <w:pStyle w:val="Heading4"/>
      </w:pPr>
      <w:r>
        <w:lastRenderedPageBreak/>
        <w:t>Net benefits:</w:t>
      </w:r>
    </w:p>
    <w:p w:rsidR="006D318B" w:rsidRDefault="006D318B" w:rsidP="006D318B">
      <w:pPr>
        <w:pStyle w:val="Heading4"/>
        <w:numPr>
          <w:ilvl w:val="0"/>
          <w:numId w:val="12"/>
        </w:numPr>
        <w:rPr>
          <w:rFonts w:cs="Calibri"/>
        </w:rPr>
      </w:pPr>
      <w:r w:rsidRPr="00253B82">
        <w:t xml:space="preserve">Limits – </w:t>
      </w:r>
      <w:r>
        <w:t>t</w:t>
      </w:r>
      <w:r w:rsidRPr="00253B82">
        <w:t>heir interp</w:t>
      </w:r>
      <w:r>
        <w:t xml:space="preserve"> justifies infinite</w:t>
      </w:r>
      <w:r w:rsidRPr="00253B82">
        <w:t xml:space="preserve"> </w:t>
      </w:r>
      <w:r>
        <w:t xml:space="preserve">affs that require entirely different case negs, from IP for pottery to IP for telescopes, </w:t>
      </w:r>
      <w:r>
        <w:rPr>
          <w:rFonts w:cs="Calibri"/>
        </w:rPr>
        <w:t>which privileges the aff and prevents in-depth testing</w:t>
      </w:r>
    </w:p>
    <w:p w:rsidR="006D318B" w:rsidRDefault="006D318B" w:rsidP="006D318B">
      <w:pPr>
        <w:pStyle w:val="Heading4"/>
        <w:numPr>
          <w:ilvl w:val="0"/>
          <w:numId w:val="12"/>
        </w:numPr>
      </w:pPr>
      <w:r>
        <w:t xml:space="preserve">Ground – they let the aff tack on infinite Frankenstein planks to skirt generics and artificially inflate solvency – and guts generics about medicine like the innovation, pharma politics, and health cooperation DAs </w:t>
      </w:r>
    </w:p>
    <w:p w:rsidR="006D318B" w:rsidRDefault="006D318B" w:rsidP="006D318B">
      <w:pPr>
        <w:pStyle w:val="Heading4"/>
        <w:rPr>
          <w:rFonts w:cs="Calibri"/>
        </w:rPr>
      </w:pPr>
      <w:r w:rsidRPr="00253B82">
        <w:rPr>
          <w:rFonts w:eastAsia="Calibri"/>
        </w:rPr>
        <w:br/>
      </w:r>
      <w:r w:rsidRPr="009811A7">
        <w:rPr>
          <w:rFonts w:cs="Calibri"/>
        </w:rPr>
        <w:t>Paradigm issues:</w:t>
      </w:r>
    </w:p>
    <w:p w:rsidR="006D318B" w:rsidRDefault="006D318B" w:rsidP="006D318B">
      <w:pPr>
        <w:pStyle w:val="Heading4"/>
        <w:numPr>
          <w:ilvl w:val="0"/>
          <w:numId w:val="13"/>
        </w:numPr>
        <w:rPr>
          <w:rFonts w:cs="Calibri"/>
        </w:rPr>
      </w:pPr>
      <w:r w:rsidRPr="009811A7">
        <w:rPr>
          <w:rFonts w:cs="Calibri"/>
        </w:rPr>
        <w:t>Drop the debater</w:t>
      </w:r>
      <w:r>
        <w:rPr>
          <w:rFonts w:cs="Calibri"/>
        </w:rPr>
        <w:t>:</w:t>
      </w:r>
    </w:p>
    <w:p w:rsidR="006D318B" w:rsidRDefault="006D318B" w:rsidP="006D318B">
      <w:pPr>
        <w:pStyle w:val="Heading4"/>
        <w:numPr>
          <w:ilvl w:val="1"/>
          <w:numId w:val="13"/>
        </w:numPr>
        <w:rPr>
          <w:rFonts w:cs="Calibri"/>
        </w:rPr>
      </w:pPr>
      <w:r>
        <w:rPr>
          <w:rFonts w:cs="Calibri"/>
        </w:rPr>
        <w:t>T</w:t>
      </w:r>
      <w:r w:rsidRPr="009811A7">
        <w:rPr>
          <w:rFonts w:cs="Calibri"/>
        </w:rPr>
        <w:t xml:space="preserve">heir abusive advocacy skewed the debate from the start </w:t>
      </w:r>
      <w:r>
        <w:rPr>
          <w:rFonts w:cs="Calibri"/>
        </w:rPr>
        <w:t xml:space="preserve">– 1NC construction was premised on </w:t>
      </w:r>
    </w:p>
    <w:p w:rsidR="006D318B" w:rsidRPr="00DC05AF" w:rsidRDefault="006D318B" w:rsidP="006D318B">
      <w:pPr>
        <w:pStyle w:val="Heading4"/>
        <w:numPr>
          <w:ilvl w:val="1"/>
          <w:numId w:val="13"/>
        </w:numPr>
      </w:pPr>
      <w:r>
        <w:t>Deters abuse – debaters won’t read args they can’t win on – their interp means reading extra T affs has zero risk</w:t>
      </w:r>
    </w:p>
    <w:p w:rsidR="006D318B" w:rsidRDefault="006D318B" w:rsidP="006D318B">
      <w:pPr>
        <w:pStyle w:val="Heading4"/>
        <w:numPr>
          <w:ilvl w:val="0"/>
          <w:numId w:val="13"/>
        </w:numPr>
        <w:rPr>
          <w:rFonts w:cs="Calibri"/>
        </w:rPr>
      </w:pPr>
      <w:r w:rsidRPr="009811A7">
        <w:rPr>
          <w:rFonts w:cs="Calibri"/>
        </w:rPr>
        <w:t>Comes before 1AR theory – NC abuse is responsive to them not being topical</w:t>
      </w:r>
    </w:p>
    <w:p w:rsidR="006D318B" w:rsidRDefault="006D318B" w:rsidP="006D318B">
      <w:pPr>
        <w:pStyle w:val="Heading4"/>
        <w:numPr>
          <w:ilvl w:val="0"/>
          <w:numId w:val="13"/>
        </w:numPr>
        <w:rPr>
          <w:rFonts w:cs="Calibri"/>
        </w:rPr>
      </w:pPr>
      <w:r w:rsidRPr="00DC05AF">
        <w:rPr>
          <w:rFonts w:cs="Calibri"/>
        </w:rPr>
        <w:t>Competing interps – reasonability invites arbitrary judge intervention and a race to the bottom of questionable argumentation</w:t>
      </w:r>
    </w:p>
    <w:p w:rsidR="006D318B" w:rsidRDefault="006D318B" w:rsidP="006D318B">
      <w:pPr>
        <w:pStyle w:val="Heading4"/>
        <w:numPr>
          <w:ilvl w:val="0"/>
          <w:numId w:val="13"/>
        </w:numPr>
        <w:rPr>
          <w:rFonts w:cs="Calibri"/>
        </w:rPr>
      </w:pPr>
      <w:r w:rsidRPr="00DC05AF">
        <w:rPr>
          <w:rFonts w:cs="Calibri"/>
        </w:rPr>
        <w:t>No RVIs – fairness and education are a priori burdens – and encourages baiting – outweighs because if T is frivolous, they can beat it quickly</w:t>
      </w:r>
    </w:p>
    <w:p w:rsidR="006D318B" w:rsidRDefault="006D318B" w:rsidP="006D318B">
      <w:pPr>
        <w:pStyle w:val="Heading4"/>
        <w:numPr>
          <w:ilvl w:val="0"/>
          <w:numId w:val="13"/>
        </w:numPr>
        <w:rPr>
          <w:rFonts w:cs="Calibri"/>
        </w:rPr>
      </w:pPr>
      <w:r w:rsidRPr="00DC05AF">
        <w:rPr>
          <w:rFonts w:cs="Calibri"/>
        </w:rPr>
        <w:t xml:space="preserve">Fairness is a voter </w:t>
      </w:r>
      <w:r w:rsidRPr="00DC05AF">
        <w:rPr>
          <w:rFonts w:cs="Calibri"/>
        </w:rPr>
        <w:softHyphen/>
        <w:t>– necessary to determine the better debater</w:t>
      </w:r>
    </w:p>
    <w:p w:rsidR="006D318B" w:rsidRPr="00DC05AF" w:rsidRDefault="006D318B" w:rsidP="006D318B">
      <w:pPr>
        <w:pStyle w:val="Heading4"/>
        <w:numPr>
          <w:ilvl w:val="0"/>
          <w:numId w:val="13"/>
        </w:numPr>
        <w:rPr>
          <w:rFonts w:cs="Calibri"/>
        </w:rPr>
      </w:pPr>
      <w:r w:rsidRPr="00DC05AF">
        <w:rPr>
          <w:rFonts w:cs="Calibri"/>
        </w:rPr>
        <w:t>Education is a voter – why schools fund debate</w:t>
      </w:r>
    </w:p>
    <w:p w:rsidR="006D318B" w:rsidRDefault="006D318B" w:rsidP="006D318B">
      <w:pPr>
        <w:pStyle w:val="Heading2"/>
      </w:pPr>
      <w:r>
        <w:lastRenderedPageBreak/>
        <w:t>1NC – </w:t>
      </w:r>
      <w:r w:rsidR="00494BD6">
        <w:t xml:space="preserve">Off </w:t>
      </w:r>
    </w:p>
    <w:p w:rsidR="006D318B" w:rsidRPr="009811A7" w:rsidRDefault="006D318B" w:rsidP="006D318B">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rsidR="006D318B" w:rsidRPr="009811A7" w:rsidRDefault="006D318B" w:rsidP="006D318B">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rsidR="006D318B" w:rsidRPr="009811A7" w:rsidRDefault="006D318B" w:rsidP="006D318B">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w:t>
      </w:r>
      <w:r w:rsidRPr="009811A7">
        <w:rPr>
          <w:rStyle w:val="StyleUnderline"/>
        </w:rPr>
        <w:lastRenderedPageBreak/>
        <w:t xml:space="preserve">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rsidR="006D318B" w:rsidRPr="009811A7" w:rsidRDefault="006D318B" w:rsidP="006D318B">
      <w:pPr>
        <w:rPr>
          <w:sz w:val="12"/>
        </w:rPr>
      </w:pPr>
    </w:p>
    <w:p w:rsidR="006D318B" w:rsidRPr="009811A7" w:rsidRDefault="006D318B" w:rsidP="006D318B">
      <w:pPr>
        <w:pStyle w:val="Heading4"/>
        <w:rPr>
          <w:rFonts w:cs="Calibri"/>
        </w:rPr>
      </w:pPr>
      <w:r w:rsidRPr="009811A7">
        <w:rPr>
          <w:rFonts w:cs="Calibri"/>
        </w:rPr>
        <w:t>It applies to medicines:</w:t>
      </w:r>
    </w:p>
    <w:p w:rsidR="006D318B" w:rsidRPr="009811A7" w:rsidRDefault="006D318B" w:rsidP="006D318B">
      <w:pPr>
        <w:pStyle w:val="Heading4"/>
        <w:numPr>
          <w:ilvl w:val="0"/>
          <w:numId w:val="14"/>
        </w:numPr>
        <w:tabs>
          <w:tab w:val="num" w:pos="360"/>
        </w:tabs>
        <w:ind w:left="36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rsidR="006D318B" w:rsidRDefault="006D318B" w:rsidP="006D318B">
      <w:pPr>
        <w:pStyle w:val="Heading4"/>
        <w:numPr>
          <w:ilvl w:val="0"/>
          <w:numId w:val="14"/>
        </w:numPr>
        <w:tabs>
          <w:tab w:val="num" w:pos="360"/>
        </w:tabs>
        <w:ind w:left="360"/>
        <w:rPr>
          <w:rFonts w:cs="Calibri"/>
        </w:rPr>
      </w:pPr>
      <w:r w:rsidRPr="009811A7">
        <w:rPr>
          <w:rFonts w:cs="Calibri"/>
        </w:rPr>
        <w:t>Adverb test – adding “usually” to the res doesn’t substantially change its meaning because a reduction is universal and permanent</w:t>
      </w:r>
    </w:p>
    <w:p w:rsidR="006D318B" w:rsidRPr="009811A7" w:rsidRDefault="006D318B" w:rsidP="006D318B"/>
    <w:p w:rsidR="006D318B" w:rsidRDefault="006D318B" w:rsidP="006D318B">
      <w:pPr>
        <w:pStyle w:val="Heading4"/>
        <w:rPr>
          <w:rFonts w:cs="Calibri"/>
        </w:rPr>
      </w:pPr>
      <w:r w:rsidRPr="009811A7">
        <w:rPr>
          <w:rFonts w:cs="Calibri"/>
        </w:rPr>
        <w:t>V</w:t>
      </w:r>
      <w:r>
        <w:rPr>
          <w:rFonts w:cs="Calibri"/>
        </w:rPr>
        <w:t>iolation: the aff only defends medicines that use indigenous knowledge</w:t>
      </w:r>
    </w:p>
    <w:p w:rsidR="006D318B" w:rsidRPr="009811A7" w:rsidRDefault="006D318B" w:rsidP="006D318B">
      <w:pPr>
        <w:pStyle w:val="Heading4"/>
        <w:rPr>
          <w:rFonts w:cs="Calibri"/>
        </w:rPr>
      </w:pPr>
      <w:r>
        <w:rPr>
          <w:rFonts w:cs="Calibri"/>
        </w:rPr>
        <w:t>V</w:t>
      </w:r>
      <w:r w:rsidRPr="009811A7">
        <w:rPr>
          <w:rFonts w:cs="Calibri"/>
        </w:rPr>
        <w:t>ote neg:</w:t>
      </w:r>
    </w:p>
    <w:p w:rsidR="006D318B" w:rsidRDefault="006D318B" w:rsidP="006D318B">
      <w:pPr>
        <w:pStyle w:val="Heading4"/>
        <w:numPr>
          <w:ilvl w:val="0"/>
          <w:numId w:val="15"/>
        </w:numPr>
        <w:rPr>
          <w:rFonts w:cs="Calibri"/>
        </w:rPr>
      </w:pPr>
      <w:r w:rsidRPr="009811A7">
        <w:rPr>
          <w:rFonts w:cs="Calibri"/>
        </w:rPr>
        <w:t>Semantics o</w:t>
      </w:r>
      <w:r w:rsidRPr="009811A7">
        <w:rPr>
          <w:rFonts w:eastAsia="MS Gothic" w:cs="Calibri"/>
        </w:rPr>
        <w:t>utweigh:</w:t>
      </w:r>
    </w:p>
    <w:p w:rsidR="006D318B" w:rsidRDefault="006D318B" w:rsidP="006D318B">
      <w:pPr>
        <w:pStyle w:val="Heading4"/>
        <w:numPr>
          <w:ilvl w:val="1"/>
          <w:numId w:val="15"/>
        </w:numPr>
        <w:rPr>
          <w:rFonts w:cs="Calibri"/>
        </w:rPr>
      </w:pPr>
      <w:r w:rsidRPr="00E01ECF">
        <w:rPr>
          <w:rFonts w:cs="Calibri"/>
        </w:rPr>
        <w:t>T is a constitutive rule of the activity and a basic aff burden – they agreed to debate the topic when they came here</w:t>
      </w:r>
    </w:p>
    <w:p w:rsidR="006D318B" w:rsidRPr="00E01ECF" w:rsidRDefault="006D318B" w:rsidP="006D318B">
      <w:pPr>
        <w:pStyle w:val="Heading4"/>
        <w:numPr>
          <w:ilvl w:val="1"/>
          <w:numId w:val="15"/>
        </w:numPr>
        <w:rPr>
          <w:rFonts w:cs="Calibri"/>
        </w:rPr>
      </w:pPr>
      <w:r w:rsidRPr="00E01ECF">
        <w:rPr>
          <w:rFonts w:cs="Calibri"/>
        </w:rPr>
        <w:t>It’s the only stasis point we know before the round so it controls the internal link to engagement – there’s no way to use ground if debaters aren’t prepared to defend it</w:t>
      </w:r>
    </w:p>
    <w:p w:rsidR="006D318B" w:rsidRPr="009811A7" w:rsidRDefault="006D318B" w:rsidP="006D318B"/>
    <w:p w:rsidR="006D318B" w:rsidRPr="00122B32" w:rsidRDefault="006D318B" w:rsidP="006D318B">
      <w:pPr>
        <w:pStyle w:val="Heading4"/>
        <w:numPr>
          <w:ilvl w:val="0"/>
          <w:numId w:val="15"/>
        </w:numPr>
        <w:rPr>
          <w:rFonts w:cs="Calibri"/>
        </w:rPr>
      </w:pPr>
      <w:r w:rsidRPr="009811A7">
        <w:rPr>
          <w:rFonts w:cs="Calibri"/>
        </w:rPr>
        <w:t xml:space="preserve">Limits – there are countless affs accounting for thousands of medicines – unlimited topics incentivize obscure affs that negs won’t have prep on </w:t>
      </w:r>
      <w:r>
        <w:rPr>
          <w:rFonts w:cs="Calibri"/>
        </w:rPr>
        <w:t>– </w:t>
      </w:r>
      <w:r w:rsidRPr="009811A7">
        <w:rPr>
          <w:rFonts w:cs="Calibri"/>
        </w:rPr>
        <w:t>potential abuse doesn’t justify foregoing the topic and 1AR theory checks PICs</w:t>
      </w:r>
    </w:p>
    <w:p w:rsidR="006D318B" w:rsidRPr="009811A7" w:rsidRDefault="006D318B" w:rsidP="006D318B"/>
    <w:p w:rsidR="006D318B" w:rsidRDefault="006D318B" w:rsidP="006D318B">
      <w:pPr>
        <w:pStyle w:val="Heading4"/>
        <w:numPr>
          <w:ilvl w:val="0"/>
          <w:numId w:val="15"/>
        </w:numPr>
        <w:rPr>
          <w:rFonts w:cs="Calibri"/>
        </w:rPr>
      </w:pPr>
      <w:r w:rsidRPr="009811A7">
        <w:rPr>
          <w:rFonts w:cs="Calibri"/>
        </w:rPr>
        <w:lastRenderedPageBreak/>
        <w:t>Ground – spec guts core generics like innovation that rely on reducing IP for all medicines because individual medicines don’t affect the pharmaceutical industry broadly – also means there is no universal DA to spec affs</w:t>
      </w:r>
    </w:p>
    <w:p w:rsidR="006D318B" w:rsidRPr="009811A7" w:rsidRDefault="006D318B" w:rsidP="006D318B"/>
    <w:p w:rsidR="006D318B" w:rsidRDefault="006D318B" w:rsidP="006D318B">
      <w:pPr>
        <w:pStyle w:val="Heading4"/>
        <w:numPr>
          <w:ilvl w:val="0"/>
          <w:numId w:val="15"/>
        </w:numPr>
        <w:tabs>
          <w:tab w:val="num" w:pos="720"/>
        </w:tabs>
        <w:rPr>
          <w:rFonts w:cs="Calibri"/>
        </w:rPr>
      </w:pPr>
      <w:r w:rsidRPr="009811A7">
        <w:rPr>
          <w:rFonts w:cs="Calibri"/>
        </w:rPr>
        <w:t>TVA solves – read as an advantage to whole rez</w:t>
      </w:r>
    </w:p>
    <w:p w:rsidR="006D318B" w:rsidRDefault="006D318B" w:rsidP="006D318B"/>
    <w:p w:rsidR="006D318B" w:rsidRDefault="006D318B" w:rsidP="006D318B">
      <w:pPr>
        <w:pStyle w:val="Heading4"/>
      </w:pPr>
      <w:r>
        <w:t>C/A paradigm issues</w:t>
      </w:r>
    </w:p>
    <w:p w:rsidR="00F33F51" w:rsidRDefault="00AA5686" w:rsidP="00AA5686">
      <w:pPr>
        <w:pStyle w:val="Heading2"/>
      </w:pPr>
      <w:r>
        <w:lastRenderedPageBreak/>
        <w:t>1NC-OFF</w:t>
      </w:r>
    </w:p>
    <w:p w:rsidR="00F33F51" w:rsidRPr="00235A2C" w:rsidRDefault="00F33F51" w:rsidP="00F33F51">
      <w:pPr>
        <w:pStyle w:val="Heading4"/>
      </w:pPr>
      <w:r w:rsidRPr="009811A7">
        <w:rPr>
          <w:rFonts w:cs="Calibri"/>
        </w:rPr>
        <w:t>Interpretation</w:t>
      </w:r>
      <w:r>
        <w:t xml:space="preserve">: </w:t>
      </w:r>
      <w:r w:rsidRPr="00235A2C">
        <w:t>Reduce means a net decrease</w:t>
      </w:r>
    </w:p>
    <w:p w:rsidR="00F33F51" w:rsidRPr="00235A2C" w:rsidRDefault="00F33F51" w:rsidP="00F33F51">
      <w:pPr>
        <w:rPr>
          <w:rStyle w:val="Style13ptBold"/>
        </w:rPr>
      </w:pPr>
      <w:r w:rsidRPr="00235A2C">
        <w:rPr>
          <w:rStyle w:val="Style13ptBold"/>
        </w:rPr>
        <w:t>Public Law 87-253</w:t>
      </w:r>
    </w:p>
    <w:p w:rsidR="00F33F51" w:rsidRPr="00E8063B" w:rsidRDefault="00F33F51" w:rsidP="00F33F51">
      <w:r w:rsidRPr="00E8063B">
        <w:t>(Omnibus Budget Reconciliation Act of 1982, 97th US Congress, Sept 8, 1982, Lexis)</w:t>
      </w:r>
    </w:p>
    <w:p w:rsidR="00F33F51" w:rsidRDefault="00F33F51" w:rsidP="00F33F51">
      <w:r w:rsidRPr="00E8063B">
        <w:t xml:space="preserve">E) Prior to approving any application for a refund, the Secretary shall require evidence that such reduction in market- ings has taken place and that such </w:t>
      </w:r>
      <w:r w:rsidRPr="00D12B37">
        <w:rPr>
          <w:rStyle w:val="StyleUnderline"/>
          <w:highlight w:val="cyan"/>
        </w:rPr>
        <w:t xml:space="preserve">reduction is a </w:t>
      </w:r>
      <w:r w:rsidRPr="00D12B37">
        <w:rPr>
          <w:rStyle w:val="Emphasis"/>
          <w:highlight w:val="cyan"/>
        </w:rPr>
        <w:t>net decrease</w:t>
      </w:r>
      <w:r w:rsidRPr="00E8063B">
        <w:t xml:space="preserve"> in marketings of milk and has </w:t>
      </w:r>
      <w:r w:rsidRPr="00D12B37">
        <w:rPr>
          <w:rStyle w:val="Emphasis"/>
          <w:highlight w:val="cyan"/>
        </w:rPr>
        <w:t>not</w:t>
      </w:r>
      <w:r w:rsidRPr="00E8063B">
        <w:t xml:space="preserve"> been </w:t>
      </w:r>
      <w:r w:rsidRPr="00D12B37">
        <w:rPr>
          <w:rStyle w:val="Emphasis"/>
          <w:highlight w:val="cyan"/>
        </w:rPr>
        <w:t>offset</w:t>
      </w:r>
      <w:r w:rsidRPr="00D12B37">
        <w:rPr>
          <w:rStyle w:val="StyleUnderline"/>
          <w:highlight w:val="cyan"/>
        </w:rPr>
        <w:t xml:space="preserve"> by expansion</w:t>
      </w:r>
      <w:r w:rsidRPr="00E8063B">
        <w:rPr>
          <w:rStyle w:val="StyleUnderline"/>
        </w:rPr>
        <w:t xml:space="preserve"> </w:t>
      </w:r>
      <w:r w:rsidRPr="00E8063B">
        <w:t xml:space="preserve">of production </w:t>
      </w:r>
      <w:r w:rsidRPr="00D12B37">
        <w:rPr>
          <w:rStyle w:val="StyleUnderline"/>
          <w:highlight w:val="cyan"/>
        </w:rPr>
        <w:t xml:space="preserve">in </w:t>
      </w:r>
      <w:r w:rsidRPr="00E8063B">
        <w:t xml:space="preserve">other production facilities in which the person has an interest or by transfer of partial interest in the produc- tion facility or by the taking of </w:t>
      </w:r>
      <w:r w:rsidRPr="00D12B37">
        <w:rPr>
          <w:rStyle w:val="StyleUnderline"/>
          <w:highlight w:val="cyan"/>
        </w:rPr>
        <w:t>any other action</w:t>
      </w:r>
      <w:r w:rsidRPr="00E8063B">
        <w:t xml:space="preserve">. which is a scheme or device to qualify for payment. </w:t>
      </w:r>
    </w:p>
    <w:p w:rsidR="00F33F51" w:rsidRDefault="00F33F51" w:rsidP="00F33F51">
      <w:pPr>
        <w:pStyle w:val="Heading4"/>
      </w:pPr>
      <w:r>
        <w:t xml:space="preserve">Violation: </w:t>
      </w:r>
      <w:r w:rsidR="007A337B">
        <w:t>aff doesn’t reduce ip on medicine but prohibit possibiliy of patenting</w:t>
      </w:r>
    </w:p>
    <w:p w:rsidR="007A337B" w:rsidRPr="007A337B" w:rsidRDefault="007A337B" w:rsidP="007A337B">
      <w:pPr>
        <w:pStyle w:val="Heading4"/>
      </w:pPr>
      <w:r>
        <w:t>If there 0 existing patents in the squo and 0 under the aff  whcihc means it isnt an example of a reduction</w:t>
      </w:r>
    </w:p>
    <w:p w:rsidR="00F33F51" w:rsidRDefault="00F33F51" w:rsidP="00F33F51">
      <w:pPr>
        <w:pStyle w:val="Heading4"/>
      </w:pPr>
      <w:r>
        <w:t xml:space="preserve">Prefer – </w:t>
      </w:r>
    </w:p>
    <w:p w:rsidR="00F33F51" w:rsidRDefault="00F33F51" w:rsidP="00F33F51">
      <w:pPr>
        <w:pStyle w:val="Heading4"/>
        <w:numPr>
          <w:ilvl w:val="0"/>
          <w:numId w:val="18"/>
        </w:numPr>
        <w:tabs>
          <w:tab w:val="num" w:pos="720"/>
        </w:tabs>
      </w:pPr>
      <w:r>
        <w:t xml:space="preserve">Limits – allowing </w:t>
      </w:r>
      <w:r w:rsidR="007A337B">
        <w:t>affs that merely prohibit patenting mdedicines</w:t>
      </w:r>
      <w:r>
        <w:t xml:space="preserve"> </w:t>
      </w:r>
      <w:r w:rsidR="007A337B">
        <w:t>expodees</w:t>
      </w:r>
      <w:r>
        <w:t xml:space="preserve"> </w:t>
      </w:r>
      <w:r w:rsidR="007A337B">
        <w:t>the possible number of affs</w:t>
      </w:r>
      <w:r>
        <w:t xml:space="preserve"> -</w:t>
      </w:r>
      <w:r w:rsidRPr="00845F4C">
        <w:t xml:space="preserve"> makes neg prep impossible because </w:t>
      </w:r>
      <w:r>
        <w:t xml:space="preserve">the case neg to the </w:t>
      </w:r>
      <w:r w:rsidR="007A337B">
        <w:rPr>
          <w:u w:val="single"/>
        </w:rPr>
        <w:t>an aff that eliminates patents</w:t>
      </w:r>
      <w:r>
        <w:t xml:space="preserve"> and</w:t>
      </w:r>
      <w:r w:rsidR="007A337B">
        <w:t xml:space="preserve"> reduces patents </w:t>
      </w:r>
      <w:r>
        <w:t xml:space="preserve">would have no overlap </w:t>
      </w:r>
      <w:r w:rsidRPr="007C7432">
        <w:t>--</w:t>
      </w:r>
      <w:r>
        <w:t xml:space="preserve"> privileges the aff by stretching pre-tournament neg prep too thin and precluding nuanced rigorous testing of aff. </w:t>
      </w:r>
    </w:p>
    <w:p w:rsidR="00F33F51" w:rsidRDefault="00F33F51" w:rsidP="00F33F51">
      <w:pPr>
        <w:pStyle w:val="Heading4"/>
        <w:numPr>
          <w:ilvl w:val="0"/>
          <w:numId w:val="18"/>
        </w:numPr>
        <w:tabs>
          <w:tab w:val="num" w:pos="720"/>
        </w:tabs>
      </w:pPr>
      <w:r>
        <w:t>Ground –</w:t>
      </w:r>
      <w:r w:rsidR="007A337B">
        <w:t xml:space="preserve"> </w:t>
      </w:r>
      <w:r>
        <w:t xml:space="preserve">not </w:t>
      </w:r>
      <w:r w:rsidR="007A337B">
        <w:t>defending</w:t>
      </w:r>
      <w:r>
        <w:t xml:space="preserve"> </w:t>
      </w:r>
      <w:r w:rsidR="007A337B">
        <w:t>reduction</w:t>
      </w:r>
      <w:r>
        <w:t xml:space="preserve"> kills links to core neg generics about drug innovation, competition over pharmaceutical development</w:t>
      </w:r>
      <w:r w:rsidR="007A337B">
        <w:t>, bioterror DA, cap K</w:t>
      </w:r>
      <w:r w:rsidRPr="001B18C4">
        <w:t>. Pushes</w:t>
      </w:r>
      <w:r>
        <w:t xml:space="preserve"> 1NCs to the fringes like Ks that disagree with everything or sketchy CPs which destroys clash. </w:t>
      </w:r>
    </w:p>
    <w:p w:rsidR="00F33F51" w:rsidRPr="00F601E6" w:rsidRDefault="00F33F51" w:rsidP="00F33F51"/>
    <w:p w:rsidR="007A337B" w:rsidRDefault="007A337B" w:rsidP="007A337B">
      <w:pPr>
        <w:pStyle w:val="Heading4"/>
      </w:pPr>
      <w:r>
        <w:t>C/A paradigm issues</w:t>
      </w:r>
    </w:p>
    <w:p w:rsidR="00F33F51" w:rsidRPr="00F33F51" w:rsidRDefault="00F33F51" w:rsidP="00F33F51"/>
    <w:p w:rsidR="006D318B" w:rsidRDefault="006D318B" w:rsidP="006D318B">
      <w:pPr>
        <w:pStyle w:val="Heading2"/>
      </w:pPr>
      <w:r>
        <w:lastRenderedPageBreak/>
        <w:t>Case</w:t>
      </w:r>
    </w:p>
    <w:p w:rsidR="006D318B" w:rsidRDefault="006D318B" w:rsidP="006D318B">
      <w:pPr>
        <w:pStyle w:val="Heading3"/>
      </w:pPr>
      <w:r>
        <w:lastRenderedPageBreak/>
        <w:t>Framing</w:t>
      </w:r>
    </w:p>
    <w:p w:rsidR="006D318B" w:rsidRPr="00AE0123" w:rsidRDefault="006D318B" w:rsidP="006D318B">
      <w:pPr>
        <w:pStyle w:val="ListParagraph"/>
        <w:keepNext/>
        <w:keepLines/>
        <w:numPr>
          <w:ilvl w:val="0"/>
          <w:numId w:val="16"/>
        </w:numPr>
        <w:spacing w:before="40"/>
        <w:outlineLvl w:val="3"/>
        <w:rPr>
          <w:rFonts w:eastAsia="Yu Gothic Light"/>
          <w:b/>
          <w:bCs/>
          <w:sz w:val="24"/>
        </w:rPr>
      </w:pPr>
      <w:r w:rsidRPr="00AE0123">
        <w:rPr>
          <w:rFonts w:eastAsia="Yu Gothic Light"/>
          <w:b/>
          <w:bCs/>
          <w:sz w:val="26"/>
          <w:szCs w:val="26"/>
        </w:rPr>
        <w:t>Moral uncertainty means preventing extinction should be our highest priority.</w:t>
      </w:r>
      <w:r w:rsidRPr="00AE0123">
        <w:rPr>
          <w:rFonts w:eastAsia="Yu Gothic Light"/>
          <w:b/>
          <w:bCs/>
          <w:szCs w:val="26"/>
        </w:rPr>
        <w:br/>
      </w:r>
      <w:r w:rsidRPr="00AE0123">
        <w:rPr>
          <w:rFonts w:eastAsia="Yu Mincho"/>
          <w:b/>
          <w:sz w:val="26"/>
        </w:rPr>
        <w:t>Bostrom 12</w:t>
      </w:r>
      <w:r w:rsidRPr="00AE0123">
        <w:rPr>
          <w:rFonts w:eastAsia="Yu Mincho"/>
          <w:szCs w:val="22"/>
        </w:rPr>
        <w:t xml:space="preserve"> [Nick Bostrom. Faculty of Philosophy &amp; Oxford Martin School University of Oxford. “Existential Risk Prevention as Global Priority.” Global Policy (2012)]</w:t>
      </w:r>
      <w:r w:rsidRPr="00AE0123">
        <w:rPr>
          <w:rFonts w:eastAsia="Yu Mincho"/>
          <w:szCs w:val="22"/>
        </w:rPr>
        <w:br/>
      </w:r>
      <w:r w:rsidRPr="00AE0123">
        <w:rPr>
          <w:rFonts w:eastAsia="Yu Mincho"/>
          <w:sz w:val="24"/>
        </w:rPr>
        <w:t>These reflections on</w:t>
      </w:r>
      <w:r w:rsidRPr="00AE0123">
        <w:rPr>
          <w:rFonts w:eastAsia="Yu Mincho"/>
          <w:b/>
          <w:sz w:val="24"/>
          <w:u w:val="single"/>
        </w:rPr>
        <w:t xml:space="preserve"> </w:t>
      </w:r>
      <w:r w:rsidRPr="00AE0123">
        <w:rPr>
          <w:rFonts w:eastAsia="Yu Mincho"/>
          <w:b/>
          <w:sz w:val="24"/>
          <w:highlight w:val="green"/>
          <w:u w:val="single"/>
        </w:rPr>
        <w:t xml:space="preserve">moral uncertainty suggest </w:t>
      </w:r>
      <w:r w:rsidRPr="00AE0123">
        <w:rPr>
          <w:rFonts w:eastAsia="Yu Mincho"/>
          <w:sz w:val="24"/>
        </w:rPr>
        <w:t>an alternative, complementary way of looking at existential risk; they also suggest a new way of thinking about the ideal of sustainability. Let me elaborate.¶</w:t>
      </w:r>
      <w:r w:rsidRPr="00AE0123">
        <w:rPr>
          <w:rFonts w:eastAsia="Yu Mincho"/>
          <w:b/>
          <w:sz w:val="24"/>
          <w:u w:val="single"/>
        </w:rPr>
        <w:t xml:space="preserve"> </w:t>
      </w:r>
      <w:r w:rsidRPr="00AE0123">
        <w:rPr>
          <w:rFonts w:eastAsia="Yu Mincho"/>
          <w:b/>
          <w:sz w:val="24"/>
          <w:highlight w:val="green"/>
          <w:u w:val="single"/>
        </w:rPr>
        <w:t>Our present</w:t>
      </w:r>
      <w:r w:rsidRPr="00AE0123">
        <w:rPr>
          <w:rFonts w:eastAsia="Yu Mincho"/>
          <w:b/>
          <w:sz w:val="24"/>
          <w:u w:val="single"/>
        </w:rPr>
        <w:t xml:space="preserve"> understanding of </w:t>
      </w:r>
      <w:r w:rsidRPr="00AE0123">
        <w:rPr>
          <w:rFonts w:eastAsia="Yu Mincho"/>
          <w:b/>
          <w:sz w:val="24"/>
          <w:highlight w:val="green"/>
          <w:u w:val="single"/>
        </w:rPr>
        <w:t xml:space="preserve">axiology might </w:t>
      </w:r>
      <w:r w:rsidRPr="00AE0123">
        <w:rPr>
          <w:rFonts w:eastAsia="Yu Mincho"/>
          <w:sz w:val="24"/>
        </w:rPr>
        <w:t>well</w:t>
      </w:r>
      <w:r w:rsidRPr="00AE0123">
        <w:rPr>
          <w:rFonts w:eastAsia="Yu Mincho"/>
          <w:b/>
          <w:sz w:val="24"/>
          <w:highlight w:val="green"/>
          <w:u w:val="single"/>
        </w:rPr>
        <w:t xml:space="preserve"> be confused. </w:t>
      </w:r>
      <w:r w:rsidRPr="00AE0123">
        <w:rPr>
          <w:rFonts w:eastAsia="Yu Mincho"/>
          <w:b/>
          <w:sz w:val="24"/>
          <w:u w:val="single"/>
        </w:rPr>
        <w:t xml:space="preserve">We may not </w:t>
      </w:r>
      <w:r w:rsidRPr="00AE0123">
        <w:rPr>
          <w:rFonts w:eastAsia="Yu Mincho"/>
          <w:sz w:val="24"/>
        </w:rPr>
        <w:t>now</w:t>
      </w:r>
      <w:r w:rsidRPr="00AE0123">
        <w:rPr>
          <w:rFonts w:eastAsia="Yu Mincho"/>
          <w:b/>
          <w:sz w:val="24"/>
          <w:u w:val="single"/>
        </w:rPr>
        <w:t xml:space="preserve"> </w:t>
      </w:r>
      <w:r w:rsidRPr="00AE0123">
        <w:rPr>
          <w:rFonts w:eastAsia="Yu Mincho"/>
          <w:sz w:val="24"/>
        </w:rPr>
        <w:t>know — at least not in concrete detail — what outcomes would count as a big win for humanity; we might not even yet</w:t>
      </w:r>
      <w:r w:rsidRPr="00AE0123">
        <w:rPr>
          <w:rFonts w:eastAsia="Yu Mincho"/>
          <w:b/>
          <w:sz w:val="24"/>
          <w:u w:val="single"/>
        </w:rPr>
        <w:t xml:space="preserve"> be able to imagine the best ends </w:t>
      </w:r>
      <w:r w:rsidRPr="00AE0123">
        <w:rPr>
          <w:rFonts w:eastAsia="Yu Mincho"/>
          <w:sz w:val="24"/>
        </w:rPr>
        <w:t>of our journey.</w:t>
      </w:r>
      <w:r w:rsidRPr="00AE0123">
        <w:rPr>
          <w:rFonts w:eastAsia="Yu Mincho"/>
          <w:b/>
          <w:sz w:val="24"/>
          <w:u w:val="single"/>
        </w:rPr>
        <w:t xml:space="preserve"> </w:t>
      </w:r>
      <w:r w:rsidRPr="00AE0123">
        <w:rPr>
          <w:rFonts w:eastAsia="Yu Mincho"/>
          <w:b/>
          <w:sz w:val="24"/>
          <w:highlight w:val="green"/>
          <w:u w:val="single"/>
        </w:rPr>
        <w:t xml:space="preserve">If we are </w:t>
      </w:r>
      <w:r w:rsidRPr="00AE0123">
        <w:rPr>
          <w:rFonts w:eastAsia="Yu Mincho"/>
          <w:sz w:val="24"/>
        </w:rPr>
        <w:t>indeed</w:t>
      </w:r>
      <w:r w:rsidRPr="00AE0123">
        <w:rPr>
          <w:rFonts w:eastAsia="Yu Mincho"/>
          <w:b/>
          <w:sz w:val="24"/>
          <w:u w:val="single"/>
        </w:rPr>
        <w:t xml:space="preserve"> </w:t>
      </w:r>
      <w:r w:rsidRPr="00AE0123">
        <w:rPr>
          <w:rFonts w:eastAsia="Yu Mincho"/>
          <w:sz w:val="24"/>
        </w:rPr>
        <w:t>profoundly</w:t>
      </w:r>
      <w:r w:rsidRPr="00AE0123">
        <w:rPr>
          <w:rFonts w:eastAsia="Yu Mincho"/>
          <w:b/>
          <w:sz w:val="24"/>
          <w:u w:val="single"/>
        </w:rPr>
        <w:t xml:space="preserve"> </w:t>
      </w:r>
      <w:r w:rsidRPr="00AE0123">
        <w:rPr>
          <w:rFonts w:eastAsia="Yu Mincho"/>
          <w:b/>
          <w:sz w:val="24"/>
          <w:highlight w:val="green"/>
          <w:u w:val="single"/>
        </w:rPr>
        <w:t xml:space="preserve">uncertain </w:t>
      </w:r>
      <w:r w:rsidRPr="00AE0123">
        <w:rPr>
          <w:rFonts w:eastAsia="Yu Mincho"/>
          <w:sz w:val="24"/>
        </w:rPr>
        <w:t>about our ultimate aims,</w:t>
      </w:r>
      <w:r w:rsidRPr="00AE0123">
        <w:rPr>
          <w:rFonts w:eastAsia="Yu Mincho"/>
          <w:b/>
          <w:sz w:val="24"/>
          <w:u w:val="single"/>
        </w:rPr>
        <w:t xml:space="preserve"> </w:t>
      </w:r>
      <w:r w:rsidRPr="00AE0123">
        <w:rPr>
          <w:rFonts w:eastAsia="Yu Mincho"/>
          <w:sz w:val="24"/>
        </w:rPr>
        <w:t>then we should recognize that</w:t>
      </w:r>
      <w:r w:rsidRPr="00AE0123">
        <w:rPr>
          <w:rFonts w:eastAsia="Yu Mincho"/>
          <w:b/>
          <w:sz w:val="24"/>
          <w:u w:val="single"/>
        </w:rPr>
        <w:t xml:space="preserve"> </w:t>
      </w:r>
      <w:r w:rsidRPr="00AE0123">
        <w:rPr>
          <w:rFonts w:eastAsia="Yu Mincho"/>
          <w:b/>
          <w:sz w:val="24"/>
          <w:highlight w:val="green"/>
          <w:u w:val="single"/>
        </w:rPr>
        <w:t>there is a great</w:t>
      </w:r>
      <w:r w:rsidRPr="00AE0123">
        <w:rPr>
          <w:rFonts w:eastAsia="Yu Mincho"/>
          <w:b/>
          <w:sz w:val="24"/>
          <w:u w:val="single"/>
        </w:rPr>
        <w:t xml:space="preserve"> </w:t>
      </w:r>
      <w:r w:rsidRPr="00AE0123">
        <w:rPr>
          <w:rFonts w:eastAsia="Yu Mincho"/>
          <w:sz w:val="24"/>
        </w:rPr>
        <w:t>option</w:t>
      </w:r>
      <w:r w:rsidRPr="00AE0123">
        <w:rPr>
          <w:rFonts w:eastAsia="Yu Mincho"/>
          <w:b/>
          <w:sz w:val="24"/>
          <w:u w:val="single"/>
        </w:rPr>
        <w:t xml:space="preserve"> </w:t>
      </w:r>
      <w:r w:rsidRPr="00AE0123">
        <w:rPr>
          <w:rFonts w:eastAsia="Yu Mincho"/>
          <w:b/>
          <w:sz w:val="24"/>
          <w:highlight w:val="green"/>
          <w:u w:val="single"/>
        </w:rPr>
        <w:t xml:space="preserve">value in preserving </w:t>
      </w:r>
      <w:r w:rsidRPr="00AE0123">
        <w:rPr>
          <w:rFonts w:eastAsia="Yu Mincho"/>
          <w:sz w:val="24"/>
        </w:rPr>
        <w:t>— and ideally improving —</w:t>
      </w:r>
      <w:r w:rsidRPr="00AE0123">
        <w:rPr>
          <w:rFonts w:eastAsia="Yu Mincho"/>
          <w:b/>
          <w:sz w:val="24"/>
          <w:u w:val="single"/>
        </w:rPr>
        <w:t xml:space="preserve"> </w:t>
      </w:r>
      <w:r w:rsidRPr="00AE0123">
        <w:rPr>
          <w:rFonts w:eastAsia="Yu Mincho"/>
          <w:b/>
          <w:sz w:val="24"/>
          <w:highlight w:val="green"/>
          <w:u w:val="single"/>
        </w:rPr>
        <w:t>our ability to recognize value and</w:t>
      </w:r>
      <w:r w:rsidRPr="00AE0123">
        <w:rPr>
          <w:rFonts w:eastAsia="Yu Mincho"/>
          <w:sz w:val="24"/>
          <w:highlight w:val="green"/>
        </w:rPr>
        <w:t xml:space="preserve"> </w:t>
      </w:r>
      <w:r w:rsidRPr="00AE0123">
        <w:rPr>
          <w:rFonts w:eastAsia="Yu Mincho"/>
          <w:sz w:val="24"/>
        </w:rPr>
        <w:t xml:space="preserve">to </w:t>
      </w:r>
      <w:r w:rsidRPr="00AE0123">
        <w:rPr>
          <w:rFonts w:eastAsia="Yu Mincho"/>
          <w:b/>
          <w:sz w:val="24"/>
          <w:highlight w:val="green"/>
          <w:u w:val="single"/>
        </w:rPr>
        <w:t xml:space="preserve">steer the future accordingly. Ensuring </w:t>
      </w:r>
      <w:r w:rsidRPr="00AE0123">
        <w:rPr>
          <w:rFonts w:eastAsia="Yu Mincho"/>
          <w:sz w:val="24"/>
        </w:rPr>
        <w:t>that</w:t>
      </w:r>
      <w:r w:rsidRPr="00AE0123">
        <w:rPr>
          <w:rFonts w:eastAsia="Yu Mincho"/>
          <w:b/>
          <w:sz w:val="24"/>
          <w:u w:val="single"/>
        </w:rPr>
        <w:t xml:space="preserve"> </w:t>
      </w:r>
      <w:r w:rsidRPr="00AE0123">
        <w:rPr>
          <w:rFonts w:eastAsia="Yu Mincho"/>
          <w:b/>
          <w:sz w:val="24"/>
          <w:highlight w:val="green"/>
          <w:u w:val="single"/>
        </w:rPr>
        <w:t xml:space="preserve">there will be a future </w:t>
      </w:r>
      <w:r w:rsidRPr="00AE0123">
        <w:rPr>
          <w:rFonts w:eastAsia="Yu Mincho"/>
          <w:sz w:val="24"/>
        </w:rPr>
        <w:t>version of</w:t>
      </w:r>
      <w:r w:rsidRPr="00AE0123">
        <w:rPr>
          <w:rFonts w:eastAsia="Yu Mincho"/>
          <w:b/>
          <w:sz w:val="24"/>
          <w:u w:val="single"/>
        </w:rPr>
        <w:t xml:space="preserve"> </w:t>
      </w:r>
      <w:r w:rsidRPr="00AE0123">
        <w:rPr>
          <w:rFonts w:eastAsia="Yu Mincho"/>
          <w:b/>
          <w:sz w:val="24"/>
          <w:highlight w:val="green"/>
          <w:u w:val="single"/>
        </w:rPr>
        <w:t xml:space="preserve">humanity </w:t>
      </w:r>
      <w:r w:rsidRPr="00AE0123">
        <w:rPr>
          <w:rFonts w:eastAsia="Yu Mincho"/>
          <w:sz w:val="24"/>
        </w:rPr>
        <w:t>with great powers and a propensity to use them wisely</w:t>
      </w:r>
      <w:r w:rsidRPr="00AE0123">
        <w:rPr>
          <w:rFonts w:eastAsia="Yu Mincho"/>
          <w:b/>
          <w:sz w:val="24"/>
          <w:u w:val="single"/>
        </w:rPr>
        <w:t xml:space="preserve"> </w:t>
      </w:r>
      <w:r w:rsidRPr="00AE0123">
        <w:rPr>
          <w:rFonts w:eastAsia="Yu Mincho"/>
          <w:b/>
          <w:sz w:val="24"/>
          <w:highlight w:val="green"/>
          <w:u w:val="single"/>
        </w:rPr>
        <w:t xml:space="preserve">is </w:t>
      </w:r>
      <w:r w:rsidRPr="00AE0123">
        <w:rPr>
          <w:rFonts w:eastAsia="Yu Mincho"/>
          <w:sz w:val="24"/>
        </w:rPr>
        <w:t>plausibly</w:t>
      </w:r>
      <w:r w:rsidRPr="00AE0123">
        <w:rPr>
          <w:rFonts w:eastAsia="Yu Mincho"/>
          <w:b/>
          <w:sz w:val="24"/>
          <w:u w:val="single"/>
        </w:rPr>
        <w:t xml:space="preserve"> </w:t>
      </w:r>
      <w:r w:rsidRPr="00AE0123">
        <w:rPr>
          <w:rFonts w:eastAsia="Yu Mincho"/>
          <w:b/>
          <w:sz w:val="24"/>
          <w:highlight w:val="green"/>
          <w:u w:val="single"/>
        </w:rPr>
        <w:t xml:space="preserve">the best way </w:t>
      </w:r>
      <w:r w:rsidRPr="00AE0123">
        <w:rPr>
          <w:rFonts w:eastAsia="Yu Mincho"/>
          <w:sz w:val="24"/>
        </w:rPr>
        <w:t>available to us</w:t>
      </w:r>
      <w:r w:rsidRPr="00AE0123">
        <w:rPr>
          <w:rFonts w:eastAsia="Yu Mincho"/>
          <w:b/>
          <w:sz w:val="24"/>
          <w:u w:val="single"/>
        </w:rPr>
        <w:t xml:space="preserve"> </w:t>
      </w:r>
      <w:r w:rsidRPr="00AE0123">
        <w:rPr>
          <w:rFonts w:eastAsia="Yu Mincho"/>
          <w:b/>
          <w:sz w:val="24"/>
          <w:highlight w:val="green"/>
          <w:u w:val="single"/>
        </w:rPr>
        <w:t xml:space="preserve">to increase </w:t>
      </w:r>
      <w:r w:rsidRPr="00AE0123">
        <w:rPr>
          <w:rFonts w:eastAsia="Yu Mincho"/>
          <w:b/>
          <w:sz w:val="24"/>
          <w:u w:val="single"/>
        </w:rPr>
        <w:t xml:space="preserve">the probability that the </w:t>
      </w:r>
      <w:r w:rsidRPr="00AE0123">
        <w:rPr>
          <w:rFonts w:eastAsia="Yu Mincho"/>
          <w:b/>
          <w:sz w:val="24"/>
          <w:highlight w:val="green"/>
          <w:u w:val="single"/>
        </w:rPr>
        <w:t xml:space="preserve">future </w:t>
      </w:r>
      <w:r w:rsidRPr="00AE0123">
        <w:rPr>
          <w:rFonts w:eastAsia="Yu Mincho"/>
          <w:b/>
          <w:sz w:val="24"/>
          <w:u w:val="single"/>
        </w:rPr>
        <w:t xml:space="preserve">will contain </w:t>
      </w:r>
      <w:r w:rsidRPr="00AE0123">
        <w:rPr>
          <w:rFonts w:eastAsia="Yu Mincho"/>
          <w:sz w:val="24"/>
        </w:rPr>
        <w:t>a lot of</w:t>
      </w:r>
      <w:r w:rsidRPr="00AE0123">
        <w:rPr>
          <w:rFonts w:eastAsia="Yu Mincho"/>
          <w:b/>
          <w:sz w:val="24"/>
          <w:u w:val="single"/>
        </w:rPr>
        <w:t xml:space="preserve"> </w:t>
      </w:r>
      <w:r w:rsidRPr="00AE0123">
        <w:rPr>
          <w:rFonts w:eastAsia="Yu Mincho"/>
          <w:b/>
          <w:sz w:val="24"/>
          <w:highlight w:val="green"/>
          <w:u w:val="single"/>
        </w:rPr>
        <w:t xml:space="preserve">value. </w:t>
      </w:r>
      <w:r w:rsidRPr="00AE0123">
        <w:rPr>
          <w:rFonts w:eastAsia="Yu Mincho"/>
          <w:sz w:val="24"/>
        </w:rPr>
        <w:t>To do this, we must prevent any existential catastrophe.</w:t>
      </w:r>
    </w:p>
    <w:p w:rsidR="006D318B" w:rsidRPr="00AE0123" w:rsidRDefault="006D318B" w:rsidP="006D318B">
      <w:pPr>
        <w:pStyle w:val="ListParagraph"/>
        <w:keepNext/>
        <w:keepLines/>
        <w:numPr>
          <w:ilvl w:val="0"/>
          <w:numId w:val="16"/>
        </w:numPr>
        <w:spacing w:before="40"/>
        <w:outlineLvl w:val="3"/>
        <w:rPr>
          <w:rFonts w:eastAsiaTheme="majorEastAsia"/>
          <w:b/>
          <w:bCs/>
          <w:color w:val="1E1E1E"/>
          <w:sz w:val="26"/>
          <w:szCs w:val="26"/>
        </w:rPr>
      </w:pPr>
      <w:r w:rsidRPr="00AE0123">
        <w:rPr>
          <w:rFonts w:eastAsiaTheme="majorEastAsia"/>
          <w:b/>
          <w:bCs/>
          <w:color w:val="1E1E1E"/>
          <w:sz w:val="26"/>
          <w:szCs w:val="26"/>
        </w:rPr>
        <w:t>Reducing the risk of extinction is always priority number one. </w:t>
      </w:r>
      <w:r w:rsidRPr="00AE0123">
        <w:rPr>
          <w:rFonts w:eastAsiaTheme="majorEastAsia"/>
          <w:b/>
          <w:bCs/>
          <w:color w:val="1E1E1E"/>
          <w:sz w:val="26"/>
          <w:szCs w:val="26"/>
        </w:rPr>
        <w:br/>
      </w:r>
      <w:r w:rsidRPr="00AE012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9" w:history="1">
        <w:r w:rsidRPr="002E7F13">
          <w:t>http://www.existenti...org/concept.pdf</w:t>
        </w:r>
      </w:hyperlink>
      <w:r w:rsidRPr="00AE012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AE0123">
        <w:rPr>
          <w:color w:val="1E1E1E"/>
          <w:sz w:val="26"/>
          <w:szCs w:val="26"/>
        </w:rPr>
        <w:t xml:space="preserve"> </w:t>
      </w:r>
      <w:r w:rsidRPr="00AE0123">
        <w:rPr>
          <w:b/>
          <w:bCs/>
          <w:color w:val="1E1E1E"/>
          <w:sz w:val="24"/>
          <w:u w:val="single"/>
        </w:rPr>
        <w:t xml:space="preserve">we find that the expected loss of an </w:t>
      </w:r>
      <w:r w:rsidRPr="00AE0123">
        <w:rPr>
          <w:b/>
          <w:bCs/>
          <w:color w:val="1E1E1E"/>
          <w:sz w:val="24"/>
          <w:highlight w:val="green"/>
          <w:u w:val="single"/>
        </w:rPr>
        <w:t>existential   catastrophe is greater than</w:t>
      </w:r>
      <w:r w:rsidRPr="00AE0123">
        <w:rPr>
          <w:b/>
          <w:bCs/>
          <w:color w:val="1E1E1E"/>
          <w:sz w:val="24"/>
          <w:u w:val="single"/>
        </w:rPr>
        <w:t xml:space="preserve"> the value of </w:t>
      </w:r>
      <w:r w:rsidRPr="00AE0123">
        <w:rPr>
          <w:b/>
          <w:bCs/>
          <w:color w:val="1E1E1E"/>
          <w:sz w:val="24"/>
          <w:highlight w:val="green"/>
          <w:u w:val="single"/>
        </w:rPr>
        <w:t>10^16 human lives</w:t>
      </w:r>
      <w:r w:rsidRPr="00AE0123">
        <w:rPr>
          <w:color w:val="1E1E1E"/>
          <w:sz w:val="24"/>
          <w:highlight w:val="green"/>
        </w:rPr>
        <w:t>.</w:t>
      </w:r>
      <w:r w:rsidRPr="00AE0123">
        <w:rPr>
          <w:color w:val="1E1E1E"/>
          <w:sz w:val="24"/>
        </w:rPr>
        <w:t xml:space="preserve">  </w:t>
      </w:r>
      <w:r w:rsidRPr="00AE0123">
        <w:rPr>
          <w:b/>
          <w:bCs/>
          <w:color w:val="1E1E1E"/>
          <w:sz w:val="24"/>
          <w:u w:val="single"/>
        </w:rPr>
        <w:t xml:space="preserve">This implies that </w:t>
      </w:r>
      <w:r w:rsidRPr="00AE0123">
        <w:rPr>
          <w:b/>
          <w:bCs/>
          <w:color w:val="1E1E1E"/>
          <w:sz w:val="24"/>
          <w:highlight w:val="green"/>
          <w:u w:val="single"/>
        </w:rPr>
        <w:t xml:space="preserve">the </w:t>
      </w:r>
      <w:r w:rsidRPr="00AE0123">
        <w:rPr>
          <w:b/>
          <w:bCs/>
          <w:color w:val="1E1E1E"/>
          <w:sz w:val="24"/>
          <w:u w:val="single"/>
        </w:rPr>
        <w:t xml:space="preserve">expected </w:t>
      </w:r>
      <w:r w:rsidRPr="00AE0123">
        <w:rPr>
          <w:b/>
          <w:bCs/>
          <w:color w:val="1E1E1E"/>
          <w:sz w:val="24"/>
          <w:highlight w:val="green"/>
          <w:u w:val="single"/>
        </w:rPr>
        <w:t xml:space="preserve">value of   reducing existential risk by </w:t>
      </w:r>
      <w:r w:rsidRPr="00AE0123">
        <w:rPr>
          <w:b/>
          <w:bCs/>
          <w:color w:val="1E1E1E"/>
          <w:sz w:val="24"/>
          <w:u w:val="single"/>
        </w:rPr>
        <w:t xml:space="preserve">a mere </w:t>
      </w:r>
      <w:r w:rsidRPr="00AE0123">
        <w:rPr>
          <w:b/>
          <w:bCs/>
          <w:color w:val="1E1E1E"/>
          <w:sz w:val="24"/>
          <w:highlight w:val="green"/>
          <w:u w:val="single"/>
        </w:rPr>
        <w:t>one millionth of one percentage point is</w:t>
      </w:r>
      <w:r w:rsidRPr="00AE0123">
        <w:rPr>
          <w:b/>
          <w:bCs/>
          <w:color w:val="1E1E1E"/>
          <w:sz w:val="24"/>
          <w:u w:val="single"/>
        </w:rPr>
        <w:t xml:space="preserve"> at least </w:t>
      </w:r>
      <w:r w:rsidRPr="00AE0123">
        <w:rPr>
          <w:b/>
          <w:bCs/>
          <w:color w:val="1E1E1E"/>
          <w:sz w:val="24"/>
          <w:highlight w:val="green"/>
          <w:u w:val="single"/>
        </w:rPr>
        <w:t>a hundred times the   value of a million human lives</w:t>
      </w:r>
      <w:r w:rsidRPr="00AE0123">
        <w:rPr>
          <w:b/>
          <w:bCs/>
          <w:color w:val="1E1E1E"/>
          <w:sz w:val="24"/>
          <w:u w:val="single"/>
        </w:rPr>
        <w:t>.</w:t>
      </w:r>
      <w:r w:rsidRPr="00AE0123">
        <w:rPr>
          <w:color w:val="1E1E1E"/>
          <w:sz w:val="24"/>
        </w:rPr>
        <w:t> </w:t>
      </w:r>
      <w:r w:rsidRPr="00AE0123">
        <w:rPr>
          <w:color w:val="1E1E1E"/>
          <w:sz w:val="26"/>
          <w:szCs w:val="26"/>
        </w:rPr>
        <w:t xml:space="preserve"> </w:t>
      </w:r>
      <w:r w:rsidRPr="002E7F13">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E0123">
        <w:rPr>
          <w:b/>
          <w:bCs/>
          <w:color w:val="1E1E1E"/>
          <w:sz w:val="24"/>
          <w:u w:val="single" w:color="1E1E1E"/>
        </w:rPr>
        <w:t xml:space="preserve">One might consequently argue that </w:t>
      </w:r>
      <w:r w:rsidRPr="00AE0123">
        <w:rPr>
          <w:b/>
          <w:bCs/>
          <w:color w:val="1E1E1E"/>
          <w:sz w:val="24"/>
          <w:highlight w:val="green"/>
          <w:u w:val="single" w:color="1E1E1E"/>
        </w:rPr>
        <w:t>even the tiniest reduction of existential risk has a</w:t>
      </w:r>
      <w:r w:rsidRPr="00AE0123">
        <w:rPr>
          <w:b/>
          <w:bCs/>
          <w:color w:val="1E1E1E"/>
          <w:sz w:val="24"/>
          <w:u w:val="single" w:color="1E1E1E"/>
        </w:rPr>
        <w:t xml:space="preserve">n   expected </w:t>
      </w:r>
      <w:r w:rsidRPr="00AE0123">
        <w:rPr>
          <w:b/>
          <w:bCs/>
          <w:color w:val="1E1E1E"/>
          <w:sz w:val="24"/>
          <w:highlight w:val="green"/>
          <w:u w:val="single" w:color="1E1E1E"/>
        </w:rPr>
        <w:t>value greater than</w:t>
      </w:r>
      <w:r w:rsidRPr="00AE0123">
        <w:rPr>
          <w:b/>
          <w:bCs/>
          <w:color w:val="1E1E1E"/>
          <w:sz w:val="24"/>
          <w:u w:val="single" w:color="1E1E1E"/>
        </w:rPr>
        <w:t xml:space="preserve"> that of</w:t>
      </w:r>
      <w:r w:rsidRPr="00AE0123">
        <w:rPr>
          <w:b/>
          <w:bCs/>
          <w:color w:val="1E1E1E"/>
          <w:sz w:val="24"/>
          <w:highlight w:val="green"/>
          <w:u w:val="single" w:color="1E1E1E"/>
        </w:rPr>
        <w:t xml:space="preserve"> the definite provision of </w:t>
      </w:r>
      <w:r w:rsidRPr="00AE0123">
        <w:rPr>
          <w:b/>
          <w:bCs/>
          <w:color w:val="1E1E1E"/>
          <w:sz w:val="24"/>
          <w:u w:val="single" w:color="1E1E1E"/>
        </w:rPr>
        <w:t xml:space="preserve">any ordinary good, such as the direct   benefit of </w:t>
      </w:r>
      <w:r w:rsidRPr="00AE0123">
        <w:rPr>
          <w:b/>
          <w:bCs/>
          <w:color w:val="1E1E1E"/>
          <w:sz w:val="24"/>
          <w:highlight w:val="green"/>
          <w:u w:val="single" w:color="1E1E1E"/>
        </w:rPr>
        <w:t>saving 1 billion lives</w:t>
      </w:r>
      <w:r w:rsidRPr="00AE0123">
        <w:rPr>
          <w:b/>
          <w:bCs/>
          <w:color w:val="1E1E1E"/>
          <w:sz w:val="26"/>
          <w:szCs w:val="26"/>
          <w:highlight w:val="green"/>
          <w:u w:val="single" w:color="1E1E1E"/>
        </w:rPr>
        <w:t>.</w:t>
      </w:r>
      <w:r w:rsidRPr="00AE0123">
        <w:rPr>
          <w:color w:val="1E1E1E"/>
          <w:sz w:val="26"/>
          <w:szCs w:val="26"/>
          <w:u w:color="1E1E1E"/>
        </w:rPr>
        <w:t xml:space="preserve">  </w:t>
      </w:r>
      <w:r w:rsidRPr="002E7F13">
        <w:t>And, further, that the absolute value of the indirect effect of saving 1  billion lives on the total cumulative amount of existential riskâ€”positive or negativeâ€”is almost   certainly larger than the positive value of the direct benefit of such an action.</w:t>
      </w:r>
      <w:r w:rsidRPr="00AE0123">
        <w:rPr>
          <w:color w:val="1E1E1E"/>
          <w:sz w:val="26"/>
          <w:szCs w:val="26"/>
          <w:u w:color="1E1E1E"/>
        </w:rPr>
        <w:t xml:space="preserve">  </w:t>
      </w:r>
    </w:p>
    <w:p w:rsidR="006D318B" w:rsidRPr="00AE0123" w:rsidRDefault="006D318B" w:rsidP="006D318B"/>
    <w:p w:rsidR="006D318B" w:rsidRPr="00AE0123" w:rsidRDefault="006D318B" w:rsidP="006D318B">
      <w:pPr>
        <w:pStyle w:val="Heading3"/>
      </w:pPr>
      <w:r>
        <w:lastRenderedPageBreak/>
        <w:t>Advantage</w:t>
      </w:r>
    </w:p>
    <w:p w:rsidR="00F33F51" w:rsidRDefault="006D318B" w:rsidP="006D318B">
      <w:pPr>
        <w:pStyle w:val="Heading4"/>
        <w:rPr>
          <w:rFonts w:asciiTheme="majorHAnsi" w:hAnsiTheme="majorHAnsi" w:cstheme="majorHAnsi"/>
        </w:rPr>
      </w:pPr>
      <w:r>
        <w:t>ROB is to vote for the better debater – anything else is arbitrary, self–serving, and impact justified – they haven’t justified how debate shapes subject formation – it doesn’t – </w:t>
      </w:r>
      <w:r w:rsidRPr="00221625">
        <w:rPr>
          <w:rFonts w:asciiTheme="majorHAnsi" w:hAnsiTheme="majorHAnsi" w:cstheme="majorHAnsi"/>
        </w:rPr>
        <w:t xml:space="preserve">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round () of () your </w:t>
      </w:r>
      <w:r>
        <w:rPr>
          <w:rFonts w:asciiTheme="majorHAnsi" w:hAnsiTheme="majorHAnsi" w:cstheme="majorHAnsi"/>
          <w:i/>
        </w:rPr>
        <w:t>senior</w:t>
      </w:r>
      <w:r w:rsidRPr="00221625">
        <w:rPr>
          <w:rFonts w:asciiTheme="majorHAnsi" w:hAnsiTheme="majorHAnsi" w:cstheme="majorHAnsi"/>
          <w:i/>
        </w:rPr>
        <w:t xml:space="preserve"> year?</w:t>
      </w:r>
      <w:r w:rsidRPr="00221625">
        <w:rPr>
          <w:rFonts w:asciiTheme="majorHAnsi" w:hAnsiTheme="majorHAnsi" w:cstheme="majorHAnsi"/>
        </w:rPr>
        <w:t xml:space="preserve"> </w:t>
      </w:r>
    </w:p>
    <w:p w:rsidR="006D318B" w:rsidRPr="0094657D" w:rsidRDefault="006D318B" w:rsidP="006D318B">
      <w:pPr>
        <w:pStyle w:val="Heading4"/>
      </w:pPr>
      <w:r>
        <w:t>They can only leverage the amount of settler colonialism solved by the aff – alt causes – Chinese oppression of Uighurs, Turkey’s involvement in Syria, and Native Americans making $.60 to the dollar</w:t>
      </w:r>
    </w:p>
    <w:p w:rsidR="006D318B" w:rsidRPr="001C36BF" w:rsidRDefault="006D318B" w:rsidP="006D318B">
      <w:pPr>
        <w:pStyle w:val="Heading4"/>
      </w:pPr>
      <w:r>
        <w:t xml:space="preserve">Patents </w:t>
      </w:r>
      <w:r>
        <w:rPr>
          <w:u w:val="single"/>
        </w:rPr>
        <w:t>prevent</w:t>
      </w:r>
      <w:r>
        <w:t xml:space="preserve"> biopiracy</w:t>
      </w:r>
    </w:p>
    <w:p w:rsidR="006D318B" w:rsidRPr="001C36BF" w:rsidRDefault="006D318B" w:rsidP="006D318B">
      <w:pPr>
        <w:rPr>
          <w:rStyle w:val="Style13ptBold"/>
          <w:b w:val="0"/>
        </w:rPr>
      </w:pPr>
      <w:r>
        <w:rPr>
          <w:rStyle w:val="Style13ptBold"/>
        </w:rPr>
        <w:t xml:space="preserve">Erstling 09 </w:t>
      </w:r>
      <w:r w:rsidRPr="001C36BF">
        <w:rPr>
          <w:rStyle w:val="Style13ptBold"/>
          <w:b w:val="0"/>
          <w:bCs/>
          <w:sz w:val="16"/>
          <w:szCs w:val="16"/>
        </w:rPr>
        <w:t xml:space="preserve">[(Jay, </w:t>
      </w:r>
      <w:r w:rsidRPr="001C36BF">
        <w:rPr>
          <w:szCs w:val="16"/>
        </w:rPr>
        <w:t>Emeritus Professor of Law at Mitchell Hamline School of Law, J.D., Cornell University Law School, 1974</w:t>
      </w:r>
      <w:r w:rsidRPr="001C36BF">
        <w:rPr>
          <w:rStyle w:val="Style13ptBold"/>
          <w:b w:val="0"/>
          <w:bCs/>
          <w:sz w:val="16"/>
          <w:szCs w:val="16"/>
        </w:rPr>
        <w:t>) “</w:t>
      </w:r>
      <w:r w:rsidRPr="001C36BF">
        <w:rPr>
          <w:bCs/>
          <w:szCs w:val="16"/>
        </w:rPr>
        <w:t>Using Patents to Protect Traditional Knowledge,” Texas Wesleyan Law Review, 2009] JL</w:t>
      </w:r>
    </w:p>
    <w:p w:rsidR="006D318B" w:rsidRPr="001C36BF" w:rsidRDefault="006D318B" w:rsidP="006D318B">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1C36BF">
        <w:rPr>
          <w:rStyle w:val="StyleUnderline"/>
          <w:highlight w:val="green"/>
        </w:rPr>
        <w:t>the patent sys</w:t>
      </w:r>
      <w:r w:rsidRPr="00E40510">
        <w:rPr>
          <w:rStyle w:val="StyleUnderline"/>
          <w:highlight w:val="green"/>
        </w:rPr>
        <w:t>tem</w:t>
      </w:r>
      <w:r w:rsidRPr="001C36BF">
        <w:rPr>
          <w:rStyle w:val="StyleUnderline"/>
        </w:rPr>
        <w:t xml:space="preserve"> appropriately </w:t>
      </w:r>
      <w:r w:rsidRPr="00E40510">
        <w:rPr>
          <w:rStyle w:val="StyleUnderline"/>
          <w:highlight w:val="green"/>
        </w:rPr>
        <w:t>to protect TK can</w:t>
      </w:r>
      <w:r w:rsidRPr="001C36BF">
        <w:rPr>
          <w:rStyle w:val="StyleUnderline"/>
        </w:rPr>
        <w:t xml:space="preserve"> </w:t>
      </w:r>
      <w:r w:rsidRPr="00E40510">
        <w:rPr>
          <w:rStyle w:val="StyleUnderline"/>
        </w:rPr>
        <w:t xml:space="preserve">serve </w:t>
      </w:r>
      <w:r w:rsidRPr="00E40510">
        <w:rPr>
          <w:rStyle w:val="StyleUnderline"/>
          <w:highlight w:val="green"/>
        </w:rPr>
        <w:t>more</w:t>
      </w:r>
      <w:r w:rsidRPr="001C36BF">
        <w:rPr>
          <w:rStyle w:val="StyleUnderline"/>
        </w:rPr>
        <w:t xml:space="preserve"> to </w:t>
      </w:r>
      <w:r w:rsidRPr="00E40510">
        <w:rPr>
          <w:rStyle w:val="Emphasis"/>
          <w:highlight w:val="green"/>
        </w:rPr>
        <w:t>prevent biopiracy</w:t>
      </w:r>
      <w:r w:rsidRPr="00E40510">
        <w:rPr>
          <w:rStyle w:val="StyleUnderline"/>
          <w:highlight w:val="green"/>
        </w:rPr>
        <w:t xml:space="preserve"> than</w:t>
      </w:r>
      <w:r w:rsidRPr="001C36BF">
        <w:rPr>
          <w:rStyle w:val="StyleUnderline"/>
        </w:rPr>
        <w:t xml:space="preserve"> to </w:t>
      </w:r>
      <w:r w:rsidRPr="00E40510">
        <w:rPr>
          <w:rStyle w:val="StyleUnderline"/>
          <w:highlight w:val="gree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Several cases of alleged biopiracy, including patents granted for neem, turmeric, the enola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E40510">
        <w:rPr>
          <w:rStyle w:val="StyleUnderline"/>
          <w:highlight w:val="green"/>
        </w:rPr>
        <w:t>protecting TK could</w:t>
      </w:r>
      <w:r w:rsidRPr="001C36BF">
        <w:rPr>
          <w:rStyle w:val="StyleUnderline"/>
        </w:rPr>
        <w:t xml:space="preserve"> provide some assurance against misappropriation by </w:t>
      </w:r>
      <w:r w:rsidRPr="00E40510">
        <w:rPr>
          <w:rStyle w:val="Emphasis"/>
          <w:highlight w:val="green"/>
        </w:rPr>
        <w:t>clarify</w:t>
      </w:r>
      <w:r w:rsidRPr="001C36BF">
        <w:rPr>
          <w:rStyle w:val="Emphasis"/>
        </w:rPr>
        <w:t xml:space="preserve">ing </w:t>
      </w:r>
      <w:r w:rsidRPr="00E40510">
        <w:rPr>
          <w:rStyle w:val="Emphasis"/>
          <w:highlight w:val="green"/>
        </w:rPr>
        <w:t>the duty that third parties owe to</w:t>
      </w:r>
      <w:r w:rsidRPr="001C36BF">
        <w:rPr>
          <w:rStyle w:val="Emphasis"/>
        </w:rPr>
        <w:t xml:space="preserve"> the </w:t>
      </w:r>
      <w:r w:rsidRPr="00E40510">
        <w:rPr>
          <w:rStyle w:val="Emphasis"/>
          <w:highlight w:val="gree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rsidR="006D318B" w:rsidRDefault="006D318B" w:rsidP="006D318B"/>
    <w:p w:rsidR="006D318B" w:rsidRPr="00FE51A3" w:rsidRDefault="006D318B" w:rsidP="006D318B">
      <w:pPr>
        <w:pStyle w:val="Heading4"/>
        <w:rPr>
          <w:rFonts w:asciiTheme="majorHAnsi" w:hAnsiTheme="majorHAnsi" w:cstheme="majorHAnsi"/>
        </w:rPr>
      </w:pPr>
      <w:r w:rsidRPr="00FE51A3">
        <w:rPr>
          <w:rFonts w:asciiTheme="majorHAnsi" w:hAnsiTheme="majorHAnsi" w:cstheme="majorHAnsi"/>
        </w:rPr>
        <w:t>Biotech industry strong now.</w:t>
      </w:r>
    </w:p>
    <w:p w:rsidR="006D318B" w:rsidRPr="00FE51A3" w:rsidRDefault="006D318B" w:rsidP="006D318B">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rsidR="006D318B" w:rsidRPr="00FE51A3" w:rsidRDefault="006D318B" w:rsidP="006D318B">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6D318B" w:rsidRPr="00FE51A3" w:rsidRDefault="006D318B" w:rsidP="006D318B">
      <w:pPr>
        <w:rPr>
          <w:rFonts w:asciiTheme="majorHAnsi" w:hAnsiTheme="majorHAnsi" w:cstheme="majorHAnsi"/>
        </w:rPr>
      </w:pPr>
      <w:r w:rsidRPr="00FE51A3">
        <w:rPr>
          <w:rFonts w:asciiTheme="majorHAnsi" w:hAnsiTheme="majorHAnsi" w:cstheme="majorHAnsi"/>
        </w:rPr>
        <w:lastRenderedPageBreak/>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rsidR="006D318B" w:rsidRPr="00FE51A3" w:rsidRDefault="006D318B" w:rsidP="006D318B">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rsidR="006D318B" w:rsidRPr="00FE51A3" w:rsidRDefault="006D318B" w:rsidP="006D318B">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rsidR="006D318B" w:rsidRPr="00FE51A3" w:rsidRDefault="006D318B" w:rsidP="006D318B">
      <w:pPr>
        <w:rPr>
          <w:rFonts w:asciiTheme="majorHAnsi" w:hAnsiTheme="majorHAnsi" w:cstheme="majorHAnsi"/>
        </w:rPr>
      </w:pPr>
      <w:r w:rsidRPr="00FE51A3">
        <w:rPr>
          <w:rFonts w:asciiTheme="majorHAnsi" w:hAnsiTheme="majorHAnsi" w:cstheme="majorHAnsi"/>
        </w:rPr>
        <w:t>Fundamentals continue strong</w:t>
      </w:r>
    </w:p>
    <w:p w:rsidR="006D318B" w:rsidRPr="00FE51A3" w:rsidRDefault="006D318B" w:rsidP="006D318B">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rsidR="006D318B" w:rsidRPr="00FE51A3" w:rsidRDefault="006D318B" w:rsidP="006D318B">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6D318B" w:rsidRPr="00FE51A3" w:rsidRDefault="006D318B" w:rsidP="006D318B">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rsidR="006D318B" w:rsidRPr="00FE51A3" w:rsidRDefault="006D318B" w:rsidP="006D318B">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6D318B" w:rsidRPr="00FE51A3" w:rsidRDefault="006D318B" w:rsidP="006D318B">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6D318B" w:rsidRPr="00FE51A3" w:rsidRDefault="006D318B" w:rsidP="006D318B">
      <w:pPr>
        <w:rPr>
          <w:rFonts w:asciiTheme="majorHAnsi" w:hAnsiTheme="majorHAnsi" w:cstheme="majorHAnsi"/>
        </w:rPr>
      </w:pPr>
      <w:r w:rsidRPr="00FE51A3">
        <w:rPr>
          <w:rFonts w:asciiTheme="majorHAnsi" w:hAnsiTheme="majorHAnsi" w:cstheme="majorHAnsi"/>
        </w:rPr>
        <w:t>More innovation on the horizon</w:t>
      </w:r>
    </w:p>
    <w:p w:rsidR="006D318B" w:rsidRPr="00FE51A3" w:rsidRDefault="006D318B" w:rsidP="006D318B">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w:t>
      </w:r>
      <w:r w:rsidRPr="00FE51A3">
        <w:rPr>
          <w:rFonts w:asciiTheme="majorHAnsi" w:hAnsiTheme="majorHAnsi" w:cstheme="majorHAnsi"/>
        </w:rPr>
        <w:lastRenderedPageBreak/>
        <w:t xml:space="preserve">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rsidR="006D318B" w:rsidRPr="00AB66BA" w:rsidRDefault="006D318B" w:rsidP="006D318B"/>
    <w:p w:rsidR="006D318B" w:rsidRDefault="006D318B" w:rsidP="006D318B">
      <w:pPr>
        <w:pStyle w:val="Heading4"/>
      </w:pPr>
      <w:r>
        <w:t>IP protections for traditional knowledge are key to innovation</w:t>
      </w:r>
    </w:p>
    <w:p w:rsidR="006D318B" w:rsidRPr="00F01CCB" w:rsidRDefault="006D318B" w:rsidP="006D318B">
      <w:pPr>
        <w:rPr>
          <w:rStyle w:val="Style13ptBold"/>
          <w:b w:val="0"/>
          <w:bCs/>
        </w:rPr>
      </w:pPr>
      <w:r>
        <w:rPr>
          <w:rStyle w:val="Style13ptBold"/>
        </w:rPr>
        <w:t xml:space="preserve">Ngatcha 20 </w:t>
      </w:r>
      <w:r w:rsidRPr="00F01CCB">
        <w:rPr>
          <w:rStyle w:val="Style13ptBold"/>
          <w:b w:val="0"/>
          <w:bCs/>
          <w:sz w:val="16"/>
          <w:szCs w:val="16"/>
        </w:rPr>
        <w:t xml:space="preserve">[(Beatrice T., </w:t>
      </w:r>
      <w:r w:rsidRPr="00F01CCB">
        <w:rPr>
          <w:bCs/>
          <w:szCs w:val="16"/>
        </w:rPr>
        <w:t>lawyer and patent agent in Lavery’s intellectual property group, patent agent registered to practice in Canada and the United States,member of the Quebec Bar, doctoral degree in chemistry from </w:t>
      </w:r>
      <w:r w:rsidRPr="00F01CCB">
        <w:rPr>
          <w:bCs/>
          <w:i/>
          <w:iCs/>
          <w:szCs w:val="16"/>
        </w:rPr>
        <w:t>Université Laval</w:t>
      </w:r>
      <w:r w:rsidRPr="00F01CCB">
        <w:rPr>
          <w:bCs/>
          <w:szCs w:val="16"/>
        </w:rPr>
        <w:t> and post-doctoral fellow at the National Research Council in Ottawa</w:t>
      </w:r>
      <w:r w:rsidRPr="00F01CCB">
        <w:rPr>
          <w:rStyle w:val="Style13ptBold"/>
          <w:b w:val="0"/>
          <w:bCs/>
          <w:sz w:val="16"/>
          <w:szCs w:val="16"/>
        </w:rPr>
        <w:t>) “</w:t>
      </w:r>
      <w:r w:rsidRPr="00F01CCB">
        <w:rPr>
          <w:szCs w:val="16"/>
        </w:rPr>
        <w:t>Natural Products and Pharmaceutical Innovations: What are the Patent Options?” Lavery, 5/29/2020] JL</w:t>
      </w:r>
    </w:p>
    <w:p w:rsidR="006D318B" w:rsidRPr="00F01CCB" w:rsidRDefault="006D318B" w:rsidP="006D318B">
      <w:pPr>
        <w:rPr>
          <w:sz w:val="12"/>
        </w:rPr>
      </w:pPr>
      <w:r w:rsidRPr="00F01CCB">
        <w:rPr>
          <w:rStyle w:val="StyleUnderline"/>
          <w:highlight w:val="green"/>
        </w:rPr>
        <w:t>Natural products</w:t>
      </w:r>
      <w:r w:rsidRPr="00F01CCB">
        <w:rPr>
          <w:rStyle w:val="StyleUnderline"/>
        </w:rPr>
        <w:t xml:space="preserve"> play an </w:t>
      </w:r>
      <w:r w:rsidRPr="00F01CCB">
        <w:rPr>
          <w:rStyle w:val="Emphasis"/>
        </w:rPr>
        <w:t>important role in pharmaceutical innovation</w:t>
      </w:r>
      <w:r w:rsidRPr="00F01CCB">
        <w:rPr>
          <w:rStyle w:val="StyleUnderline"/>
        </w:rPr>
        <w:t xml:space="preserve">. They </w:t>
      </w:r>
      <w:r w:rsidRPr="00F01CCB">
        <w:rPr>
          <w:rStyle w:val="StyleUnderline"/>
          <w:highlight w:val="green"/>
        </w:rPr>
        <w:t>are active</w:t>
      </w:r>
      <w:r w:rsidRPr="00F01CCB">
        <w:rPr>
          <w:rStyle w:val="StyleUnderline"/>
        </w:rPr>
        <w:t xml:space="preserve"> </w:t>
      </w:r>
      <w:r w:rsidRPr="00F01CCB">
        <w:rPr>
          <w:rStyle w:val="StyleUnderline"/>
          <w:highlight w:val="green"/>
        </w:rPr>
        <w:t>components in many medicines</w:t>
      </w:r>
      <w:r w:rsidRPr="00F01CCB">
        <w:rPr>
          <w:sz w:val="12"/>
        </w:rPr>
        <w:t xml:space="preserve">. For example, nearly </w:t>
      </w:r>
      <w:r w:rsidRPr="00F01CCB">
        <w:rPr>
          <w:rStyle w:val="StyleUnderline"/>
        </w:rPr>
        <w:t xml:space="preserve">half of the small </w:t>
      </w:r>
      <w:r w:rsidRPr="00F01CCB">
        <w:rPr>
          <w:rStyle w:val="StyleUnderline"/>
          <w:highlight w:val="green"/>
        </w:rPr>
        <w:t>molecules</w:t>
      </w:r>
      <w:r w:rsidRPr="00F01CCB">
        <w:rPr>
          <w:rStyle w:val="StyleUnderline"/>
        </w:rPr>
        <w:t xml:space="preserve"> used to </w:t>
      </w:r>
      <w:r w:rsidRPr="00F01CCB">
        <w:rPr>
          <w:rStyle w:val="Emphasis"/>
          <w:highlight w:val="green"/>
        </w:rPr>
        <w:t>treat cancer</w:t>
      </w:r>
      <w:r w:rsidRPr="00F01CCB">
        <w:rPr>
          <w:rStyle w:val="StyleUnderline"/>
        </w:rPr>
        <w:t xml:space="preserve"> are natural products or directly derived from natural products.</w:t>
      </w:r>
      <w:hyperlink r:id="rId10" w:anchor="01" w:history="1">
        <w:r w:rsidRPr="00F01CCB">
          <w:rPr>
            <w:rStyle w:val="StyleUnderline"/>
          </w:rPr>
          <w:t>1</w:t>
        </w:r>
      </w:hyperlink>
      <w:r w:rsidRPr="00F01CCB">
        <w:rPr>
          <w:rStyle w:val="StyleUnderline"/>
        </w:rPr>
        <w:t> </w:t>
      </w:r>
      <w:r w:rsidRPr="00F01CCB">
        <w:rPr>
          <w:rStyle w:val="StyleUnderline"/>
          <w:highlight w:val="green"/>
        </w:rPr>
        <w:t>They are</w:t>
      </w:r>
      <w:r w:rsidRPr="00F01CCB">
        <w:rPr>
          <w:rStyle w:val="StyleUnderline"/>
        </w:rPr>
        <w:t xml:space="preserve"> also </w:t>
      </w:r>
      <w:r w:rsidRPr="00F01CCB">
        <w:rPr>
          <w:rStyle w:val="StyleUnderline"/>
          <w:highlight w:val="green"/>
        </w:rPr>
        <w:t xml:space="preserve">components of </w:t>
      </w:r>
      <w:r w:rsidRPr="00F01CCB">
        <w:rPr>
          <w:rStyle w:val="Emphasis"/>
          <w:highlight w:val="green"/>
        </w:rPr>
        <w:t>vaccines</w:t>
      </w:r>
      <w:r w:rsidRPr="00F01CCB">
        <w:rPr>
          <w:sz w:val="12"/>
          <w:highlight w:val="green"/>
        </w:rPr>
        <w:t>.</w:t>
      </w:r>
    </w:p>
    <w:p w:rsidR="006D318B" w:rsidRPr="00F01CCB" w:rsidRDefault="006D318B" w:rsidP="006D318B">
      <w:pPr>
        <w:rPr>
          <w:sz w:val="12"/>
        </w:rPr>
      </w:pPr>
      <w:r w:rsidRPr="00F01CCB">
        <w:rPr>
          <w:rStyle w:val="Emphasis"/>
          <w:highlight w:val="green"/>
        </w:rPr>
        <w:t>The</w:t>
      </w:r>
      <w:r w:rsidRPr="00F01CCB">
        <w:rPr>
          <w:rStyle w:val="Emphasis"/>
        </w:rPr>
        <w:t xml:space="preserve"> pharmaceutical </w:t>
      </w:r>
      <w:r w:rsidRPr="00F01CCB">
        <w:rPr>
          <w:rStyle w:val="Emphasis"/>
          <w:highlight w:val="green"/>
        </w:rPr>
        <w:t>industry</w:t>
      </w:r>
      <w:r w:rsidRPr="00F01CCB">
        <w:rPr>
          <w:rStyle w:val="Emphasis"/>
        </w:rPr>
        <w:t xml:space="preserve"> is </w:t>
      </w:r>
      <w:r w:rsidRPr="00F01CCB">
        <w:rPr>
          <w:rStyle w:val="Emphasis"/>
          <w:highlight w:val="green"/>
        </w:rPr>
        <w:t>constantly seek</w:t>
      </w:r>
      <w:r w:rsidRPr="00F01CCB">
        <w:rPr>
          <w:rStyle w:val="Emphasis"/>
        </w:rPr>
        <w:t xml:space="preserve">ing access to natural products and the </w:t>
      </w:r>
      <w:r w:rsidRPr="00F01CCB">
        <w:rPr>
          <w:rStyle w:val="Emphasis"/>
          <w:highlight w:val="green"/>
        </w:rPr>
        <w:t>t</w:t>
      </w:r>
      <w:r w:rsidRPr="00F01CCB">
        <w:rPr>
          <w:rStyle w:val="Emphasis"/>
        </w:rPr>
        <w:t xml:space="preserve">raditional </w:t>
      </w:r>
      <w:r w:rsidRPr="00F01CCB">
        <w:rPr>
          <w:rStyle w:val="Emphasis"/>
          <w:highlight w:val="green"/>
        </w:rPr>
        <w:t>k</w:t>
      </w:r>
      <w:r w:rsidRPr="00F01CCB">
        <w:rPr>
          <w:rStyle w:val="Emphasis"/>
        </w:rPr>
        <w:t>nowledge associated with them</w:t>
      </w:r>
      <w:r w:rsidRPr="00F01CCB">
        <w:rPr>
          <w:rStyle w:val="StyleUnderline"/>
        </w:rPr>
        <w:t xml:space="preserve">. These include </w:t>
      </w:r>
      <w:r w:rsidRPr="00F01CCB">
        <w:rPr>
          <w:rStyle w:val="Emphasis"/>
          <w:highlight w:val="green"/>
        </w:rPr>
        <w:t>plants</w:t>
      </w:r>
      <w:r w:rsidRPr="00F01CCB">
        <w:rPr>
          <w:rStyle w:val="StyleUnderline"/>
        </w:rPr>
        <w:t xml:space="preserve"> (roots, bark, leaves), </w:t>
      </w:r>
      <w:r w:rsidRPr="00F01CCB">
        <w:rPr>
          <w:rStyle w:val="Emphasis"/>
          <w:highlight w:val="green"/>
        </w:rPr>
        <w:t>micro-organisms</w:t>
      </w:r>
      <w:r w:rsidRPr="00F01CCB">
        <w:rPr>
          <w:rStyle w:val="StyleUnderline"/>
        </w:rPr>
        <w:t xml:space="preserve"> (terrestrial and marine), </w:t>
      </w:r>
      <w:r w:rsidRPr="00F01CCB">
        <w:rPr>
          <w:rStyle w:val="Emphasis"/>
          <w:highlight w:val="green"/>
        </w:rPr>
        <w:t>toxins</w:t>
      </w:r>
      <w:r w:rsidRPr="00F01CCB">
        <w:rPr>
          <w:rStyle w:val="Emphasis"/>
        </w:rPr>
        <w:t>, venoms and other natural biological agents</w:t>
      </w:r>
      <w:r w:rsidRPr="00F01CCB">
        <w:rPr>
          <w:sz w:val="12"/>
        </w:rPr>
        <w:t>. </w:t>
      </w:r>
    </w:p>
    <w:p w:rsidR="006D318B" w:rsidRPr="00F01CCB" w:rsidRDefault="006D318B" w:rsidP="006D318B">
      <w:pPr>
        <w:rPr>
          <w:sz w:val="12"/>
        </w:rPr>
      </w:pPr>
      <w:r w:rsidRPr="00F01CCB">
        <w:rPr>
          <w:rStyle w:val="StyleUnderline"/>
        </w:rPr>
        <w:t>In the current race to develop a drug and/or vaccine against COVID-19, natural products or derivatives are surely worth considering as a starting point</w:t>
      </w:r>
      <w:r w:rsidRPr="00F01CCB">
        <w:rPr>
          <w:sz w:val="12"/>
        </w:rPr>
        <w:t>.</w:t>
      </w:r>
    </w:p>
    <w:p w:rsidR="006D318B" w:rsidRPr="00F01CCB" w:rsidRDefault="006D318B" w:rsidP="006D318B">
      <w:pPr>
        <w:rPr>
          <w:sz w:val="12"/>
        </w:rPr>
      </w:pPr>
      <w:r w:rsidRPr="00F01CCB">
        <w:rPr>
          <w:rStyle w:val="StyleUnderline"/>
        </w:rPr>
        <w:t xml:space="preserve">The harvesting of natural resources for use by the pharmaceutical industry is usually </w:t>
      </w:r>
      <w:r w:rsidRPr="00F01CCB">
        <w:rPr>
          <w:rStyle w:val="Emphasis"/>
          <w:highlight w:val="green"/>
        </w:rPr>
        <w:t>carried</w:t>
      </w:r>
      <w:r w:rsidRPr="00F01CCB">
        <w:rPr>
          <w:rStyle w:val="Emphasis"/>
        </w:rPr>
        <w:t xml:space="preserve"> </w:t>
      </w:r>
      <w:r w:rsidRPr="00F01CCB">
        <w:rPr>
          <w:rStyle w:val="Emphasis"/>
          <w:highlight w:val="green"/>
        </w:rPr>
        <w:t>out by partners such as traditional healers</w:t>
      </w:r>
      <w:r w:rsidRPr="00F01CCB">
        <w:rPr>
          <w:sz w:val="12"/>
        </w:rPr>
        <w:t xml:space="preserve">, farmers, academics or businesses. Thus, </w:t>
      </w:r>
      <w:r w:rsidRPr="00F01CCB">
        <w:rPr>
          <w:rStyle w:val="StyleUnderline"/>
        </w:rPr>
        <w:t>the process usually involves several stakeholders, including providers and users of natural resources and associated traditional knowledge, which are often located in different parts of the world</w:t>
      </w:r>
      <w:r w:rsidRPr="00F01CCB">
        <w:rPr>
          <w:sz w:val="12"/>
        </w:rPr>
        <w:t>.</w:t>
      </w:r>
    </w:p>
    <w:p w:rsidR="006D318B" w:rsidRPr="00F01CCB" w:rsidRDefault="006D318B" w:rsidP="006D318B">
      <w:pPr>
        <w:rPr>
          <w:rStyle w:val="StyleUnderline"/>
        </w:rPr>
      </w:pPr>
      <w:r w:rsidRPr="00F01CCB">
        <w:rPr>
          <w:rStyle w:val="StyleUnderline"/>
        </w:rPr>
        <w:t xml:space="preserve">Fair and equitable collaboration in such a context requires well-developed collaboration agreements and access and </w:t>
      </w:r>
      <w:r w:rsidRPr="00F01CCB">
        <w:rPr>
          <w:rStyle w:val="StyleUnderline"/>
          <w:highlight w:val="green"/>
        </w:rPr>
        <w:t>benefit-sharing agreements</w:t>
      </w:r>
      <w:r w:rsidRPr="00F01CCB">
        <w:rPr>
          <w:sz w:val="12"/>
        </w:rPr>
        <w:t xml:space="preserve">. Various instruments of international law encourage the signing of such agreements, </w:t>
      </w:r>
      <w:r w:rsidRPr="00F01CCB">
        <w:rPr>
          <w:rStyle w:val="StyleUnderline"/>
          <w:highlight w:val="green"/>
        </w:rPr>
        <w:t>includ</w:t>
      </w:r>
      <w:r w:rsidRPr="00F01CCB">
        <w:rPr>
          <w:rStyle w:val="StyleUnderline"/>
        </w:rPr>
        <w:t>ing:</w:t>
      </w:r>
    </w:p>
    <w:p w:rsidR="006D318B" w:rsidRPr="00F01CCB" w:rsidRDefault="006D318B" w:rsidP="006D318B">
      <w:pPr>
        <w:rPr>
          <w:sz w:val="12"/>
        </w:rPr>
      </w:pPr>
      <w:r w:rsidRPr="00F01CCB">
        <w:rPr>
          <w:rStyle w:val="StyleUnderline"/>
          <w:highlight w:val="green"/>
        </w:rPr>
        <w:t>The</w:t>
      </w:r>
      <w:r w:rsidRPr="00F01CCB">
        <w:rPr>
          <w:rStyle w:val="StyleUnderline"/>
        </w:rPr>
        <w:t xml:space="preserve"> Convention on Biological Diversity </w:t>
      </w:r>
      <w:r w:rsidRPr="00F01CCB">
        <w:rPr>
          <w:rStyle w:val="Emphasis"/>
        </w:rPr>
        <w:t>(</w:t>
      </w:r>
      <w:r w:rsidRPr="00F01CCB">
        <w:rPr>
          <w:rStyle w:val="Emphasis"/>
          <w:highlight w:val="green"/>
        </w:rPr>
        <w:t>CBD), which</w:t>
      </w:r>
      <w:r w:rsidRPr="00F01CCB">
        <w:rPr>
          <w:rStyle w:val="Emphasis"/>
        </w:rPr>
        <w:t xml:space="preserve"> recognizes the sovereignty of states over their natural resources</w:t>
      </w:r>
      <w:r w:rsidRPr="00F01CCB">
        <w:rPr>
          <w:rStyle w:val="StyleUnderline"/>
        </w:rPr>
        <w:t xml:space="preserve">. The CBD sets out fundamental principles to </w:t>
      </w:r>
      <w:r w:rsidRPr="00F01CCB">
        <w:rPr>
          <w:rStyle w:val="Emphasis"/>
          <w:highlight w:val="green"/>
        </w:rPr>
        <w:t>regulate</w:t>
      </w:r>
      <w:r w:rsidRPr="00F01CCB">
        <w:rPr>
          <w:rStyle w:val="Emphasis"/>
        </w:rPr>
        <w:t xml:space="preserve"> access and benefit-sharing</w:t>
      </w:r>
      <w:r w:rsidRPr="00F01CCB">
        <w:rPr>
          <w:rStyle w:val="StyleUnderline"/>
        </w:rPr>
        <w:t xml:space="preserve">, including that </w:t>
      </w:r>
      <w:r w:rsidRPr="00F01CCB">
        <w:rPr>
          <w:rStyle w:val="StyleUnderline"/>
          <w:highlight w:val="green"/>
        </w:rPr>
        <w:t>access to</w:t>
      </w:r>
      <w:r w:rsidRPr="00F01CCB">
        <w:rPr>
          <w:rStyle w:val="StyleUnderline"/>
        </w:rPr>
        <w:t xml:space="preserve"> natural </w:t>
      </w:r>
      <w:r w:rsidRPr="00F01CCB">
        <w:rPr>
          <w:rStyle w:val="StyleUnderline"/>
          <w:highlight w:val="green"/>
        </w:rPr>
        <w:t>resources</w:t>
      </w:r>
      <w:r w:rsidRPr="00F01CCB">
        <w:rPr>
          <w:rStyle w:val="StyleUnderline"/>
        </w:rPr>
        <w:t>, their use and the sharing of benefits arising from them should be based on “</w:t>
      </w:r>
      <w:r w:rsidRPr="00F01CCB">
        <w:rPr>
          <w:rStyle w:val="StyleUnderline"/>
          <w:highlight w:val="green"/>
        </w:rPr>
        <w:t>mutually</w:t>
      </w:r>
      <w:r w:rsidRPr="00F01CCB">
        <w:rPr>
          <w:rStyle w:val="StyleUnderline"/>
        </w:rPr>
        <w:t xml:space="preserve"> agreed terms</w:t>
      </w:r>
      <w:r w:rsidRPr="00F01CCB">
        <w:rPr>
          <w:sz w:val="12"/>
        </w:rPr>
        <w:t>.”</w:t>
      </w:r>
      <w:hyperlink r:id="rId11" w:anchor="02" w:history="1">
        <w:r w:rsidRPr="00F01CCB">
          <w:rPr>
            <w:rStyle w:val="Hyperlink"/>
            <w:sz w:val="12"/>
            <w:vertAlign w:val="superscript"/>
          </w:rPr>
          <w:t>2</w:t>
        </w:r>
      </w:hyperlink>
    </w:p>
    <w:p w:rsidR="006D318B" w:rsidRPr="00F01CCB" w:rsidRDefault="006D318B" w:rsidP="006D318B">
      <w:pPr>
        <w:rPr>
          <w:sz w:val="12"/>
        </w:rPr>
      </w:pPr>
      <w:r w:rsidRPr="00F01CCB">
        <w:rPr>
          <w:rStyle w:val="StyleUnderline"/>
          <w:highlight w:val="green"/>
        </w:rPr>
        <w:lastRenderedPageBreak/>
        <w:t>The Nagoya Protocol covers</w:t>
      </w:r>
      <w:r w:rsidRPr="00F01CCB">
        <w:rPr>
          <w:rStyle w:val="StyleUnderline"/>
        </w:rPr>
        <w:t xml:space="preserve"> the sharing of the results of research and development, the payment of </w:t>
      </w:r>
      <w:r w:rsidRPr="00F01CCB">
        <w:rPr>
          <w:rStyle w:val="StyleUnderline"/>
          <w:highlight w:val="green"/>
        </w:rPr>
        <w:t>royalties and joint ownership</w:t>
      </w:r>
      <w:r w:rsidRPr="00F01CCB">
        <w:rPr>
          <w:rStyle w:val="StyleUnderline"/>
        </w:rPr>
        <w:t xml:space="preserve"> of intellectual property (IP) rights</w:t>
      </w:r>
      <w:r w:rsidRPr="00F01CCB">
        <w:rPr>
          <w:sz w:val="12"/>
        </w:rPr>
        <w:t>.</w:t>
      </w:r>
      <w:hyperlink r:id="rId12" w:anchor="03" w:history="1">
        <w:r w:rsidRPr="00F01CCB">
          <w:rPr>
            <w:rStyle w:val="Hyperlink"/>
            <w:sz w:val="12"/>
            <w:vertAlign w:val="superscript"/>
          </w:rPr>
          <w:t>3</w:t>
        </w:r>
      </w:hyperlink>
    </w:p>
    <w:p w:rsidR="006D318B" w:rsidRPr="00F01CCB" w:rsidRDefault="006D318B" w:rsidP="006D318B">
      <w:pPr>
        <w:rPr>
          <w:sz w:val="12"/>
        </w:rPr>
      </w:pPr>
      <w:r w:rsidRPr="00F01CCB">
        <w:rPr>
          <w:rStyle w:val="StyleUnderline"/>
        </w:rPr>
        <w:t>The World Intellectual Property Organization (</w:t>
      </w:r>
      <w:r w:rsidRPr="00F01CCB">
        <w:rPr>
          <w:rStyle w:val="StyleUnderline"/>
          <w:highlight w:val="green"/>
        </w:rPr>
        <w:t>WIPO</w:t>
      </w:r>
      <w:r w:rsidRPr="00F01CCB">
        <w:rPr>
          <w:rStyle w:val="StyleUnderline"/>
        </w:rPr>
        <w:t xml:space="preserve">) has developed a guide to assist providers and users of natural resources and associated traditional knowledge in the negotiation and </w:t>
      </w:r>
      <w:r w:rsidRPr="00F01CCB">
        <w:rPr>
          <w:rStyle w:val="StyleUnderline"/>
          <w:highlight w:val="green"/>
        </w:rPr>
        <w:t>establish</w:t>
      </w:r>
      <w:r w:rsidRPr="00F01CCB">
        <w:rPr>
          <w:rStyle w:val="StyleUnderline"/>
        </w:rPr>
        <w:t xml:space="preserve">ment of </w:t>
      </w:r>
      <w:r w:rsidRPr="00F01CCB">
        <w:rPr>
          <w:rStyle w:val="StyleUnderline"/>
          <w:highlight w:val="green"/>
        </w:rPr>
        <w:t>IP clauses</w:t>
      </w:r>
      <w:r w:rsidRPr="00F01CCB">
        <w:rPr>
          <w:rStyle w:val="StyleUnderline"/>
        </w:rPr>
        <w:t xml:space="preserve"> in access and benefit-sharing</w:t>
      </w:r>
      <w:r w:rsidRPr="00F01CCB">
        <w:rPr>
          <w:sz w:val="12"/>
        </w:rPr>
        <w:t xml:space="preserve"> agreements. The guide describes how IP rights can be exploited and managed to achieve the desired objectives, and how the </w:t>
      </w:r>
      <w:r w:rsidRPr="00F01CCB">
        <w:rPr>
          <w:rStyle w:val="StyleUnderline"/>
        </w:rPr>
        <w:t>benefits arising from the use can be created and shared in a fair and equitable manner, thereby promoting the conservation and use of biodiversity</w:t>
      </w:r>
      <w:r w:rsidRPr="00F01CCB">
        <w:rPr>
          <w:sz w:val="12"/>
        </w:rPr>
        <w:t>.</w:t>
      </w:r>
      <w:hyperlink r:id="rId13" w:anchor="04" w:history="1">
        <w:r w:rsidRPr="00F01CCB">
          <w:rPr>
            <w:rStyle w:val="Hyperlink"/>
            <w:sz w:val="12"/>
            <w:vertAlign w:val="superscript"/>
          </w:rPr>
          <w:t>4</w:t>
        </w:r>
      </w:hyperlink>
    </w:p>
    <w:p w:rsidR="006D318B" w:rsidRPr="00F01CCB" w:rsidRDefault="006D318B" w:rsidP="006D318B">
      <w:pPr>
        <w:rPr>
          <w:sz w:val="12"/>
        </w:rPr>
      </w:pPr>
      <w:r w:rsidRPr="00F01CCB">
        <w:rPr>
          <w:sz w:val="12"/>
        </w:rPr>
        <w:t xml:space="preserve">Furthermore, </w:t>
      </w:r>
      <w:r w:rsidRPr="00F01CCB">
        <w:rPr>
          <w:rStyle w:val="StyleUnderline"/>
          <w:highlight w:val="green"/>
        </w:rPr>
        <w:t>r</w:t>
      </w:r>
      <w:r w:rsidRPr="00F01CCB">
        <w:rPr>
          <w:rStyle w:val="StyleUnderline"/>
        </w:rPr>
        <w:t xml:space="preserve">esearch </w:t>
      </w:r>
      <w:r w:rsidRPr="00F01CCB">
        <w:rPr>
          <w:rStyle w:val="StyleUnderline"/>
          <w:highlight w:val="green"/>
        </w:rPr>
        <w:t>and d</w:t>
      </w:r>
      <w:r w:rsidRPr="00F01CCB">
        <w:rPr>
          <w:rStyle w:val="StyleUnderline"/>
        </w:rPr>
        <w:t xml:space="preserve">evelopment activities in the pharmaceutical industry </w:t>
      </w:r>
      <w:r w:rsidRPr="00F01CCB">
        <w:rPr>
          <w:rStyle w:val="StyleUnderline"/>
          <w:highlight w:val="green"/>
        </w:rPr>
        <w:t>are</w:t>
      </w:r>
      <w:r w:rsidRPr="00F01CCB">
        <w:rPr>
          <w:rStyle w:val="StyleUnderline"/>
        </w:rPr>
        <w:t xml:space="preserve"> known to be associated with </w:t>
      </w:r>
      <w:r w:rsidRPr="00F01CCB">
        <w:rPr>
          <w:rStyle w:val="Emphasis"/>
          <w:highlight w:val="green"/>
        </w:rPr>
        <w:t>high risk</w:t>
      </w:r>
      <w:r w:rsidRPr="00F01CCB">
        <w:rPr>
          <w:rStyle w:val="StyleUnderline"/>
          <w:highlight w:val="green"/>
        </w:rPr>
        <w:t xml:space="preserve"> and </w:t>
      </w:r>
      <w:r w:rsidRPr="00F01CCB">
        <w:rPr>
          <w:rStyle w:val="Emphasis"/>
          <w:highlight w:val="green"/>
        </w:rPr>
        <w:t>high investment costs</w:t>
      </w:r>
      <w:r w:rsidRPr="00F01CCB">
        <w:rPr>
          <w:sz w:val="12"/>
        </w:rPr>
        <w:t xml:space="preserve">. Indeed, it is widely recognized that </w:t>
      </w:r>
      <w:r w:rsidRPr="00F01CCB">
        <w:rPr>
          <w:rStyle w:val="StyleUnderline"/>
        </w:rPr>
        <w:t xml:space="preserve">the process </w:t>
      </w:r>
      <w:r w:rsidRPr="00F01CCB">
        <w:rPr>
          <w:rStyle w:val="StyleUnderline"/>
          <w:highlight w:val="green"/>
        </w:rPr>
        <w:t>to develop</w:t>
      </w:r>
      <w:r w:rsidRPr="00F01CCB">
        <w:rPr>
          <w:rStyle w:val="StyleUnderline"/>
        </w:rPr>
        <w:t xml:space="preserve"> </w:t>
      </w:r>
      <w:r w:rsidRPr="00F01CCB">
        <w:rPr>
          <w:rStyle w:val="StyleUnderline"/>
          <w:highlight w:val="green"/>
        </w:rPr>
        <w:t>a drug can take</w:t>
      </w:r>
      <w:r w:rsidRPr="00F01CCB">
        <w:rPr>
          <w:rStyle w:val="StyleUnderline"/>
        </w:rPr>
        <w:t xml:space="preserve"> up to </w:t>
      </w:r>
      <w:r w:rsidRPr="00F01CCB">
        <w:rPr>
          <w:rStyle w:val="StyleUnderline"/>
          <w:highlight w:val="green"/>
        </w:rPr>
        <w:t>15 years</w:t>
      </w:r>
      <w:r w:rsidRPr="00F01CCB">
        <w:rPr>
          <w:rStyle w:val="StyleUnderline"/>
        </w:rPr>
        <w:t xml:space="preserve">, only about 16% of molecules entering the clinical phase will be approved, and only </w:t>
      </w:r>
      <w:r w:rsidRPr="00F01CCB">
        <w:rPr>
          <w:rStyle w:val="StyleUnderline"/>
          <w:highlight w:val="green"/>
        </w:rPr>
        <w:t>1 in 5</w:t>
      </w:r>
      <w:r w:rsidRPr="00F01CCB">
        <w:rPr>
          <w:rStyle w:val="StyleUnderline"/>
        </w:rPr>
        <w:t xml:space="preserve"> marketed drugs </w:t>
      </w:r>
      <w:r w:rsidRPr="00F01CCB">
        <w:rPr>
          <w:rStyle w:val="StyleUnderline"/>
          <w:highlight w:val="green"/>
        </w:rPr>
        <w:t>generates revenues equal to</w:t>
      </w:r>
      <w:r w:rsidRPr="00F01CCB">
        <w:rPr>
          <w:rStyle w:val="StyleUnderline"/>
        </w:rPr>
        <w:t xml:space="preserve"> or greater than the research and development </w:t>
      </w:r>
      <w:r w:rsidRPr="00F01CCB">
        <w:rPr>
          <w:rStyle w:val="StyleUnderline"/>
          <w:highlight w:val="green"/>
        </w:rPr>
        <w:t>costs</w:t>
      </w:r>
      <w:r w:rsidRPr="00F01CCB">
        <w:rPr>
          <w:sz w:val="12"/>
        </w:rPr>
        <w:t xml:space="preserve"> involved.</w:t>
      </w:r>
      <w:hyperlink r:id="rId14" w:anchor="05" w:history="1">
        <w:r w:rsidRPr="00F01CCB">
          <w:rPr>
            <w:rStyle w:val="Hyperlink"/>
            <w:sz w:val="12"/>
            <w:vertAlign w:val="superscript"/>
          </w:rPr>
          <w:t>5</w:t>
        </w:r>
      </w:hyperlink>
      <w:r w:rsidRPr="00F01CCB">
        <w:rPr>
          <w:sz w:val="12"/>
        </w:rPr>
        <w:t> </w:t>
      </w:r>
    </w:p>
    <w:p w:rsidR="006D318B" w:rsidRPr="00F01CCB" w:rsidRDefault="006D318B" w:rsidP="006D318B">
      <w:pPr>
        <w:rPr>
          <w:sz w:val="12"/>
        </w:rPr>
      </w:pPr>
      <w:r w:rsidRPr="00F01CCB">
        <w:rPr>
          <w:sz w:val="12"/>
        </w:rPr>
        <w:t xml:space="preserve">In the pharmaceutical industry, </w:t>
      </w:r>
      <w:r w:rsidRPr="00F01CCB">
        <w:rPr>
          <w:rStyle w:val="Emphasis"/>
          <w:highlight w:val="green"/>
        </w:rPr>
        <w:t>i</w:t>
      </w:r>
      <w:r w:rsidRPr="00F01CCB">
        <w:rPr>
          <w:rStyle w:val="Emphasis"/>
        </w:rPr>
        <w:t xml:space="preserve">ntellectual </w:t>
      </w:r>
      <w:r w:rsidRPr="00F01CCB">
        <w:rPr>
          <w:rStyle w:val="Emphasis"/>
          <w:highlight w:val="green"/>
        </w:rPr>
        <w:t>p</w:t>
      </w:r>
      <w:r w:rsidRPr="00F01CCB">
        <w:rPr>
          <w:rStyle w:val="Emphasis"/>
        </w:rPr>
        <w:t xml:space="preserve">roperty, especially patents and data protection, </w:t>
      </w:r>
      <w:r w:rsidRPr="00F01CCB">
        <w:rPr>
          <w:rStyle w:val="Emphasis"/>
          <w:highlight w:val="green"/>
        </w:rPr>
        <w:t>is</w:t>
      </w:r>
      <w:r w:rsidRPr="00F01CCB">
        <w:rPr>
          <w:rStyle w:val="Emphasis"/>
        </w:rPr>
        <w:t xml:space="preserve"> thus considered an </w:t>
      </w:r>
      <w:r w:rsidRPr="00F01CCB">
        <w:rPr>
          <w:rStyle w:val="Emphasis"/>
          <w:highlight w:val="green"/>
        </w:rPr>
        <w:t>essential</w:t>
      </w:r>
      <w:r w:rsidRPr="00F01CCB">
        <w:rPr>
          <w:rStyle w:val="Emphasis"/>
        </w:rPr>
        <w:t xml:space="preserve"> instrument </w:t>
      </w:r>
      <w:r w:rsidRPr="00F01CCB">
        <w:rPr>
          <w:rStyle w:val="Emphasis"/>
          <w:highlight w:val="green"/>
        </w:rPr>
        <w:t>for</w:t>
      </w:r>
      <w:r w:rsidRPr="00F01CCB">
        <w:rPr>
          <w:rStyle w:val="Emphasis"/>
        </w:rPr>
        <w:t xml:space="preserve"> securing the economic benefits of an </w:t>
      </w:r>
      <w:r w:rsidRPr="00F01CCB">
        <w:rPr>
          <w:rStyle w:val="Emphasis"/>
          <w:highlight w:val="green"/>
        </w:rPr>
        <w:t>innovation</w:t>
      </w:r>
      <w:r w:rsidRPr="00F01CCB">
        <w:rPr>
          <w:sz w:val="12"/>
        </w:rPr>
        <w:t>.</w:t>
      </w:r>
    </w:p>
    <w:p w:rsidR="006D318B" w:rsidRPr="00F01CCB" w:rsidRDefault="006D318B" w:rsidP="006D318B">
      <w:pPr>
        <w:rPr>
          <w:sz w:val="10"/>
        </w:rPr>
      </w:pPr>
      <w:r w:rsidRPr="00F01CCB">
        <w:rPr>
          <w:rStyle w:val="StyleUnderline"/>
        </w:rPr>
        <w:t>Efforts in this intense period of development of a drug/vaccine against COVID-19</w:t>
      </w:r>
      <w:r w:rsidRPr="00F01CCB">
        <w:rPr>
          <w:sz w:val="10"/>
        </w:rPr>
        <w:t xml:space="preserve"> are of course focused on the technical aspects directly related to research and development. Nevertheless, those involved </w:t>
      </w:r>
      <w:r w:rsidRPr="00F01CCB">
        <w:rPr>
          <w:rStyle w:val="StyleUnderline"/>
        </w:rPr>
        <w:t>should not lose sight of the importance of collaboration agreements and access and benefit-sharing agreements</w:t>
      </w:r>
      <w:r w:rsidRPr="00F01CCB">
        <w:rPr>
          <w:sz w:val="10"/>
        </w:rPr>
        <w:t>. </w:t>
      </w:r>
    </w:p>
    <w:p w:rsidR="006D318B" w:rsidRDefault="006D318B" w:rsidP="006D318B"/>
    <w:p w:rsidR="006D318B" w:rsidRPr="00E86D81" w:rsidRDefault="006D318B" w:rsidP="006D318B">
      <w:pPr>
        <w:pStyle w:val="Heading4"/>
      </w:pPr>
      <w:r>
        <w:t>50% of medicine comes from IK</w:t>
      </w:r>
    </w:p>
    <w:p w:rsidR="006D318B" w:rsidRDefault="006D318B" w:rsidP="006D318B">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r>
        <w:t xml:space="preserve"> </w:t>
      </w:r>
    </w:p>
    <w:p w:rsidR="006D318B" w:rsidRPr="00821009" w:rsidRDefault="006D318B" w:rsidP="006D318B">
      <w:pPr>
        <w:pStyle w:val="ListParagraph"/>
        <w:numPr>
          <w:ilvl w:val="0"/>
          <w:numId w:val="17"/>
        </w:numPr>
      </w:pPr>
      <w:r>
        <w:t>TM = traditional medicine</w:t>
      </w:r>
    </w:p>
    <w:p w:rsidR="006D318B" w:rsidRPr="00A932E7" w:rsidRDefault="006D318B" w:rsidP="006D318B">
      <w:pPr>
        <w:rPr>
          <w:u w:val="single"/>
        </w:rPr>
      </w:pPr>
      <w:r w:rsidRPr="006905D6">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highlight w:val="green"/>
        </w:rPr>
        <w:t>.</w:t>
      </w:r>
      <w:r w:rsidRPr="006905D6">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rsidR="006D318B" w:rsidRDefault="006D318B" w:rsidP="006D318B"/>
    <w:p w:rsidR="006D318B" w:rsidRPr="00FE51A3" w:rsidRDefault="006D318B" w:rsidP="006D318B">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6D318B" w:rsidRPr="00FE51A3" w:rsidRDefault="006D318B" w:rsidP="006D318B">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w:t>
      </w:r>
      <w:r w:rsidRPr="00FE51A3">
        <w:rPr>
          <w:rFonts w:asciiTheme="majorHAnsi" w:hAnsiTheme="majorHAnsi" w:cstheme="majorHAnsi"/>
        </w:rPr>
        <w:lastRenderedPageBreak/>
        <w:t>Pharma Innovation Beyond the COVID-19 Crisis," RAND Corporation, 05-2020, https://www.rand.org/pubs/perspectives/PEA407-1.html] TDI</w:t>
      </w:r>
    </w:p>
    <w:p w:rsidR="006D318B" w:rsidRPr="00311A9C" w:rsidRDefault="006D318B" w:rsidP="006D318B">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rsidR="006D318B" w:rsidRDefault="006D318B" w:rsidP="006D318B">
      <w:pPr>
        <w:rPr>
          <w:sz w:val="12"/>
        </w:rPr>
      </w:pPr>
    </w:p>
    <w:p w:rsidR="006D318B" w:rsidRPr="00131F53" w:rsidRDefault="006D318B" w:rsidP="006D318B">
      <w:pPr>
        <w:pStyle w:val="Heading4"/>
      </w:pPr>
      <w:r w:rsidRPr="009A7E01">
        <w:rPr>
          <w:u w:val="single"/>
        </w:rPr>
        <w:t>Extinction</w:t>
      </w:r>
      <w:r>
        <w:t xml:space="preserve"> – </w:t>
      </w:r>
      <w:r w:rsidRPr="00131F53">
        <w:t xml:space="preserve">defense is wrong </w:t>
      </w:r>
    </w:p>
    <w:p w:rsidR="006D318B" w:rsidRPr="00131F53" w:rsidRDefault="006D318B" w:rsidP="006D318B">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6D318B" w:rsidRPr="00790705" w:rsidRDefault="006D318B" w:rsidP="006D318B">
      <w:pPr>
        <w:rPr>
          <w:sz w:val="12"/>
        </w:rPr>
      </w:pPr>
      <w:r w:rsidRPr="00790705">
        <w:rPr>
          <w:sz w:val="12"/>
        </w:rPr>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rsidR="006D318B" w:rsidRPr="00790705" w:rsidRDefault="006D318B" w:rsidP="006D318B">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rsidR="006D318B" w:rsidRPr="00790705" w:rsidRDefault="006D318B" w:rsidP="006D318B">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rsidR="006D318B" w:rsidRDefault="006D318B" w:rsidP="006D318B">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rsidR="006D318B" w:rsidRPr="006D318B" w:rsidRDefault="006D318B" w:rsidP="006D318B"/>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352E6DB8"/>
    <w:lvl w:ilvl="0" w:tplc="C6BCCC3A">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BA3A89"/>
    <w:multiLevelType w:val="hybridMultilevel"/>
    <w:tmpl w:val="91CCC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5"/>
  </w:num>
  <w:num w:numId="14">
    <w:abstractNumId w:val="14"/>
  </w:num>
  <w:num w:numId="15">
    <w:abstractNumId w:val="16"/>
  </w:num>
  <w:num w:numId="16">
    <w:abstractNumId w:val="13"/>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31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BD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18B"/>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37B"/>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68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F51"/>
    <w:rsid w:val="00F34C06"/>
    <w:rsid w:val="00F43EA3"/>
    <w:rsid w:val="00F50C55"/>
    <w:rsid w:val="00F57FFB"/>
    <w:rsid w:val="00F601E6"/>
    <w:rsid w:val="00F73954"/>
    <w:rsid w:val="00F842C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F7144C"/>
  <w14:defaultImageDpi w14:val="300"/>
  <w15:docId w15:val="{0A04B04E-04A1-3E43-8146-39B3730C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56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5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56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56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A56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5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5686"/>
  </w:style>
  <w:style w:type="character" w:customStyle="1" w:styleId="Heading1Char">
    <w:name w:val="Heading 1 Char"/>
    <w:aliases w:val="Pocket Char"/>
    <w:basedOn w:val="DefaultParagraphFont"/>
    <w:link w:val="Heading1"/>
    <w:uiPriority w:val="9"/>
    <w:rsid w:val="00AA56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56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568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A56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A568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AA568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A568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AA5686"/>
    <w:rPr>
      <w:color w:val="auto"/>
      <w:u w:val="none"/>
    </w:rPr>
  </w:style>
  <w:style w:type="character" w:styleId="Hyperlink">
    <w:name w:val="Hyperlink"/>
    <w:basedOn w:val="DefaultParagraphFont"/>
    <w:uiPriority w:val="99"/>
    <w:unhideWhenUsed/>
    <w:rsid w:val="00AA5686"/>
    <w:rPr>
      <w:color w:val="auto"/>
      <w:u w:val="none"/>
    </w:rPr>
  </w:style>
  <w:style w:type="paragraph" w:styleId="DocumentMap">
    <w:name w:val="Document Map"/>
    <w:basedOn w:val="Normal"/>
    <w:link w:val="DocumentMapChar"/>
    <w:uiPriority w:val="99"/>
    <w:semiHidden/>
    <w:unhideWhenUsed/>
    <w:rsid w:val="00AA56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5686"/>
    <w:rPr>
      <w:rFonts w:ascii="Lucida Grande" w:hAnsi="Lucida Grande" w:cs="Lucida Grande"/>
    </w:rPr>
  </w:style>
  <w:style w:type="paragraph" w:customStyle="1" w:styleId="textbold">
    <w:name w:val="text bold"/>
    <w:basedOn w:val="Normal"/>
    <w:link w:val="Emphasis"/>
    <w:uiPriority w:val="20"/>
    <w:qFormat/>
    <w:rsid w:val="006D318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ListParagraph">
    <w:name w:val="List Paragraph"/>
    <w:aliases w:val="6 font"/>
    <w:basedOn w:val="Normal"/>
    <w:uiPriority w:val="34"/>
    <w:qFormat/>
    <w:rsid w:val="006D318B"/>
    <w:pPr>
      <w:ind w:left="720"/>
      <w:contextualSpacing/>
    </w:pPr>
  </w:style>
  <w:style w:type="paragraph" w:customStyle="1" w:styleId="Emphasis1">
    <w:name w:val="Emphasis1"/>
    <w:basedOn w:val="Normal"/>
    <w:autoRedefine/>
    <w:uiPriority w:val="20"/>
    <w:qFormat/>
    <w:rsid w:val="00F33F51"/>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very.ca/en/publications/our-publications/3225-natural-products-and-pharmaceutical-innovations-what-are-the-patent-options-ip-intellectual-proper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very.ca/en/publications/our-publications/3225-natural-products-and-pharmaceutical-innovations-what-are-the-patent-options-ip-intellectual-property.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very.ca/en/publications/our-publications/3225-natural-products-and-pharmaceutical-innovations-what-are-the-patent-options-ip-intellectual-property.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lavery.ca/en/publications/our-publications/3225-natural-products-and-pharmaceutical-innovations-what-are-the-patent-options-ip-intellectual-property.html" TargetMode="External"/><Relationship Id="rId4" Type="http://schemas.openxmlformats.org/officeDocument/2006/relationships/customXml" Target="../customXml/item4.xml"/><Relationship Id="rId9" Type="http://schemas.openxmlformats.org/officeDocument/2006/relationships/hyperlink" Target="http://www.existential-risk.org/concept.pdf" TargetMode="External"/><Relationship Id="rId14" Type="http://schemas.openxmlformats.org/officeDocument/2006/relationships/hyperlink" Target="https://www.lavery.ca/en/publications/our-publications/3225-natural-products-and-pharmaceutical-innovations-what-are-the-patent-options-ip-intellectual-proper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16</Pages>
  <Words>5450</Words>
  <Characters>31067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6</cp:revision>
  <dcterms:created xsi:type="dcterms:W3CDTF">2021-10-16T15:12:00Z</dcterms:created>
  <dcterms:modified xsi:type="dcterms:W3CDTF">2021-10-16T15:44:00Z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