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E0121" w14:textId="21E96B58" w:rsidR="00893965" w:rsidRDefault="00893965" w:rsidP="00893965">
      <w:pPr>
        <w:pStyle w:val="Heading2"/>
      </w:pPr>
      <w:r w:rsidRPr="008710B3">
        <w:t>1</w:t>
      </w:r>
      <w:r>
        <w:t>N</w:t>
      </w:r>
      <w:r>
        <w:t>C</w:t>
      </w:r>
    </w:p>
    <w:p w14:paraId="7ABE042F" w14:textId="77777777" w:rsidR="00893965" w:rsidRPr="009811A7" w:rsidRDefault="00893965" w:rsidP="00893965">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66B37DED" w14:textId="77777777" w:rsidR="00893965" w:rsidRPr="009811A7" w:rsidRDefault="00893965" w:rsidP="00893965">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0EF2DADF" w14:textId="77777777" w:rsidR="00893965" w:rsidRPr="009811A7" w:rsidRDefault="00893965" w:rsidP="00893965">
      <w:pPr>
        <w:rPr>
          <w:sz w:val="12"/>
        </w:rPr>
      </w:pPr>
      <w:r w:rsidRPr="009811A7">
        <w:rPr>
          <w:sz w:val="12"/>
        </w:rPr>
        <w:t>Both distinctions are important</w:t>
      </w:r>
      <w:r w:rsidRPr="009811A7">
        <w:rPr>
          <w:rStyle w:val="StyleUnderline"/>
        </w:rPr>
        <w:t xml:space="preserve">. </w:t>
      </w:r>
      <w:r w:rsidRPr="00D64E8C">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5C35476" w14:textId="77777777" w:rsidR="00893965" w:rsidRPr="009811A7" w:rsidRDefault="00893965" w:rsidP="00893965">
      <w:pPr>
        <w:rPr>
          <w:sz w:val="12"/>
        </w:rPr>
      </w:pPr>
    </w:p>
    <w:p w14:paraId="018BF63B" w14:textId="77777777" w:rsidR="00893965" w:rsidRPr="009811A7" w:rsidRDefault="00893965" w:rsidP="00893965">
      <w:pPr>
        <w:pStyle w:val="Heading4"/>
        <w:rPr>
          <w:rFonts w:cs="Calibri"/>
        </w:rPr>
      </w:pPr>
      <w:r w:rsidRPr="009811A7">
        <w:rPr>
          <w:rFonts w:cs="Calibri"/>
        </w:rPr>
        <w:t xml:space="preserve">It applies to </w:t>
      </w:r>
      <w:r>
        <w:rPr>
          <w:rFonts w:cs="Calibri"/>
        </w:rPr>
        <w:t>IP protections</w:t>
      </w:r>
      <w:r w:rsidRPr="009811A7">
        <w:rPr>
          <w:rFonts w:cs="Calibri"/>
        </w:rPr>
        <w:t>:</w:t>
      </w:r>
    </w:p>
    <w:p w14:paraId="7171F439" w14:textId="77777777" w:rsidR="00893965" w:rsidRPr="009811A7" w:rsidRDefault="00893965" w:rsidP="00893965">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3BB310CA" w14:textId="77777777" w:rsidR="00893965" w:rsidRDefault="00893965" w:rsidP="00893965">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5F97F1EB" w14:textId="77777777" w:rsidR="00893965" w:rsidRPr="009811A7" w:rsidRDefault="00893965" w:rsidP="00893965"/>
    <w:p w14:paraId="6328AAB9" w14:textId="77777777" w:rsidR="00893965" w:rsidRPr="009811A7" w:rsidRDefault="00893965" w:rsidP="00893965">
      <w:pPr>
        <w:pStyle w:val="Heading4"/>
        <w:rPr>
          <w:rFonts w:cs="Calibri"/>
        </w:rPr>
      </w:pPr>
      <w:r w:rsidRPr="009811A7">
        <w:rPr>
          <w:rFonts w:cs="Calibri"/>
        </w:rPr>
        <w:lastRenderedPageBreak/>
        <w:t>Vote neg:</w:t>
      </w:r>
    </w:p>
    <w:p w14:paraId="2A2A59B1" w14:textId="77777777" w:rsidR="00893965" w:rsidRDefault="00893965" w:rsidP="00893965">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35BFB704" w14:textId="77777777" w:rsidR="00893965" w:rsidRDefault="00893965" w:rsidP="00893965">
      <w:pPr>
        <w:pStyle w:val="Heading4"/>
        <w:numPr>
          <w:ilvl w:val="1"/>
          <w:numId w:val="13"/>
        </w:numPr>
        <w:rPr>
          <w:rFonts w:cs="Calibri"/>
        </w:rPr>
      </w:pPr>
      <w:r w:rsidRPr="00A218AE">
        <w:rPr>
          <w:rFonts w:cs="Calibri"/>
        </w:rPr>
        <w:t xml:space="preserve">T is a constitutive rule of the activity and a basic </w:t>
      </w:r>
      <w:proofErr w:type="spellStart"/>
      <w:r w:rsidRPr="00A218AE">
        <w:rPr>
          <w:rFonts w:cs="Calibri"/>
        </w:rPr>
        <w:t>aff</w:t>
      </w:r>
      <w:proofErr w:type="spellEnd"/>
      <w:r w:rsidRPr="00A218AE">
        <w:rPr>
          <w:rFonts w:cs="Calibri"/>
        </w:rPr>
        <w:t xml:space="preserve"> burden – they agreed to debate the topic when they came here</w:t>
      </w:r>
    </w:p>
    <w:p w14:paraId="16DCD485" w14:textId="77777777" w:rsidR="00893965" w:rsidRDefault="00893965" w:rsidP="00893965">
      <w:pPr>
        <w:pStyle w:val="Heading4"/>
        <w:numPr>
          <w:ilvl w:val="1"/>
          <w:numId w:val="13"/>
        </w:numPr>
        <w:rPr>
          <w:rFonts w:cs="Calibri"/>
        </w:rPr>
      </w:pPr>
      <w:r w:rsidRPr="00A218AE">
        <w:rPr>
          <w:rFonts w:cs="Calibri"/>
        </w:rPr>
        <w:t xml:space="preserve">Jurisdiction – you can’t vote </w:t>
      </w:r>
      <w:proofErr w:type="spellStart"/>
      <w:r w:rsidRPr="00A218AE">
        <w:rPr>
          <w:rFonts w:cs="Calibri"/>
        </w:rPr>
        <w:t>aff</w:t>
      </w:r>
      <w:proofErr w:type="spellEnd"/>
      <w:r w:rsidRPr="00A218AE">
        <w:rPr>
          <w:rFonts w:cs="Calibri"/>
        </w:rPr>
        <w:t xml:space="preserve"> if they haven’t affirmed the resolution</w:t>
      </w:r>
    </w:p>
    <w:p w14:paraId="30D1B168" w14:textId="77777777" w:rsidR="00893965" w:rsidRPr="00A218AE" w:rsidRDefault="00893965" w:rsidP="00893965">
      <w:pPr>
        <w:pStyle w:val="Heading4"/>
        <w:numPr>
          <w:ilvl w:val="1"/>
          <w:numId w:val="13"/>
        </w:numPr>
        <w:rPr>
          <w:rFonts w:cs="Calibri"/>
        </w:rPr>
      </w:pPr>
      <w:r>
        <w:rPr>
          <w:rFonts w:cs="Calibri"/>
        </w:rPr>
        <w:t>Only</w:t>
      </w:r>
      <w:r w:rsidRPr="00A218AE">
        <w:rPr>
          <w:rFonts w:cs="Calibri"/>
        </w:rPr>
        <w:t xml:space="preserve"> stasis point we know before the round so it controls the internal link to engagement – there’s no way to use ground if debaters aren’t prepared to defend it</w:t>
      </w:r>
    </w:p>
    <w:p w14:paraId="778FBA5F" w14:textId="77777777" w:rsidR="00893965" w:rsidRPr="00A218AE" w:rsidRDefault="00893965" w:rsidP="00893965">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5FEDB550" w14:textId="77777777" w:rsidR="00893965" w:rsidRPr="005060BA" w:rsidRDefault="00893965" w:rsidP="00893965">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3D519FFF" w14:textId="77777777" w:rsidR="00893965" w:rsidRPr="00A218AE" w:rsidRDefault="00893965" w:rsidP="00893965">
      <w:pPr>
        <w:pStyle w:val="Heading4"/>
        <w:numPr>
          <w:ilvl w:val="0"/>
          <w:numId w:val="13"/>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7F73BC9E" w14:textId="77777777" w:rsidR="00893965" w:rsidRDefault="00893965" w:rsidP="00893965">
      <w:pPr>
        <w:pStyle w:val="Heading4"/>
        <w:rPr>
          <w:rFonts w:cs="Calibri"/>
        </w:rPr>
      </w:pPr>
      <w:r w:rsidRPr="009811A7">
        <w:rPr>
          <w:rFonts w:cs="Calibri"/>
        </w:rPr>
        <w:t>Paradigm issues:</w:t>
      </w:r>
    </w:p>
    <w:p w14:paraId="16180870" w14:textId="77777777" w:rsidR="00893965" w:rsidRDefault="00893965" w:rsidP="00893965">
      <w:pPr>
        <w:pStyle w:val="Heading4"/>
        <w:numPr>
          <w:ilvl w:val="0"/>
          <w:numId w:val="14"/>
        </w:numPr>
        <w:rPr>
          <w:rFonts w:cs="Calibri"/>
        </w:rPr>
      </w:pPr>
      <w:r w:rsidRPr="009811A7">
        <w:rPr>
          <w:rFonts w:cs="Calibri"/>
        </w:rPr>
        <w:t xml:space="preserve">Drop the debater – their abusive advocacy skewed the debate from the start </w:t>
      </w:r>
    </w:p>
    <w:p w14:paraId="33088116" w14:textId="77777777" w:rsidR="00893965" w:rsidRDefault="00893965" w:rsidP="00893965">
      <w:pPr>
        <w:pStyle w:val="Heading4"/>
        <w:numPr>
          <w:ilvl w:val="0"/>
          <w:numId w:val="14"/>
        </w:numPr>
        <w:rPr>
          <w:rFonts w:cs="Calibri"/>
        </w:rPr>
      </w:pPr>
      <w:r w:rsidRPr="007F7331">
        <w:rPr>
          <w:rFonts w:cs="Calibri"/>
        </w:rPr>
        <w:t>Comes before 1AR theory – NC abuse is responsive to them not being topical</w:t>
      </w:r>
    </w:p>
    <w:p w14:paraId="684CFF02" w14:textId="77777777" w:rsidR="00893965" w:rsidRDefault="00893965" w:rsidP="00893965">
      <w:pPr>
        <w:pStyle w:val="Heading4"/>
        <w:numPr>
          <w:ilvl w:val="0"/>
          <w:numId w:val="14"/>
        </w:numPr>
        <w:rPr>
          <w:rFonts w:cs="Calibri"/>
        </w:rPr>
      </w:pPr>
      <w:r w:rsidRPr="007F7331">
        <w:rPr>
          <w:rFonts w:cs="Calibri"/>
        </w:rPr>
        <w:t xml:space="preserve">No RVIs – fairness and education are a priori burdens – and encourages baiting – outweighs because if T is frivolous, they can beat it quickly </w:t>
      </w:r>
    </w:p>
    <w:p w14:paraId="6CDFDDA5" w14:textId="77777777" w:rsidR="00893965" w:rsidRDefault="00893965" w:rsidP="00893965">
      <w:pPr>
        <w:pStyle w:val="Heading4"/>
        <w:numPr>
          <w:ilvl w:val="0"/>
          <w:numId w:val="14"/>
        </w:numPr>
        <w:rPr>
          <w:rFonts w:cs="Calibri"/>
        </w:rPr>
      </w:pPr>
      <w:r w:rsidRPr="007F7331">
        <w:rPr>
          <w:rFonts w:cs="Calibri"/>
        </w:rPr>
        <w:t xml:space="preserve">Fairness is a voter </w:t>
      </w:r>
      <w:r w:rsidRPr="007F7331">
        <w:rPr>
          <w:rFonts w:cs="Calibri"/>
        </w:rPr>
        <w:softHyphen/>
        <w:t>– necessary to determine the better debater</w:t>
      </w:r>
    </w:p>
    <w:p w14:paraId="6346EEB0" w14:textId="77777777" w:rsidR="00893965" w:rsidRPr="007F7331" w:rsidRDefault="00893965" w:rsidP="00893965">
      <w:pPr>
        <w:pStyle w:val="Heading4"/>
        <w:numPr>
          <w:ilvl w:val="0"/>
          <w:numId w:val="14"/>
        </w:numPr>
        <w:rPr>
          <w:rFonts w:cs="Calibri"/>
        </w:rPr>
      </w:pPr>
      <w:r w:rsidRPr="007F7331">
        <w:rPr>
          <w:rFonts w:cs="Calibri"/>
        </w:rPr>
        <w:t>Education is a voter – why schools fund debate</w:t>
      </w:r>
    </w:p>
    <w:p w14:paraId="333FB792" w14:textId="77777777" w:rsidR="00893965" w:rsidRDefault="00893965" w:rsidP="00893965"/>
    <w:p w14:paraId="2E722984" w14:textId="0AE43894" w:rsidR="00893965" w:rsidRDefault="00893965" w:rsidP="00893965">
      <w:pPr>
        <w:pStyle w:val="Heading2"/>
      </w:pPr>
      <w:r>
        <w:lastRenderedPageBreak/>
        <w:t>1NC</w:t>
      </w:r>
    </w:p>
    <w:p w14:paraId="6CAF7FBF" w14:textId="77777777" w:rsidR="00893965" w:rsidRDefault="00893965" w:rsidP="00893965">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s. Member nations will support the proposal and adopt the results of consultation. </w:t>
      </w:r>
    </w:p>
    <w:p w14:paraId="23C4B794" w14:textId="77777777" w:rsidR="00893965" w:rsidRPr="00AE32FC" w:rsidRDefault="00893965" w:rsidP="00893965"/>
    <w:p w14:paraId="4CC35F8A" w14:textId="77777777" w:rsidR="00893965" w:rsidRDefault="00893965" w:rsidP="00893965">
      <w:pPr>
        <w:pStyle w:val="Heading4"/>
      </w:pPr>
      <w:r>
        <w:t xml:space="preserve">WHO says </w:t>
      </w:r>
      <w:proofErr w:type="gramStart"/>
      <w:r>
        <w:t>yes</w:t>
      </w:r>
      <w:proofErr w:type="gramEnd"/>
    </w:p>
    <w:p w14:paraId="7E350280" w14:textId="77777777" w:rsidR="00893965" w:rsidRPr="00E50C3C" w:rsidRDefault="00893965" w:rsidP="00893965">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 xml:space="preserve">Public health, innovation and intellectual property rights,” Report of the Commission on Intellectual Property Rights, Innovation, and Public Health, 2006] </w:t>
      </w:r>
      <w:proofErr w:type="gramStart"/>
      <w:r w:rsidRPr="00E50C3C">
        <w:rPr>
          <w:bCs/>
          <w:szCs w:val="16"/>
        </w:rPr>
        <w:t>JL</w:t>
      </w:r>
      <w:proofErr w:type="gramEnd"/>
    </w:p>
    <w:p w14:paraId="52ADF2BE" w14:textId="77777777" w:rsidR="00893965" w:rsidRPr="00E50C3C" w:rsidRDefault="00893965" w:rsidP="00893965">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764641CE" w14:textId="77777777" w:rsidR="00893965" w:rsidRPr="00E50C3C" w:rsidRDefault="00893965" w:rsidP="00893965">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 xml:space="preserve">When a drug patent is about to expire, one method some companies use is to file a </w:t>
      </w:r>
      <w:proofErr w:type="gramStart"/>
      <w:r w:rsidRPr="00E50C3C">
        <w:rPr>
          <w:rStyle w:val="StyleUnderline"/>
        </w:rPr>
        <w:t>brand new</w:t>
      </w:r>
      <w:proofErr w:type="gramEnd"/>
      <w:r w:rsidRPr="00E50C3C">
        <w:rPr>
          <w:rStyle w:val="StyleUnderline"/>
        </w:rPr>
        <w:t xml:space="preserve">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0057736D" w14:textId="77777777" w:rsidR="00893965" w:rsidRPr="00E50C3C" w:rsidRDefault="00893965" w:rsidP="00893965">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35F3CC2E" w14:textId="77777777" w:rsidR="00893965" w:rsidRPr="00E50C3C" w:rsidRDefault="00893965" w:rsidP="00893965">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64ECC14C" w14:textId="77777777" w:rsidR="00893965" w:rsidRPr="00E50C3C" w:rsidRDefault="00893965" w:rsidP="00893965">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xml:space="preserve">. Small and medium-sized generic firms in developing countries, in particular, are generally unable to sustain costly and lengthy </w:t>
      </w:r>
      <w:r w:rsidRPr="00E50C3C">
        <w:rPr>
          <w:rStyle w:val="StyleUnderline"/>
        </w:rPr>
        <w:lastRenderedPageBreak/>
        <w:t xml:space="preserve">legal </w:t>
      </w:r>
      <w:proofErr w:type="gramStart"/>
      <w:r w:rsidRPr="00E50C3C">
        <w:rPr>
          <w:rStyle w:val="StyleUnderline"/>
        </w:rPr>
        <w:t>challenges</w:t>
      </w:r>
      <w:r w:rsidRPr="00E50C3C">
        <w:rPr>
          <w:sz w:val="12"/>
        </w:rPr>
        <w:t>, and</w:t>
      </w:r>
      <w:proofErr w:type="gramEnd"/>
      <w:r w:rsidRPr="00E50C3C">
        <w:rPr>
          <w:sz w:val="12"/>
        </w:rPr>
        <w:t xml:space="preserve"> opt to avoid fields where litigation may arise. The outcome may be the reduction or suppression of competition and, in some cases higher prices for patients.</w:t>
      </w:r>
    </w:p>
    <w:p w14:paraId="69C07EDC" w14:textId="77777777" w:rsidR="00893965" w:rsidRDefault="00893965" w:rsidP="00893965">
      <w:pPr>
        <w:rPr>
          <w:rStyle w:val="Emphasis"/>
        </w:rPr>
      </w:pPr>
    </w:p>
    <w:p w14:paraId="18CFC099" w14:textId="77777777" w:rsidR="00893965" w:rsidRDefault="00893965" w:rsidP="00893965">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751C7F07" w14:textId="77777777" w:rsidR="00893965" w:rsidRPr="009F03D9" w:rsidRDefault="00893965" w:rsidP="00893965">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1421A64" w14:textId="77777777" w:rsidR="00893965" w:rsidRPr="009F03D9" w:rsidRDefault="00893965" w:rsidP="00893965">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3FFB4911" w14:textId="77777777" w:rsidR="00893965" w:rsidRPr="009F03D9" w:rsidRDefault="00893965" w:rsidP="00893965">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262EE9BE" w14:textId="77777777" w:rsidR="00893965" w:rsidRPr="009F03D9" w:rsidRDefault="00893965" w:rsidP="00893965">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70C9EC52" w14:textId="77777777" w:rsidR="00893965" w:rsidRDefault="00893965" w:rsidP="00893965"/>
    <w:p w14:paraId="0D7BFEE0" w14:textId="77777777" w:rsidR="00893965" w:rsidRDefault="00893965" w:rsidP="00893965">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68ED9F3B" w14:textId="77777777" w:rsidR="00893965" w:rsidRPr="005472CA" w:rsidRDefault="00893965" w:rsidP="00893965">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7F027BB0" w14:textId="77777777" w:rsidR="00893965" w:rsidRPr="005472CA" w:rsidRDefault="00893965" w:rsidP="00893965">
      <w:pPr>
        <w:rPr>
          <w:sz w:val="12"/>
        </w:rPr>
      </w:pPr>
      <w:r w:rsidRPr="00D64E8C">
        <w:rPr>
          <w:rStyle w:val="StyleUnderline"/>
          <w:highlight w:val="green"/>
        </w:rPr>
        <w:t>WHO</w:t>
      </w:r>
      <w:r w:rsidRPr="005472CA">
        <w:rPr>
          <w:rStyle w:val="StyleUnderline"/>
        </w:rPr>
        <w:t xml:space="preserve"> continues to </w:t>
      </w:r>
      <w:r w:rsidRPr="00D64E8C">
        <w:rPr>
          <w:rStyle w:val="StyleUnderline"/>
          <w:highlight w:val="green"/>
        </w:rPr>
        <w:t xml:space="preserve">play an </w:t>
      </w:r>
      <w:r w:rsidRPr="00D64E8C">
        <w:rPr>
          <w:rStyle w:val="Emphasis"/>
          <w:highlight w:val="green"/>
        </w:rPr>
        <w:t>indispensable 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1D50064D" w14:textId="77777777" w:rsidR="00893965" w:rsidRPr="005472CA" w:rsidRDefault="00893965" w:rsidP="00893965">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D64E8C">
        <w:rPr>
          <w:rStyle w:val="StyleUnderline"/>
          <w:highlight w:val="green"/>
        </w:rPr>
        <w:t>there have</w:t>
      </w:r>
      <w:r w:rsidRPr="005472CA">
        <w:rPr>
          <w:rStyle w:val="StyleUnderline"/>
        </w:rPr>
        <w:t xml:space="preserve"> also </w:t>
      </w:r>
      <w:r w:rsidRPr="00D64E8C">
        <w:rPr>
          <w:rStyle w:val="StyleUnderline"/>
          <w:highlight w:val="green"/>
        </w:rPr>
        <w:t xml:space="preserve">been </w:t>
      </w:r>
      <w:r w:rsidRPr="00D64E8C">
        <w:rPr>
          <w:rStyle w:val="Emphasis"/>
          <w:highlight w:val="green"/>
        </w:rPr>
        <w:t>30 new zoonotic diseases</w:t>
      </w:r>
      <w:r w:rsidRPr="00D64E8C">
        <w:rPr>
          <w:sz w:val="12"/>
          <w:highlight w:val="green"/>
        </w:rPr>
        <w:t xml:space="preserve">. </w:t>
      </w:r>
      <w:r w:rsidRPr="00D64E8C">
        <w:rPr>
          <w:rStyle w:val="StyleUnderline"/>
          <w:highlight w:val="green"/>
        </w:rPr>
        <w:t>A warming world</w:t>
      </w:r>
      <w:r w:rsidRPr="005472CA">
        <w:rPr>
          <w:rStyle w:val="StyleUnderline"/>
        </w:rPr>
        <w:t xml:space="preserve"> with increasing humidity, lost habitats and </w:t>
      </w:r>
      <w:r w:rsidRPr="005472CA">
        <w:rPr>
          <w:rStyle w:val="StyleUnderline"/>
        </w:rPr>
        <w:lastRenderedPageBreak/>
        <w:t xml:space="preserve">industrial livestock/poultry farming </w:t>
      </w:r>
      <w:r w:rsidRPr="00D64E8C">
        <w:rPr>
          <w:rStyle w:val="StyleUnderline"/>
          <w:highlight w:val="green"/>
        </w:rPr>
        <w:t>has</w:t>
      </w:r>
      <w:r w:rsidRPr="005472CA">
        <w:rPr>
          <w:rStyle w:val="StyleUnderline"/>
        </w:rPr>
        <w:t xml:space="preserve"> many </w:t>
      </w:r>
      <w:r w:rsidRPr="00D64E8C">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220E7916" w14:textId="77777777" w:rsidR="00893965" w:rsidRPr="005472CA" w:rsidRDefault="00893965" w:rsidP="00893965">
      <w:pPr>
        <w:rPr>
          <w:sz w:val="12"/>
        </w:rPr>
      </w:pPr>
      <w:r w:rsidRPr="00D64E8C">
        <w:rPr>
          <w:rStyle w:val="StyleUnderline"/>
          <w:highlight w:val="green"/>
        </w:rPr>
        <w:t>WHO coordinates</w:t>
      </w:r>
      <w:r w:rsidRPr="005472CA">
        <w:rPr>
          <w:rStyle w:val="StyleUnderline"/>
        </w:rPr>
        <w:t xml:space="preserve"> </w:t>
      </w:r>
      <w:r w:rsidRPr="005472CA">
        <w:rPr>
          <w:rStyle w:val="Emphasis"/>
        </w:rPr>
        <w:t xml:space="preserve">health </w:t>
      </w:r>
      <w:r w:rsidRPr="00D64E8C">
        <w:rPr>
          <w:rStyle w:val="Emphasis"/>
          <w:highlight w:val="green"/>
        </w:rPr>
        <w:t>research</w:t>
      </w:r>
      <w:r w:rsidRPr="005472CA">
        <w:rPr>
          <w:rStyle w:val="Emphasis"/>
        </w:rPr>
        <w:t xml:space="preserve">, clinical </w:t>
      </w:r>
      <w:r w:rsidRPr="00D64E8C">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D64E8C">
        <w:rPr>
          <w:rStyle w:val="StyleUnderline"/>
          <w:highlight w:val="green"/>
        </w:rPr>
        <w:t>It</w:t>
      </w:r>
      <w:r w:rsidRPr="005472CA">
        <w:rPr>
          <w:rStyle w:val="StyleUnderline"/>
        </w:rPr>
        <w:t xml:space="preserve"> has a rich track record of </w:t>
      </w:r>
      <w:r w:rsidRPr="00D64E8C">
        <w:rPr>
          <w:rStyle w:val="Emphasis"/>
          <w:highlight w:val="green"/>
        </w:rPr>
        <w:t>collaborat</w:t>
      </w:r>
      <w:r w:rsidRPr="005472CA">
        <w:rPr>
          <w:rStyle w:val="Emphasis"/>
        </w:rPr>
        <w:t xml:space="preserve">ing </w:t>
      </w:r>
      <w:r w:rsidRPr="00D64E8C">
        <w:rPr>
          <w:rStyle w:val="Emphasis"/>
          <w:highlight w:val="green"/>
        </w:rPr>
        <w:t xml:space="preserve">with </w:t>
      </w:r>
      <w:proofErr w:type="gramStart"/>
      <w:r w:rsidRPr="00D64E8C">
        <w:rPr>
          <w:rStyle w:val="Emphasis"/>
          <w:highlight w:val="green"/>
        </w:rPr>
        <w:t>private</w:t>
      </w:r>
      <w:r w:rsidRPr="005472CA">
        <w:rPr>
          <w:rStyle w:val="Emphasis"/>
        </w:rPr>
        <w:t>-sector</w:t>
      </w:r>
      <w:proofErr w:type="gramEnd"/>
      <w:r w:rsidRPr="005472CA">
        <w:rPr>
          <w:rStyle w:val="Emphasis"/>
        </w:rPr>
        <w:t xml:space="preserve"> </w:t>
      </w:r>
      <w:proofErr w:type="spellStart"/>
      <w:r w:rsidRPr="00D64E8C">
        <w:rPr>
          <w:rStyle w:val="Emphasis"/>
          <w:highlight w:val="green"/>
        </w:rPr>
        <w:t>organisations</w:t>
      </w:r>
      <w:proofErr w:type="spellEnd"/>
      <w:r w:rsidRPr="00D64E8C">
        <w:rPr>
          <w:rStyle w:val="Emphasis"/>
          <w:highlight w:val="green"/>
        </w:rPr>
        <w:t xml:space="preserve"> to advance r</w:t>
      </w:r>
      <w:r w:rsidRPr="005472CA">
        <w:rPr>
          <w:rStyle w:val="Emphasis"/>
        </w:rPr>
        <w:t xml:space="preserve">esearch </w:t>
      </w:r>
      <w:r w:rsidRPr="00D64E8C">
        <w:rPr>
          <w:rStyle w:val="Emphasis"/>
          <w:highlight w:val="green"/>
        </w:rPr>
        <w:t>and d</w:t>
      </w:r>
      <w:r w:rsidRPr="005472CA">
        <w:rPr>
          <w:rStyle w:val="Emphasis"/>
        </w:rPr>
        <w:t>evelopment</w:t>
      </w:r>
      <w:r w:rsidRPr="005472CA">
        <w:rPr>
          <w:rStyle w:val="StyleUnderline"/>
        </w:rPr>
        <w:t xml:space="preserve"> of health solutions </w:t>
      </w:r>
      <w:r w:rsidRPr="00D64E8C">
        <w:rPr>
          <w:rStyle w:val="StyleUnderline"/>
          <w:highlight w:val="green"/>
        </w:rPr>
        <w:t>and improving their access</w:t>
      </w:r>
      <w:r w:rsidRPr="005472CA">
        <w:rPr>
          <w:rStyle w:val="StyleUnderline"/>
        </w:rPr>
        <w:t xml:space="preserve"> in the global south</w:t>
      </w:r>
      <w:r w:rsidRPr="005472CA">
        <w:rPr>
          <w:sz w:val="12"/>
        </w:rPr>
        <w:t>.</w:t>
      </w:r>
    </w:p>
    <w:p w14:paraId="204814EA" w14:textId="77777777" w:rsidR="00893965" w:rsidRPr="005472CA" w:rsidRDefault="00893965" w:rsidP="00893965">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08571945" w14:textId="77777777" w:rsidR="00893965" w:rsidRPr="005472CA" w:rsidRDefault="00893965" w:rsidP="00893965">
      <w:pPr>
        <w:rPr>
          <w:sz w:val="12"/>
        </w:rPr>
      </w:pPr>
      <w:r w:rsidRPr="00D64E8C">
        <w:rPr>
          <w:rStyle w:val="StyleUnderline"/>
          <w:highlight w:val="green"/>
        </w:rPr>
        <w:t>I</w:t>
      </w:r>
      <w:r w:rsidRPr="005472CA">
        <w:rPr>
          <w:rStyle w:val="StyleUnderline"/>
        </w:rPr>
        <w:t xml:space="preserve">nternational </w:t>
      </w:r>
      <w:r w:rsidRPr="00D64E8C">
        <w:rPr>
          <w:rStyle w:val="StyleUnderline"/>
          <w:highlight w:val="green"/>
        </w:rPr>
        <w:t>H</w:t>
      </w:r>
      <w:r w:rsidRPr="005472CA">
        <w:rPr>
          <w:rStyle w:val="StyleUnderline"/>
        </w:rPr>
        <w:t xml:space="preserve">ealth </w:t>
      </w:r>
      <w:r w:rsidRPr="00D64E8C">
        <w:rPr>
          <w:rStyle w:val="StyleUnderline"/>
          <w:highlight w:val="green"/>
        </w:rPr>
        <w:t>R</w:t>
      </w:r>
      <w:r w:rsidRPr="005472CA">
        <w:rPr>
          <w:rStyle w:val="StyleUnderline"/>
        </w:rPr>
        <w:t>egulations, a 2005 agreement between 196 countries to work together for global health security</w:t>
      </w:r>
      <w:r w:rsidRPr="00D64E8C">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D64E8C">
        <w:rPr>
          <w:rStyle w:val="Emphasis"/>
          <w:highlight w:val="green"/>
        </w:rPr>
        <w:t>WHO coordinates</w:t>
      </w:r>
      <w:r w:rsidRPr="005472CA">
        <w:rPr>
          <w:rStyle w:val="Emphasis"/>
        </w:rPr>
        <w:t xml:space="preserve"> and helps build capacity to implement </w:t>
      </w:r>
      <w:proofErr w:type="gramStart"/>
      <w:r w:rsidRPr="00D64E8C">
        <w:rPr>
          <w:rStyle w:val="Emphasis"/>
          <w:highlight w:val="green"/>
        </w:rPr>
        <w:t>IHR</w:t>
      </w:r>
      <w:r w:rsidRPr="0083463D">
        <w:rPr>
          <w:sz w:val="12"/>
        </w:rPr>
        <w:t>.</w:t>
      </w:r>
      <w:proofErr w:type="gramEnd"/>
    </w:p>
    <w:p w14:paraId="107131C1" w14:textId="77777777" w:rsidR="00893965" w:rsidRDefault="00893965" w:rsidP="00893965"/>
    <w:p w14:paraId="618E69BD" w14:textId="77777777" w:rsidR="00893965" w:rsidRDefault="00893965" w:rsidP="00893965">
      <w:pPr>
        <w:pStyle w:val="Heading4"/>
      </w:pPr>
      <w:r>
        <w:t>WHO diplomacy solves great power conflict</w:t>
      </w:r>
    </w:p>
    <w:p w14:paraId="2F7B7371" w14:textId="77777777" w:rsidR="00893965" w:rsidRPr="00487F05" w:rsidRDefault="00893965" w:rsidP="00893965">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2E089297" w14:textId="77777777" w:rsidR="00893965" w:rsidRPr="00054633" w:rsidRDefault="00893965" w:rsidP="00893965">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19EC6AD9" w14:textId="77777777" w:rsidR="00893965" w:rsidRPr="00054633" w:rsidRDefault="00893965" w:rsidP="00893965">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DCBBEF5" w14:textId="77777777" w:rsidR="00893965" w:rsidRPr="00054633" w:rsidRDefault="00893965" w:rsidP="00893965">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2C69725B" w14:textId="77777777" w:rsidR="00893965" w:rsidRPr="00054633" w:rsidRDefault="00893965" w:rsidP="00893965">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 xml:space="preserve">This ability to </w:t>
      </w:r>
      <w:r w:rsidRPr="00D64E8C">
        <w:rPr>
          <w:rStyle w:val="Emphasis"/>
          <w:highlight w:val="green"/>
        </w:rPr>
        <w:lastRenderedPageBreak/>
        <w:t>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6454CD1F" w14:textId="77777777" w:rsidR="00893965" w:rsidRDefault="00893965" w:rsidP="00893965"/>
    <w:p w14:paraId="244E03B7" w14:textId="77777777" w:rsidR="00893965" w:rsidRPr="00A218AE" w:rsidRDefault="00893965" w:rsidP="00893965"/>
    <w:p w14:paraId="1322291B" w14:textId="77777777" w:rsidR="00893965" w:rsidRPr="009F03D9" w:rsidRDefault="00893965" w:rsidP="00893965"/>
    <w:p w14:paraId="208FB452" w14:textId="4E7056AC" w:rsidR="00893965" w:rsidRDefault="00893965" w:rsidP="00893965">
      <w:pPr>
        <w:pStyle w:val="Heading2"/>
      </w:pPr>
      <w:r>
        <w:lastRenderedPageBreak/>
        <w:t>1NC</w:t>
      </w:r>
    </w:p>
    <w:p w14:paraId="44057A84" w14:textId="77777777" w:rsidR="00893965" w:rsidRPr="00FE51A3" w:rsidRDefault="00893965" w:rsidP="00893965">
      <w:pPr>
        <w:pStyle w:val="Heading4"/>
        <w:rPr>
          <w:rFonts w:asciiTheme="majorHAnsi" w:hAnsiTheme="majorHAnsi" w:cstheme="majorHAnsi"/>
        </w:rPr>
      </w:pPr>
      <w:r w:rsidRPr="00FE51A3">
        <w:rPr>
          <w:rFonts w:asciiTheme="majorHAnsi" w:hAnsiTheme="majorHAnsi" w:cstheme="majorHAnsi"/>
        </w:rPr>
        <w:t>Biotech industry strong now.</w:t>
      </w:r>
    </w:p>
    <w:p w14:paraId="2139F3CB" w14:textId="77777777" w:rsidR="00893965" w:rsidRPr="00FE51A3" w:rsidRDefault="00893965" w:rsidP="00893965">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74A846B"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0C6D644"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7169691"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789B046D"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6E05BBF0"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Fundamentals continue strong</w:t>
      </w:r>
    </w:p>
    <w:p w14:paraId="6D07C738" w14:textId="77777777" w:rsidR="00893965" w:rsidRPr="00FE51A3" w:rsidRDefault="00893965" w:rsidP="00893965">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5E7291DF" w14:textId="77777777" w:rsidR="00893965" w:rsidRPr="00FE51A3" w:rsidRDefault="00893965" w:rsidP="00893965">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6C5312D1" w14:textId="77777777" w:rsidR="00893965" w:rsidRPr="00FE51A3" w:rsidRDefault="00893965" w:rsidP="00893965">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4A05D0F7"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5C2E6314"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7A9BDDD0"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lastRenderedPageBreak/>
        <w:t>More innovation on the horizon</w:t>
      </w:r>
    </w:p>
    <w:p w14:paraId="489975D0"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42499324" w14:textId="77777777" w:rsidR="00893965" w:rsidRPr="00FE51A3" w:rsidRDefault="00893965" w:rsidP="00893965">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B9E991B" w14:textId="77777777" w:rsidR="00893965" w:rsidRPr="00AF2830" w:rsidRDefault="00893965" w:rsidP="00893965"/>
    <w:p w14:paraId="2E647029" w14:textId="77777777" w:rsidR="00893965" w:rsidRDefault="00893965" w:rsidP="00893965">
      <w:pPr>
        <w:pStyle w:val="Heading4"/>
      </w:pPr>
      <w:r>
        <w:t>Secondary patents are key to innovation – recouping development costs and new applications of existing medicines</w:t>
      </w:r>
    </w:p>
    <w:p w14:paraId="5E2F9615" w14:textId="77777777" w:rsidR="00893965" w:rsidRPr="00E26DB2" w:rsidRDefault="00893965" w:rsidP="00893965">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14:paraId="629D7E84" w14:textId="77777777" w:rsidR="00893965" w:rsidRPr="00791E36" w:rsidRDefault="00893965" w:rsidP="00893965">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0" w:name="_Ref24555177"/>
      <w:bookmarkStart w:id="1" w:name="ifn157"/>
      <w:bookmarkEnd w:id="0"/>
      <w:r w:rsidRPr="00791E36">
        <w:rPr>
          <w:sz w:val="12"/>
          <w:vertAlign w:val="superscript"/>
        </w:rPr>
        <w:t>157</w:t>
      </w:r>
      <w:bookmarkEnd w:id="1"/>
      <w:r w:rsidRPr="00791E36">
        <w:rPr>
          <w:sz w:val="12"/>
        </w:rPr>
        <w:t> Defenders contend that there is nothing inherently suspect about secondary patents, which must meet the same requirements for patentability and pass through the same examination procedures as any other patent.</w:t>
      </w:r>
      <w:bookmarkStart w:id="2" w:name="ifn158"/>
      <w:r w:rsidRPr="00791E36">
        <w:rPr>
          <w:sz w:val="12"/>
          <w:vertAlign w:val="superscript"/>
        </w:rPr>
        <w:t>158</w:t>
      </w:r>
      <w:bookmarkEnd w:id="2"/>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3" w:name="ifn159"/>
      <w:r w:rsidRPr="00791E36">
        <w:rPr>
          <w:sz w:val="12"/>
          <w:vertAlign w:val="superscript"/>
        </w:rPr>
        <w:t>159</w:t>
      </w:r>
      <w:bookmarkEnd w:id="3"/>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4" w:name="ifn160"/>
      <w:r w:rsidRPr="00791E36">
        <w:rPr>
          <w:sz w:val="12"/>
          <w:vertAlign w:val="superscript"/>
        </w:rPr>
        <w:t>160</w:t>
      </w:r>
      <w:bookmarkEnd w:id="4"/>
      <w:r w:rsidRPr="00791E36">
        <w:rPr>
          <w:sz w:val="12"/>
        </w:rPr>
        <w:t> </w:t>
      </w:r>
      <w:r w:rsidRPr="00791E36">
        <w:rPr>
          <w:rStyle w:val="StyleUnderline"/>
        </w:rPr>
        <w:t xml:space="preserve">One example arguably supporting this view is the drug </w:t>
      </w:r>
      <w:proofErr w:type="spellStart"/>
      <w:r w:rsidRPr="00791E36">
        <w:rPr>
          <w:rStyle w:val="StyleUnderline"/>
        </w:rPr>
        <w:t>Evista</w:t>
      </w:r>
      <w:proofErr w:type="spellEnd"/>
      <w:r w:rsidRPr="00791E36">
        <w:rPr>
          <w:sz w:val="12"/>
        </w:rPr>
        <w:t xml:space="preserve"> (</w:t>
      </w:r>
      <w:proofErr w:type="spellStart"/>
      <w:r w:rsidRPr="00791E36">
        <w:rPr>
          <w:sz w:val="12"/>
        </w:rPr>
        <w:t>raloxifine</w:t>
      </w:r>
      <w:proofErr w:type="spellEnd"/>
      <w:r w:rsidRPr="00791E36">
        <w:rPr>
          <w:sz w:val="12"/>
        </w:rPr>
        <w:t xml:space="preserve">). </w:t>
      </w:r>
      <w:proofErr w:type="spellStart"/>
      <w:r w:rsidRPr="00791E36">
        <w:rPr>
          <w:rStyle w:val="StyleUnderline"/>
          <w:highlight w:val="green"/>
        </w:rPr>
        <w:t>Evista</w:t>
      </w:r>
      <w:proofErr w:type="spellEnd"/>
      <w:r w:rsidRPr="00791E36">
        <w:rPr>
          <w:rStyle w:val="StyleUnderline"/>
          <w:highlight w:val="green"/>
        </w:rPr>
        <w:t xml:space="preserve">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5" w:name="ifn161"/>
      <w:r w:rsidRPr="00791E36">
        <w:rPr>
          <w:sz w:val="12"/>
          <w:vertAlign w:val="superscript"/>
        </w:rPr>
        <w:t>161</w:t>
      </w:r>
      <w:bookmarkEnd w:id="5"/>
      <w:r w:rsidRPr="00791E36">
        <w:rPr>
          <w:sz w:val="12"/>
        </w:rPr>
        <w:t xml:space="preserve"> At that time, there were only a few years left on </w:t>
      </w:r>
      <w:proofErr w:type="spellStart"/>
      <w:r w:rsidRPr="00791E36">
        <w:rPr>
          <w:sz w:val="12"/>
        </w:rPr>
        <w:t>Evista's</w:t>
      </w:r>
      <w:proofErr w:type="spellEnd"/>
      <w:r w:rsidRPr="00791E36">
        <w:rPr>
          <w:sz w:val="12"/>
        </w:rPr>
        <w:t xml:space="preserve"> initial patent, which was filed in 1983.</w:t>
      </w:r>
      <w:bookmarkStart w:id="6" w:name="ifn162"/>
      <w:r w:rsidRPr="00791E36">
        <w:rPr>
          <w:sz w:val="12"/>
          <w:vertAlign w:val="superscript"/>
        </w:rPr>
        <w:t>162</w:t>
      </w:r>
      <w:bookmarkEnd w:id="6"/>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7" w:name="ifn163"/>
      <w:r w:rsidRPr="00791E36">
        <w:rPr>
          <w:sz w:val="12"/>
          <w:vertAlign w:val="superscript"/>
        </w:rPr>
        <w:t>163</w:t>
      </w:r>
      <w:bookmarkEnd w:id="7"/>
    </w:p>
    <w:p w14:paraId="4F0B7474" w14:textId="77777777" w:rsidR="00893965" w:rsidRPr="00791E36" w:rsidRDefault="00893965" w:rsidP="00893965">
      <w:pPr>
        <w:rPr>
          <w:sz w:val="12"/>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8" w:name="ifn164"/>
      <w:r w:rsidRPr="00791E36">
        <w:rPr>
          <w:rStyle w:val="StyleUnderline"/>
        </w:rPr>
        <w:t>164</w:t>
      </w:r>
      <w:bookmarkEnd w:id="8"/>
      <w:r w:rsidRPr="00791E36">
        <w:rPr>
          <w:rStyle w:val="StyleUnderline"/>
        </w:rPr>
        <w:t> Researchers subsequently developed an improved formulation</w:t>
      </w:r>
      <w:r w:rsidRPr="00791E36">
        <w:rPr>
          <w:sz w:val="12"/>
        </w:rPr>
        <w:t xml:space="preserve"> with significantly decreased risk of this side effect.</w:t>
      </w:r>
      <w:bookmarkStart w:id="9" w:name="ifn165"/>
      <w:r w:rsidRPr="00791E36">
        <w:rPr>
          <w:sz w:val="12"/>
          <w:vertAlign w:val="superscript"/>
        </w:rPr>
        <w:t>165</w:t>
      </w:r>
      <w:bookmarkEnd w:id="9"/>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0" w:name="ifn166"/>
      <w:r w:rsidRPr="00791E36">
        <w:rPr>
          <w:sz w:val="12"/>
          <w:vertAlign w:val="superscript"/>
        </w:rPr>
        <w:t>166</w:t>
      </w:r>
      <w:bookmarkEnd w:id="10"/>
    </w:p>
    <w:p w14:paraId="057F7291" w14:textId="77777777" w:rsidR="00893965" w:rsidRPr="00791E36" w:rsidRDefault="00893965" w:rsidP="00893965">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Orange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1" w:name="ifn167"/>
      <w:r w:rsidRPr="00791E36">
        <w:rPr>
          <w:vertAlign w:val="superscript"/>
        </w:rPr>
        <w:t>167</w:t>
      </w:r>
      <w:bookmarkEnd w:id="11"/>
      <w:r w:rsidRPr="00791E36">
        <w:t> </w:t>
      </w:r>
      <w:r w:rsidRPr="00791E36">
        <w:rPr>
          <w:rStyle w:val="StyleUnderline"/>
        </w:rPr>
        <w:t xml:space="preserve">This effective </w:t>
      </w:r>
      <w:r w:rsidRPr="00791E36">
        <w:rPr>
          <w:rStyle w:val="StyleUnderline"/>
        </w:rPr>
        <w:lastRenderedPageBreak/>
        <w:t xml:space="preserve">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2" w:name="ifn168"/>
      <w:r w:rsidRPr="00791E36">
        <w:rPr>
          <w:vertAlign w:val="superscript"/>
        </w:rPr>
        <w:t>168</w:t>
      </w:r>
      <w:bookmarkEnd w:id="12"/>
    </w:p>
    <w:p w14:paraId="055AD1C9" w14:textId="77777777" w:rsidR="00893965" w:rsidRDefault="00893965" w:rsidP="00893965"/>
    <w:p w14:paraId="082ECCD6" w14:textId="77777777" w:rsidR="00893965" w:rsidRPr="00FE51A3" w:rsidRDefault="00893965" w:rsidP="00893965">
      <w:pPr>
        <w:pStyle w:val="Heading4"/>
        <w:rPr>
          <w:rFonts w:asciiTheme="majorHAnsi" w:hAnsiTheme="majorHAnsi" w:cstheme="majorHAnsi"/>
        </w:rPr>
      </w:pPr>
      <w:bookmarkStart w:id="13" w:name="_GoBack"/>
      <w:bookmarkEnd w:id="13"/>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0674E5CB" w14:textId="77777777" w:rsidR="00893965" w:rsidRPr="00FE51A3" w:rsidRDefault="00893965" w:rsidP="00893965">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DA04B20" w14:textId="77777777" w:rsidR="00893965" w:rsidRPr="00311A9C" w:rsidRDefault="00893965" w:rsidP="00893965">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196EF52D" w14:textId="77777777" w:rsidR="00893965" w:rsidRDefault="00893965" w:rsidP="00893965">
      <w:pPr>
        <w:rPr>
          <w:sz w:val="12"/>
        </w:rPr>
      </w:pPr>
    </w:p>
    <w:p w14:paraId="50C07E10" w14:textId="77777777" w:rsidR="00893965" w:rsidRPr="00131F53" w:rsidRDefault="00893965" w:rsidP="00893965">
      <w:pPr>
        <w:pStyle w:val="Heading4"/>
      </w:pPr>
      <w:r w:rsidRPr="009A7E01">
        <w:rPr>
          <w:u w:val="single"/>
        </w:rPr>
        <w:t>Extinction</w:t>
      </w:r>
      <w:r>
        <w:t xml:space="preserve"> – </w:t>
      </w:r>
      <w:r w:rsidRPr="00131F53">
        <w:t xml:space="preserve">defense is wrong </w:t>
      </w:r>
    </w:p>
    <w:p w14:paraId="03B106EE" w14:textId="77777777" w:rsidR="00893965" w:rsidRPr="00131F53" w:rsidRDefault="00893965" w:rsidP="00893965">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9638724" w14:textId="77777777" w:rsidR="00893965" w:rsidRPr="00790705" w:rsidRDefault="00893965" w:rsidP="00893965">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3A445023" w14:textId="77777777" w:rsidR="00893965" w:rsidRPr="00790705" w:rsidRDefault="00893965" w:rsidP="00893965">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69C3234F" w14:textId="77777777" w:rsidR="00893965" w:rsidRPr="00790705" w:rsidRDefault="00893965" w:rsidP="00893965">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E2E6A4F" w14:textId="77777777" w:rsidR="00893965" w:rsidRDefault="00893965" w:rsidP="00893965">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9CEAE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39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AF7"/>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965"/>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B5B9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43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8A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1A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E33F06"/>
  <w14:defaultImageDpi w14:val="300"/>
  <w15:docId w15:val="{42E3F766-8B18-5742-9D1B-FEB9DFBE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9396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93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39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939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939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3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965"/>
  </w:style>
  <w:style w:type="character" w:customStyle="1" w:styleId="Heading1Char">
    <w:name w:val="Heading 1 Char"/>
    <w:aliases w:val="Pocket Char"/>
    <w:basedOn w:val="DefaultParagraphFont"/>
    <w:link w:val="Heading1"/>
    <w:uiPriority w:val="9"/>
    <w:rsid w:val="008939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396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939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8939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9396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89396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9396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939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2,Block Char1,Heading 3 Char1 Char1"/>
    <w:basedOn w:val="DefaultParagraphFont"/>
    <w:uiPriority w:val="99"/>
    <w:unhideWhenUsed/>
    <w:rsid w:val="00893965"/>
    <w:rPr>
      <w:color w:val="auto"/>
      <w:u w:val="none"/>
    </w:rPr>
  </w:style>
  <w:style w:type="paragraph" w:styleId="DocumentMap">
    <w:name w:val="Document Map"/>
    <w:basedOn w:val="Normal"/>
    <w:link w:val="DocumentMapChar"/>
    <w:uiPriority w:val="99"/>
    <w:semiHidden/>
    <w:unhideWhenUsed/>
    <w:rsid w:val="008939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3965"/>
    <w:rPr>
      <w:rFonts w:ascii="Lucida Grande" w:hAnsi="Lucida Grande" w:cs="Lucida Grande"/>
    </w:rPr>
  </w:style>
  <w:style w:type="paragraph" w:customStyle="1" w:styleId="textbold">
    <w:name w:val="text bold"/>
    <w:basedOn w:val="Normal"/>
    <w:link w:val="Emphasis"/>
    <w:uiPriority w:val="20"/>
    <w:qFormat/>
    <w:rsid w:val="0089396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E651A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BE3DB1-0C60-4D45-BA2A-A54D079B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5643</Words>
  <Characters>32168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2021-10-08T22:00:00Z</dcterms:created>
  <dcterms:modified xsi:type="dcterms:W3CDTF">2021-10-08T22:00:00Z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