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592" w14:textId="77777777" w:rsidR="004C16A1" w:rsidRDefault="004C16A1" w:rsidP="004C16A1">
      <w:pPr>
        <w:pStyle w:val="Heading1"/>
      </w:pPr>
      <w:r>
        <w:t xml:space="preserve">Genomic Medicines AC </w:t>
      </w:r>
    </w:p>
    <w:p w14:paraId="0150D6F0" w14:textId="362698E6" w:rsidR="004C16A1" w:rsidRDefault="004C16A1" w:rsidP="004C16A1">
      <w:pPr>
        <w:pStyle w:val="Heading2"/>
      </w:pPr>
      <w:r>
        <w:t>AC</w:t>
      </w:r>
    </w:p>
    <w:p w14:paraId="155260F3" w14:textId="77777777" w:rsidR="004C16A1" w:rsidRDefault="004C16A1" w:rsidP="004C16A1">
      <w:pPr>
        <w:pStyle w:val="Heading3"/>
      </w:pPr>
      <w:r>
        <w:t xml:space="preserve">Advantage 1 – Innovation </w:t>
      </w:r>
    </w:p>
    <w:p w14:paraId="145E00C1" w14:textId="77777777" w:rsidR="004C16A1" w:rsidRPr="00790705" w:rsidRDefault="004C16A1" w:rsidP="004C16A1">
      <w:pPr>
        <w:pStyle w:val="Heading4"/>
      </w:pPr>
      <w:r>
        <w:t>Advantage 1 is innovation:</w:t>
      </w:r>
    </w:p>
    <w:p w14:paraId="754FAD1C" w14:textId="77777777" w:rsidR="004C16A1" w:rsidRDefault="004C16A1" w:rsidP="004C16A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CB10E30" w14:textId="77777777" w:rsidR="004C16A1" w:rsidRPr="008253CA" w:rsidRDefault="004C16A1" w:rsidP="004C16A1">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7F79FECE" w14:textId="77777777" w:rsidR="004C16A1" w:rsidRPr="008C3C7E" w:rsidRDefault="004C16A1" w:rsidP="004C16A1">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06312DF5" w14:textId="77777777" w:rsidR="004C16A1" w:rsidRPr="008253CA" w:rsidRDefault="004C16A1" w:rsidP="004C16A1">
      <w:pPr>
        <w:rPr>
          <w:rStyle w:val="StyleUnderline"/>
        </w:rPr>
      </w:pPr>
      <w:r w:rsidRPr="008253CA">
        <w:rPr>
          <w:rStyle w:val="StyleUnderline"/>
        </w:rPr>
        <w:t xml:space="preserve">The biggest challenge for anyone trying to sort out CRISPR patent rights is fully understanding just how many patents there are. </w:t>
      </w:r>
    </w:p>
    <w:p w14:paraId="27BCD311" w14:textId="77777777" w:rsidR="004C16A1" w:rsidRPr="008253CA" w:rsidRDefault="004C16A1" w:rsidP="004C16A1">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1F9FC75" w14:textId="77777777" w:rsidR="004C16A1" w:rsidRPr="008253CA" w:rsidRDefault="004C16A1" w:rsidP="004C16A1">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9D0C44">
        <w:rPr>
          <w:rStyle w:val="Emphasis"/>
        </w:rPr>
        <w:t>new patents are filed at a rate of 200 per month.</w:t>
      </w:r>
    </w:p>
    <w:p w14:paraId="3E56E0B5" w14:textId="77777777" w:rsidR="004C16A1" w:rsidRDefault="004C16A1" w:rsidP="004C16A1">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 xml:space="preserve">When the </w:t>
      </w:r>
      <w:r w:rsidRPr="004C16A1">
        <w:rPr>
          <w:sz w:val="12"/>
        </w:rPr>
        <w:t>dust settles—if it does at all—</w:t>
      </w:r>
      <w:r w:rsidRPr="004C16A1">
        <w:rPr>
          <w:rStyle w:val="StyleUnderline"/>
        </w:rPr>
        <w:t>the hope is that CRISPR technology will be accessible for a wide range of applications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5F74F2E" w14:textId="77777777" w:rsidR="004C16A1" w:rsidRDefault="004C16A1" w:rsidP="004C16A1">
      <w:pPr>
        <w:rPr>
          <w:rStyle w:val="Emphasis"/>
        </w:rPr>
      </w:pPr>
    </w:p>
    <w:p w14:paraId="1BA55FDF" w14:textId="77777777" w:rsidR="004C16A1" w:rsidRDefault="004C16A1" w:rsidP="004C16A1">
      <w:pPr>
        <w:pStyle w:val="Heading4"/>
      </w:pPr>
      <w:r w:rsidRPr="00F50A3A">
        <w:t xml:space="preserve">Makes development of </w:t>
      </w:r>
      <w:r>
        <w:t>genomic medicine</w:t>
      </w:r>
      <w:r w:rsidRPr="00F50A3A">
        <w:t xml:space="preserve"> impossible </w:t>
      </w:r>
      <w:r>
        <w:t>–</w:t>
      </w:r>
      <w:r w:rsidRPr="00F50A3A">
        <w:t xml:space="preserve"> </w:t>
      </w:r>
      <w:r>
        <w:t>3 warrants:</w:t>
      </w:r>
    </w:p>
    <w:p w14:paraId="325B9E6B" w14:textId="77777777" w:rsidR="004C16A1" w:rsidRPr="008C3C7E" w:rsidRDefault="004C16A1" w:rsidP="004C16A1"/>
    <w:p w14:paraId="7FD92F61" w14:textId="77777777" w:rsidR="004C16A1" w:rsidRPr="004A0F83" w:rsidRDefault="004C16A1" w:rsidP="004C16A1">
      <w:pPr>
        <w:pStyle w:val="Heading4"/>
        <w:numPr>
          <w:ilvl w:val="0"/>
          <w:numId w:val="13"/>
        </w:numPr>
      </w:pPr>
      <w:r>
        <w:t xml:space="preserve">Patent disputes are imminent -- new entities and foreign governments getting involved ensures </w:t>
      </w:r>
      <w:r w:rsidRPr="001B0F42">
        <w:t>conflict</w:t>
      </w:r>
    </w:p>
    <w:p w14:paraId="49FBAB80" w14:textId="77777777" w:rsidR="004C16A1" w:rsidRPr="001C6686" w:rsidRDefault="004C16A1" w:rsidP="004C16A1">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6EF32BA" w14:textId="77777777" w:rsidR="004C16A1" w:rsidRPr="001C6686" w:rsidRDefault="004C16A1" w:rsidP="004C16A1">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179F29F" w14:textId="77777777" w:rsidR="004C16A1" w:rsidRPr="008C3C7E" w:rsidRDefault="004C16A1" w:rsidP="004C16A1">
      <w:pPr>
        <w:rPr>
          <w:sz w:val="12"/>
        </w:rPr>
      </w:pPr>
      <w:r w:rsidRPr="00B52D35">
        <w:rPr>
          <w:rStyle w:val="StyleUnderline"/>
        </w:rPr>
        <w:t>Additional</w:t>
      </w:r>
      <w:r w:rsidRPr="001C6686">
        <w:rPr>
          <w:rStyle w:val="StyleUnderline"/>
        </w:rPr>
        <w:t xml:space="preserve"> </w:t>
      </w:r>
      <w:r w:rsidRPr="00B52D35">
        <w:rPr>
          <w:rStyle w:val="StyleUnderline"/>
          <w:highlight w:val="green"/>
        </w:rPr>
        <w:t>CRISPR disputes</w:t>
      </w:r>
      <w:r w:rsidRPr="00B52D35">
        <w:rPr>
          <w:rStyle w:val="StyleUnderline"/>
        </w:rPr>
        <w:t xml:space="preserve"> will </w:t>
      </w:r>
      <w:r w:rsidRPr="00B52D35">
        <w:rPr>
          <w:rStyle w:val="StyleUnderline"/>
          <w:highlight w:val="green"/>
        </w:rPr>
        <w:t>happen 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52D35">
        <w:rPr>
          <w:rStyle w:val="StyleUnderline"/>
        </w:rPr>
        <w:t>EPO’s</w:t>
      </w:r>
      <w:r w:rsidRPr="00B52D35">
        <w:rPr>
          <w:sz w:val="12"/>
        </w:rPr>
        <w:t>) Opposition Division (</w:t>
      </w:r>
      <w:r w:rsidRPr="00B52D35">
        <w:rPr>
          <w:rStyle w:val="StyleUnderline"/>
        </w:rPr>
        <w:t>OD</w:t>
      </w:r>
      <w:r w:rsidRPr="00B52D35">
        <w:rPr>
          <w:sz w:val="12"/>
        </w:rPr>
        <w:t>) will kick things</w:t>
      </w:r>
      <w:r w:rsidRPr="008C3C7E">
        <w:rPr>
          <w:sz w:val="12"/>
        </w:rPr>
        <w:t xml:space="preserve">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E5D8A91" w14:textId="77777777" w:rsidR="004C16A1" w:rsidRDefault="004C16A1" w:rsidP="004C16A1">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5599971E" w14:textId="77777777" w:rsidR="004C16A1" w:rsidRPr="008C3C7E" w:rsidRDefault="004C16A1" w:rsidP="004C16A1">
      <w:pPr>
        <w:rPr>
          <w:sz w:val="12"/>
        </w:rPr>
      </w:pPr>
    </w:p>
    <w:p w14:paraId="00474DD1" w14:textId="77777777" w:rsidR="004C16A1" w:rsidRDefault="004C16A1" w:rsidP="004C16A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A80FE54" w14:textId="77777777" w:rsidR="004C16A1" w:rsidRPr="006F3007" w:rsidRDefault="004C16A1" w:rsidP="004C16A1">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51A9A738" w14:textId="77777777" w:rsidR="004C16A1" w:rsidRPr="008C3C7E" w:rsidRDefault="004C16A1" w:rsidP="004C16A1">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480FB3D" w14:textId="77777777" w:rsidR="004C16A1" w:rsidRPr="00F05B8A" w:rsidRDefault="004C16A1" w:rsidP="004C16A1">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52D35">
        <w:rPr>
          <w:rStyle w:val="StyleUnderline"/>
        </w:rPr>
        <w:t>Universities may simply be unwilling to enter into such agreements in the first instance, or, perhaps more perniciously, discourage their faculty from informally developing such networks</w:t>
      </w:r>
      <w:r w:rsidRPr="00B52D35">
        <w:rPr>
          <w:sz w:val="12"/>
        </w:rPr>
        <w:t>.26 While the empirical evidence for such a diminish</w:t>
      </w:r>
      <w:r w:rsidRPr="008C3C7E">
        <w:rPr>
          <w:sz w:val="12"/>
        </w:rPr>
        <w:t xml:space="preserve">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334295" w14:textId="77777777" w:rsidR="004C16A1" w:rsidRPr="008C3C7E" w:rsidRDefault="004C16A1" w:rsidP="004C16A1">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w:t>
      </w:r>
      <w:r w:rsidRPr="004C16A1">
        <w:rPr>
          <w:rStyle w:val="Emphasis"/>
        </w:rPr>
        <w:t>—until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 xml:space="preserve">patent disputes are costly, </w:t>
      </w:r>
      <w:r w:rsidRPr="004C16A1">
        <w:rPr>
          <w:rStyle w:val="Emphasis"/>
          <w:highlight w:val="green"/>
        </w:rPr>
        <w:t>high stakes, and high profile</w:t>
      </w:r>
      <w:r w:rsidRPr="004C16A1">
        <w:rPr>
          <w:sz w:val="12"/>
          <w:highlight w:val="green"/>
        </w:rPr>
        <w:t>.</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52D35">
        <w:rPr>
          <w:rStyle w:val="StyleUnderline"/>
        </w:rPr>
        <w:t>and potentially 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08E0581" w14:textId="77777777" w:rsidR="004C16A1" w:rsidRPr="008C3C7E" w:rsidRDefault="004C16A1" w:rsidP="004C16A1">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75E241" w14:textId="77777777" w:rsidR="004C16A1" w:rsidRDefault="004C16A1" w:rsidP="004C16A1">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C75C0E3" w14:textId="77777777" w:rsidR="004C16A1" w:rsidRPr="00B84E8D" w:rsidRDefault="004C16A1" w:rsidP="004C16A1">
      <w:pPr>
        <w:rPr>
          <w:rStyle w:val="Emphasis"/>
        </w:rPr>
      </w:pPr>
    </w:p>
    <w:p w14:paraId="7C75A62B" w14:textId="77777777" w:rsidR="004C16A1" w:rsidRDefault="004C16A1" w:rsidP="004C16A1">
      <w:pPr>
        <w:pStyle w:val="Heading4"/>
        <w:numPr>
          <w:ilvl w:val="0"/>
          <w:numId w:val="13"/>
        </w:numPr>
      </w:pPr>
      <w:r>
        <w:t>Patent disputes create fears of litigation that deter genome research and investment</w:t>
      </w:r>
    </w:p>
    <w:p w14:paraId="4874BA6E" w14:textId="77777777" w:rsidR="004C16A1" w:rsidRPr="00414A3F" w:rsidRDefault="004C16A1" w:rsidP="004C16A1">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20DCB6" w14:textId="77777777" w:rsidR="004C16A1" w:rsidRPr="001E3FBC" w:rsidRDefault="004C16A1" w:rsidP="004C16A1">
      <w:pPr>
        <w:rPr>
          <w:sz w:val="12"/>
          <w:szCs w:val="12"/>
        </w:rPr>
      </w:pPr>
      <w:r w:rsidRPr="001E3FBC">
        <w:rPr>
          <w:sz w:val="12"/>
          <w:szCs w:val="12"/>
        </w:rPr>
        <w:t>CRISPR’S UNCERTAIN FUTURE</w:t>
      </w:r>
    </w:p>
    <w:p w14:paraId="24C00849" w14:textId="77777777" w:rsidR="004C16A1" w:rsidRPr="00414A3F" w:rsidRDefault="004C16A1" w:rsidP="004C16A1">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60AAE02" w14:textId="77777777" w:rsidR="004C16A1" w:rsidRPr="001E3FBC" w:rsidRDefault="004C16A1" w:rsidP="004C16A1">
      <w:pPr>
        <w:rPr>
          <w:sz w:val="12"/>
        </w:rPr>
      </w:pPr>
      <w:r w:rsidRPr="001E3FBC">
        <w:rPr>
          <w:sz w:val="12"/>
        </w:rPr>
        <w:t xml:space="preserve">“We’re mindful that that </w:t>
      </w:r>
      <w:r w:rsidRPr="00B1088D">
        <w:rPr>
          <w:rStyle w:val="Emphasis"/>
          <w:highlight w:val="green"/>
        </w:rPr>
        <w:t xml:space="preserve">litigation </w:t>
      </w:r>
      <w:r w:rsidRPr="00B52D35">
        <w:rPr>
          <w:rStyle w:val="Emphasis"/>
        </w:rPr>
        <w:t xml:space="preserve">is going to </w:t>
      </w:r>
      <w:r w:rsidRPr="00B1088D">
        <w:rPr>
          <w:rStyle w:val="Emphasis"/>
          <w:highlight w:val="green"/>
        </w:rPr>
        <w:t>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2C28C99" w14:textId="77777777" w:rsidR="004C16A1" w:rsidRPr="00414A3F" w:rsidRDefault="004C16A1" w:rsidP="004C16A1">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4C16A1">
        <w:rPr>
          <w:rStyle w:val="StyleUnderline"/>
        </w:rPr>
        <w:t xml:space="preserve">litigation may be shifting </w:t>
      </w:r>
      <w:r w:rsidRPr="004F266C">
        <w:rPr>
          <w:rStyle w:val="StyleUnderline"/>
        </w:rPr>
        <w:t xml:space="preserve">gene-editing </w:t>
      </w:r>
      <w:r w:rsidRPr="004C16A1">
        <w:rPr>
          <w:rStyle w:val="StyleUnderline"/>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9D0C44">
        <w:rPr>
          <w:rStyle w:val="StyleUnderline"/>
        </w:rPr>
        <w:t>It’s not as precise as some scientists would like,</w:t>
      </w:r>
      <w:r w:rsidRPr="00414A3F">
        <w:rPr>
          <w:rStyle w:val="StyleUnderline"/>
        </w:rPr>
        <w:t xml:space="preserve"> and it can have unanticipated effects outside of the desired outcome.</w:t>
      </w:r>
      <w:r w:rsidRPr="001E3FBC">
        <w:rPr>
          <w:sz w:val="12"/>
        </w:rPr>
        <w:t xml:space="preserve"> </w:t>
      </w:r>
      <w:r w:rsidRPr="004C16A1">
        <w:rPr>
          <w:rStyle w:val="StyleUnderline"/>
        </w:rPr>
        <w:t>Scientists who don’t already have a claim to the CRISPR Cas-9 system may be more inclined to seek out other gene-editing 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C988573" w14:textId="77777777" w:rsidR="004C16A1" w:rsidRPr="00414A3F" w:rsidRDefault="004C16A1" w:rsidP="004C16A1">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9D0C44">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2446BA4" w14:textId="77777777" w:rsidR="004C16A1" w:rsidRPr="001E3FBC" w:rsidRDefault="004C16A1" w:rsidP="004C16A1">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5E22467" w14:textId="77777777" w:rsidR="004C16A1" w:rsidRDefault="004C16A1" w:rsidP="004C16A1"/>
    <w:p w14:paraId="2F9B7B9B" w14:textId="77777777" w:rsidR="004C16A1" w:rsidRDefault="004C16A1" w:rsidP="004C16A1">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AE1AA45" w14:textId="77777777" w:rsidR="004C16A1" w:rsidRPr="00EA6B0E" w:rsidRDefault="004C16A1" w:rsidP="004C16A1">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E4E056A" w14:textId="77777777" w:rsidR="004C16A1" w:rsidRPr="00EB487B" w:rsidRDefault="004C16A1" w:rsidP="004C16A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 xml:space="preserve">patent ownership and </w:t>
      </w:r>
      <w:r w:rsidRPr="004C16A1">
        <w:rPr>
          <w:rStyle w:val="StyleUnderline"/>
        </w:rPr>
        <w:t>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2328029" w14:textId="77777777" w:rsidR="004C16A1" w:rsidRPr="00EB487B" w:rsidRDefault="004C16A1" w:rsidP="004C16A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66B77C3" w14:textId="77777777" w:rsidR="004C16A1" w:rsidRPr="00EB487B" w:rsidRDefault="004C16A1" w:rsidP="004C16A1">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3DE7000" w14:textId="77777777" w:rsidR="004C16A1" w:rsidRPr="00EB487B" w:rsidRDefault="004C16A1" w:rsidP="004C16A1">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77B62BA" w14:textId="77777777" w:rsidR="004C16A1" w:rsidRPr="00EB487B" w:rsidRDefault="004C16A1" w:rsidP="004C16A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3875249" w14:textId="77777777" w:rsidR="004C16A1" w:rsidRPr="00EB487B" w:rsidRDefault="004C16A1" w:rsidP="004C16A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6C96C1" w14:textId="77777777" w:rsidR="004C16A1" w:rsidRPr="00EB487B" w:rsidRDefault="004C16A1" w:rsidP="004C16A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9D0C44">
        <w:rPr>
          <w:rStyle w:val="StyleUnderline"/>
        </w:rPr>
        <w:t>China’s State Intellectual Property Office</w:t>
      </w:r>
      <w:r w:rsidRPr="009D0C44">
        <w:rPr>
          <w:sz w:val="12"/>
        </w:rPr>
        <w:t xml:space="preserve"> (now renamed National Intellectual Property Administration or CNIPA) </w:t>
      </w:r>
      <w:r w:rsidRPr="009D0C44">
        <w:rPr>
          <w:rStyle w:val="StyleUnderline"/>
        </w:rPr>
        <w:t>granted UC a patent for its CRISPR technology, and the European Patent Office</w:t>
      </w:r>
      <w:r w:rsidRPr="009D0C44">
        <w:rPr>
          <w:sz w:val="12"/>
        </w:rPr>
        <w:t xml:space="preserve"> (EPO) </w:t>
      </w:r>
      <w:r w:rsidRPr="009D0C44">
        <w:rPr>
          <w:rStyle w:val="StyleUnderline"/>
        </w:rPr>
        <w:t>granted UC a patent for use CRISPR-Cas9</w:t>
      </w:r>
      <w:r w:rsidRPr="009D0C44">
        <w:rPr>
          <w:sz w:val="12"/>
        </w:rPr>
        <w:t xml:space="preserve"> in both prokaryotic and eukaryotic organisms. </w:t>
      </w:r>
      <w:r w:rsidRPr="009D0C44">
        <w:rPr>
          <w:rStyle w:val="StyleUnderline"/>
        </w:rPr>
        <w:t>The EPO subsequently rescinded a patent grant it had issued to the 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9D0C44">
        <w:rPr>
          <w:rStyle w:val="StyleUnderline"/>
          <w:highlight w:val="green"/>
        </w:rPr>
        <w:t>the EPO’s rulings</w:t>
      </w:r>
      <w:r w:rsidRPr="00EB487B">
        <w:rPr>
          <w:rStyle w:val="StyleUnderline"/>
        </w:rPr>
        <w:t xml:space="preserve">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E05AF6" w14:textId="77777777" w:rsidR="004C16A1" w:rsidRDefault="004C16A1" w:rsidP="004C16A1">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B0E319D" w14:textId="77777777" w:rsidR="004C16A1" w:rsidRDefault="004C16A1" w:rsidP="004C16A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A9207E3" w14:textId="77777777" w:rsidR="004C16A1" w:rsidRPr="00EC5891" w:rsidRDefault="004C16A1" w:rsidP="004C16A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F455D9E" w14:textId="77777777" w:rsidR="004C16A1" w:rsidRPr="00EC5891" w:rsidRDefault="004C16A1" w:rsidP="004C16A1">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3253B2E" w14:textId="77777777" w:rsidR="004C16A1" w:rsidRPr="00790705" w:rsidRDefault="004C16A1" w:rsidP="004C16A1">
      <w:pPr>
        <w:rPr>
          <w:sz w:val="12"/>
          <w:szCs w:val="12"/>
        </w:rPr>
      </w:pPr>
      <w:r w:rsidRPr="00790705">
        <w:rPr>
          <w:sz w:val="12"/>
          <w:szCs w:val="12"/>
        </w:rPr>
        <w:t>The CRISPR revolution</w:t>
      </w:r>
    </w:p>
    <w:p w14:paraId="765C4A2B" w14:textId="77777777" w:rsidR="004C16A1" w:rsidRPr="00790705" w:rsidRDefault="004C16A1" w:rsidP="004C16A1">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4D965A91" w14:textId="77777777" w:rsidR="004C16A1" w:rsidRPr="00790705" w:rsidRDefault="004C16A1" w:rsidP="004C16A1">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C1D4BC3" w14:textId="77777777" w:rsidR="004C16A1" w:rsidRDefault="004C16A1" w:rsidP="004C16A1">
      <w:r>
        <w:t>Functional genomics with CRISPR to determine new antimicrobial targets</w:t>
      </w:r>
    </w:p>
    <w:p w14:paraId="2AF03E93" w14:textId="77777777" w:rsidR="004C16A1" w:rsidRPr="00EC5891" w:rsidRDefault="004C16A1" w:rsidP="004C16A1">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5D9D52DC" w14:textId="77777777" w:rsidR="004C16A1" w:rsidRPr="00790705" w:rsidRDefault="004C16A1" w:rsidP="004C16A1">
      <w:pPr>
        <w:rPr>
          <w:sz w:val="12"/>
          <w:szCs w:val="12"/>
        </w:rPr>
      </w:pPr>
      <w:r w:rsidRPr="00790705">
        <w:rPr>
          <w:sz w:val="12"/>
          <w:szCs w:val="12"/>
        </w:rPr>
        <w:t>CRISPR-Cas9 as a next-generation diagnostic for antimicrobial-resistance genes</w:t>
      </w:r>
    </w:p>
    <w:p w14:paraId="7780AA5E" w14:textId="77777777" w:rsidR="004C16A1" w:rsidRPr="00EC5891" w:rsidRDefault="004C16A1" w:rsidP="004C16A1">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w:t>
      </w:r>
      <w:proofErr w:type="spellStart"/>
      <w:r w:rsidRPr="009D0C44">
        <w:rPr>
          <w:sz w:val="12"/>
        </w:rPr>
        <w:t>overprescription</w:t>
      </w:r>
      <w:proofErr w:type="spellEnd"/>
      <w:r w:rsidRPr="009D0C44">
        <w:rPr>
          <w:sz w:val="12"/>
        </w:rPr>
        <w:t xml:space="preserve">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E14E04C" w14:textId="77777777" w:rsidR="004C16A1" w:rsidRPr="00EC5891" w:rsidRDefault="004C16A1" w:rsidP="004C16A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1ED78BC" w14:textId="77777777" w:rsidR="004C16A1" w:rsidRPr="00790705" w:rsidRDefault="004C16A1" w:rsidP="004C16A1">
      <w:pPr>
        <w:rPr>
          <w:sz w:val="12"/>
          <w:szCs w:val="12"/>
        </w:rPr>
      </w:pPr>
      <w:r w:rsidRPr="00790705">
        <w:rPr>
          <w:sz w:val="12"/>
          <w:szCs w:val="12"/>
        </w:rPr>
        <w:t>Selectively controlling the microbiome</w:t>
      </w:r>
    </w:p>
    <w:p w14:paraId="2E3D95D2" w14:textId="77777777" w:rsidR="004C16A1" w:rsidRPr="00790705" w:rsidRDefault="004C16A1" w:rsidP="004C16A1">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BA964BF" w14:textId="77777777" w:rsidR="004C16A1" w:rsidRPr="00EC5891" w:rsidRDefault="004C16A1" w:rsidP="004C16A1">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C8AA37D" w14:textId="77777777" w:rsidR="004C16A1" w:rsidRPr="00790705" w:rsidRDefault="004C16A1" w:rsidP="004C16A1">
      <w:pPr>
        <w:rPr>
          <w:sz w:val="12"/>
          <w:szCs w:val="12"/>
        </w:rPr>
      </w:pPr>
      <w:r w:rsidRPr="00790705">
        <w:rPr>
          <w:sz w:val="12"/>
          <w:szCs w:val="12"/>
        </w:rPr>
        <w:t>CRISPR: as nature intended?</w:t>
      </w:r>
    </w:p>
    <w:p w14:paraId="6DAEE3C6" w14:textId="77777777" w:rsidR="004C16A1" w:rsidRPr="00790705" w:rsidRDefault="004C16A1" w:rsidP="004C16A1">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651C63" w14:textId="77777777" w:rsidR="004C16A1" w:rsidRDefault="004C16A1" w:rsidP="004C16A1">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6FEECBC" w14:textId="77777777" w:rsidR="004C16A1" w:rsidRPr="00790705" w:rsidRDefault="004C16A1" w:rsidP="004C16A1">
      <w:pPr>
        <w:rPr>
          <w:sz w:val="12"/>
        </w:rPr>
      </w:pPr>
    </w:p>
    <w:p w14:paraId="5CCCE247" w14:textId="77777777" w:rsidR="004C16A1" w:rsidRPr="00131F53" w:rsidRDefault="004C16A1" w:rsidP="004C16A1">
      <w:pPr>
        <w:pStyle w:val="Heading4"/>
      </w:pPr>
      <w:r w:rsidRPr="009A7E01">
        <w:rPr>
          <w:u w:val="single"/>
        </w:rPr>
        <w:t>Extinction</w:t>
      </w:r>
      <w:r>
        <w:t xml:space="preserve"> – </w:t>
      </w:r>
      <w:r w:rsidRPr="00131F53">
        <w:t xml:space="preserve">defense is wrong </w:t>
      </w:r>
    </w:p>
    <w:p w14:paraId="3B11B2E8" w14:textId="77777777" w:rsidR="004C16A1" w:rsidRPr="00131F53" w:rsidRDefault="004C16A1" w:rsidP="004C16A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1094473" w14:textId="77777777" w:rsidR="004C16A1" w:rsidRPr="00790705" w:rsidRDefault="004C16A1" w:rsidP="004C16A1">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B93C545" w14:textId="77777777" w:rsidR="004C16A1" w:rsidRPr="00790705" w:rsidRDefault="004C16A1" w:rsidP="004C16A1">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F03CB91" w14:textId="77777777" w:rsidR="004C16A1" w:rsidRPr="00790705" w:rsidRDefault="004C16A1" w:rsidP="004C16A1">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4FA58245" w14:textId="77777777" w:rsidR="004C16A1" w:rsidRPr="00657E66" w:rsidRDefault="004C16A1" w:rsidP="004C16A1">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88A5706" w14:textId="77777777" w:rsidR="004C16A1" w:rsidRDefault="004C16A1" w:rsidP="004C16A1">
      <w:pPr>
        <w:pStyle w:val="Heading3"/>
      </w:pPr>
      <w:r>
        <w:t xml:space="preserve">Advantage 2 – WTO credibility </w:t>
      </w:r>
    </w:p>
    <w:p w14:paraId="2E395FD1" w14:textId="77777777" w:rsidR="004C16A1" w:rsidRPr="00790705" w:rsidRDefault="004C16A1" w:rsidP="004C16A1">
      <w:pPr>
        <w:pStyle w:val="Heading4"/>
      </w:pPr>
      <w:r>
        <w:t>Advantage 2 is WTO cred:</w:t>
      </w:r>
    </w:p>
    <w:p w14:paraId="6A1D9836" w14:textId="77777777" w:rsidR="004C16A1" w:rsidRDefault="004C16A1" w:rsidP="004C16A1">
      <w:pPr>
        <w:pStyle w:val="Heading4"/>
      </w:pPr>
      <w:r>
        <w:t xml:space="preserve">New EU trade restrictions on genome editing </w:t>
      </w:r>
      <w:r w:rsidRPr="0008080A">
        <w:rPr>
          <w:u w:val="single"/>
        </w:rPr>
        <w:t>contradicts</w:t>
      </w:r>
      <w:r>
        <w:t xml:space="preserve"> WTO agreements which makes future disputes inevitable </w:t>
      </w:r>
    </w:p>
    <w:p w14:paraId="0C652DCE" w14:textId="77777777" w:rsidR="004C16A1" w:rsidRPr="009957C5" w:rsidRDefault="004C16A1" w:rsidP="004C16A1">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09AF7AD" w14:textId="77777777" w:rsidR="004C16A1" w:rsidRPr="008E0D33" w:rsidRDefault="004C16A1" w:rsidP="004C16A1">
      <w:pPr>
        <w:rPr>
          <w:sz w:val="12"/>
          <w:szCs w:val="12"/>
        </w:rPr>
      </w:pPr>
      <w:r w:rsidRPr="008E0D33">
        <w:rPr>
          <w:sz w:val="12"/>
          <w:szCs w:val="12"/>
        </w:rPr>
        <w:t>WTO: Committee on Sanitary and Phytosanitary Measures</w:t>
      </w:r>
    </w:p>
    <w:p w14:paraId="741C7865" w14:textId="77777777" w:rsidR="004C16A1" w:rsidRPr="00AD4B10" w:rsidRDefault="004C16A1" w:rsidP="004C16A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0514E5">
        <w:rPr>
          <w:rStyle w:val="StyleUnderline"/>
        </w:rPr>
        <w:t>Deregulation of genome editing 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0514E5">
        <w:rPr>
          <w:rStyle w:val="StyleUnderline"/>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0514E5">
        <w:rPr>
          <w:rStyle w:val="Emphasis"/>
        </w:rPr>
        <w:t>Without any changes in European legislation</w:t>
      </w:r>
      <w:r w:rsidRPr="00B1088D">
        <w:rPr>
          <w:rStyle w:val="Emphasis"/>
          <w:highlight w:val="green"/>
        </w:rPr>
        <w:t xml:space="preserve"> the issue stays</w:t>
      </w:r>
      <w:r w:rsidRPr="00EE028D">
        <w:rPr>
          <w:rStyle w:val="Emphasis"/>
        </w:rPr>
        <w:t xml:space="preserve"> </w:t>
      </w:r>
      <w:r w:rsidRPr="00B1088D">
        <w:rPr>
          <w:rStyle w:val="Emphasis"/>
          <w:highlight w:val="green"/>
        </w:rPr>
        <w:t>unresolved</w:t>
      </w:r>
      <w:r w:rsidRPr="00EE028D">
        <w:rPr>
          <w:rStyle w:val="Emphasis"/>
        </w:rPr>
        <w:t>.</w:t>
      </w:r>
    </w:p>
    <w:p w14:paraId="03439EA6" w14:textId="77777777" w:rsidR="004C16A1" w:rsidRPr="008E0D33" w:rsidRDefault="004C16A1" w:rsidP="004C16A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42A05C5" w14:textId="77777777" w:rsidR="004C16A1" w:rsidRPr="007413DD" w:rsidRDefault="004C16A1" w:rsidP="004C16A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6B2C2AA3" w14:textId="77777777" w:rsidR="004C16A1" w:rsidRPr="002079A9" w:rsidRDefault="004C16A1" w:rsidP="004C16A1">
      <w:pPr>
        <w:rPr>
          <w:sz w:val="12"/>
        </w:rPr>
      </w:pPr>
      <w:r w:rsidRPr="004C16A1">
        <w:rPr>
          <w:rStyle w:val="StyleUnderline"/>
        </w:rPr>
        <w:t xml:space="preserve">The main reason behind </w:t>
      </w:r>
      <w:r w:rsidRPr="00CF58F4">
        <w:rPr>
          <w:rStyle w:val="StyleUnderline"/>
        </w:rPr>
        <w:t>the EU’s success in taking a leadership role is its willingness to put forward a concrete solution, however temporary, to the appellate body crisis.</w:t>
      </w:r>
      <w:r w:rsidRPr="00CF58F4">
        <w:rPr>
          <w:sz w:val="12"/>
        </w:rPr>
        <w:t xml:space="preserve"> Ultimately</w:t>
      </w:r>
      <w:r w:rsidRPr="002079A9">
        <w:rPr>
          <w:sz w:val="12"/>
        </w:rPr>
        <w:t xml:space="preserve">,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86C986B" w14:textId="77777777" w:rsidR="004C16A1" w:rsidRPr="002079A9" w:rsidRDefault="004C16A1" w:rsidP="004C16A1">
      <w:pPr>
        <w:rPr>
          <w:sz w:val="12"/>
          <w:szCs w:val="12"/>
        </w:rPr>
      </w:pPr>
      <w:r w:rsidRPr="002079A9">
        <w:rPr>
          <w:sz w:val="12"/>
          <w:szCs w:val="12"/>
        </w:rPr>
        <w:t>Why did we not see a stronger response from China towards US policy on the WTO under Trump?</w:t>
      </w:r>
    </w:p>
    <w:p w14:paraId="191FF540" w14:textId="77777777" w:rsidR="004C16A1" w:rsidRPr="007413DD" w:rsidRDefault="004C16A1" w:rsidP="004C16A1">
      <w:pPr>
        <w:rPr>
          <w:rStyle w:val="Emphasis"/>
        </w:rPr>
      </w:pPr>
      <w:r w:rsidRPr="007413DD">
        <w:rPr>
          <w:rStyle w:val="StyleUnderline"/>
        </w:rPr>
        <w:t xml:space="preserve">When Trump came to power, </w:t>
      </w:r>
      <w:r w:rsidRPr="00B1088D">
        <w:rPr>
          <w:rStyle w:val="StyleUnderline"/>
          <w:highlight w:val="green"/>
        </w:rPr>
        <w:t xml:space="preserve">China tried to present itself as </w:t>
      </w:r>
      <w:r w:rsidRPr="00F61B86">
        <w:rPr>
          <w:rStyle w:val="StyleUnderline"/>
        </w:rPr>
        <w:t>a country</w:t>
      </w:r>
      <w:r w:rsidRPr="007413DD">
        <w:rPr>
          <w:rStyle w:val="StyleUnderline"/>
        </w:rPr>
        <w:t xml:space="preserve"> that was </w:t>
      </w:r>
      <w:r w:rsidRPr="00F61B86">
        <w:rPr>
          <w:rStyle w:val="StyleUnderline"/>
        </w:rPr>
        <w:t>going to</w:t>
      </w:r>
      <w:r w:rsidRPr="007413DD">
        <w:rPr>
          <w:rStyle w:val="StyleUnderline"/>
        </w:rPr>
        <w:t xml:space="preserve"> step in and </w:t>
      </w:r>
      <w:r w:rsidRPr="00F61B86">
        <w:rPr>
          <w:rStyle w:val="StyleUnderline"/>
        </w:rPr>
        <w:t xml:space="preserve">play </w:t>
      </w:r>
      <w:r w:rsidRPr="00F61B86">
        <w:rPr>
          <w:rStyle w:val="StyleUnderline"/>
          <w:highlight w:val="green"/>
        </w:rPr>
        <w:t>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CF58F4">
        <w:rPr>
          <w:rStyle w:val="StyleUnderline"/>
        </w:rPr>
        <w:t>China has certainly been an important partner in the MPIA initiative led by the EU, but very much as a follower of the EU’s</w:t>
      </w:r>
      <w:r w:rsidRPr="007413DD">
        <w:rPr>
          <w:rStyle w:val="StyleUnderline"/>
        </w:rPr>
        <w:t xml:space="preserve">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A104A73" w14:textId="77777777" w:rsidR="004C16A1" w:rsidRPr="007413DD" w:rsidRDefault="004C16A1" w:rsidP="004C16A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E051270" w14:textId="77777777" w:rsidR="004C16A1" w:rsidRPr="002079A9" w:rsidRDefault="004C16A1" w:rsidP="004C16A1">
      <w:pPr>
        <w:rPr>
          <w:sz w:val="12"/>
          <w:szCs w:val="12"/>
        </w:rPr>
      </w:pPr>
      <w:r w:rsidRPr="002079A9">
        <w:rPr>
          <w:sz w:val="12"/>
          <w:szCs w:val="12"/>
        </w:rPr>
        <w:t>What has this episode revealed about the strength of multilateral institutions such as the WTO, in the face of spoiling tactics from major powers?</w:t>
      </w:r>
    </w:p>
    <w:p w14:paraId="03A14BDA" w14:textId="77777777" w:rsidR="004C16A1" w:rsidRPr="002079A9" w:rsidRDefault="004C16A1" w:rsidP="004C16A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4C16A1">
        <w:rPr>
          <w:rStyle w:val="StyleUnderline"/>
        </w:rPr>
        <w:t xml:space="preserve">the fundamental vulnerability </w:t>
      </w:r>
      <w:r w:rsidRPr="00B1088D">
        <w:rPr>
          <w:rStyle w:val="StyleUnderline"/>
          <w:highlight w:val="green"/>
        </w:rPr>
        <w:t>i</w:t>
      </w:r>
      <w:r w:rsidRPr="004C16A1">
        <w:rPr>
          <w:rStyle w:val="StyleUnderline"/>
        </w:rPr>
        <w:t>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DE792A8" w14:textId="77777777" w:rsidR="004C16A1" w:rsidRPr="002079A9" w:rsidRDefault="004C16A1" w:rsidP="004C16A1">
      <w:pPr>
        <w:rPr>
          <w:sz w:val="12"/>
          <w:szCs w:val="12"/>
        </w:rPr>
      </w:pPr>
      <w:r w:rsidRPr="002079A9">
        <w:rPr>
          <w:sz w:val="12"/>
          <w:szCs w:val="12"/>
        </w:rPr>
        <w:t>What are the implications of a permanent collapse of the international trading system?</w:t>
      </w:r>
    </w:p>
    <w:p w14:paraId="17F2142B" w14:textId="77777777" w:rsidR="004C16A1" w:rsidRDefault="004C16A1" w:rsidP="004C16A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0514E5">
        <w:rPr>
          <w:rStyle w:val="StyleUnderline"/>
        </w:rPr>
        <w:t>The danger now</w:t>
      </w:r>
      <w:r w:rsidRPr="007413DD">
        <w:rPr>
          <w:rStyle w:val="StyleUnderline"/>
        </w:rPr>
        <w:t xml:space="preserve"> – if those rules become meaningless and unenforceable – </w:t>
      </w:r>
      <w:r w:rsidRPr="000514E5">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0514E5">
        <w:rPr>
          <w:rStyle w:val="StyleUnderline"/>
        </w:rPr>
        <w:t>could</w:t>
      </w:r>
      <w:r w:rsidRPr="00B1088D">
        <w:rPr>
          <w:rStyle w:val="StyleUnderline"/>
          <w:highlight w:val="green"/>
        </w:rPr>
        <w:t xml:space="preserve"> unravel, throwing us back into economic chaos and</w:t>
      </w:r>
      <w:r w:rsidRPr="007413DD">
        <w:rPr>
          <w:rStyle w:val="StyleUnderline"/>
        </w:rPr>
        <w:t xml:space="preserve"> potentially </w:t>
      </w:r>
      <w:r w:rsidRPr="00B1088D">
        <w:rPr>
          <w:rStyle w:val="StyleUnderline"/>
          <w:highlight w:val="green"/>
        </w:rPr>
        <w:t>political disorder.</w:t>
      </w:r>
    </w:p>
    <w:p w14:paraId="3CFC86FE" w14:textId="77777777" w:rsidR="004C16A1" w:rsidRPr="008A30B5" w:rsidRDefault="004C16A1" w:rsidP="004C16A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ED3A227" w14:textId="77777777" w:rsidR="004C16A1" w:rsidRPr="008A30B5" w:rsidRDefault="004C16A1" w:rsidP="004C16A1">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80090E0" w14:textId="77777777" w:rsidR="004C16A1" w:rsidRPr="002079A9" w:rsidRDefault="004C16A1" w:rsidP="004C16A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CF58F4">
        <w:rPr>
          <w:b/>
          <w:sz w:val="22"/>
          <w:szCs w:val="22"/>
          <w:u w:val="single"/>
        </w:rPr>
        <w:t xml:space="preserve">risk of </w:t>
      </w:r>
      <w:r w:rsidRPr="00B1088D">
        <w:rPr>
          <w:b/>
          <w:sz w:val="22"/>
          <w:szCs w:val="22"/>
          <w:highlight w:val="green"/>
          <w:u w:val="single"/>
        </w:rPr>
        <w:t>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CF58F4">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CF58F4">
        <w:rPr>
          <w:b/>
          <w:iCs/>
          <w:sz w:val="22"/>
          <w:szCs w:val="22"/>
          <w:u w:val="single"/>
          <w:bdr w:val="single" w:sz="8" w:space="0" w:color="auto"/>
        </w:rPr>
        <w:t xml:space="preserve">fear or </w:t>
      </w:r>
      <w:r w:rsidRPr="00B1088D">
        <w:rPr>
          <w:b/>
          <w:iCs/>
          <w:sz w:val="22"/>
          <w:szCs w:val="22"/>
          <w:highlight w:val="green"/>
          <w:u w:val="single"/>
          <w:bdr w:val="single" w:sz="8" w:space="0" w:color="auto"/>
        </w:rPr>
        <w:t xml:space="preserve">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 xml:space="preserve">external dependence, appeal to anti-foreign sentiments, </w:t>
      </w:r>
      <w:r w:rsidRPr="00CF58F4">
        <w:rPr>
          <w:b/>
          <w:sz w:val="22"/>
          <w:szCs w:val="22"/>
          <w:highlight w:val="green"/>
          <w:u w:val="single"/>
        </w:rPr>
        <w:t>contemplate the</w:t>
      </w:r>
      <w:r w:rsidRPr="00CF58F4">
        <w:rPr>
          <w:b/>
          <w:sz w:val="22"/>
          <w:szCs w:val="22"/>
          <w:u w:val="single"/>
        </w:rPr>
        <w:t xml:space="preserve"> </w:t>
      </w:r>
      <w:r w:rsidRPr="00B1088D">
        <w:rPr>
          <w:b/>
          <w:sz w:val="22"/>
          <w:szCs w:val="22"/>
          <w:highlight w:val="green"/>
          <w:u w:val="single"/>
        </w:rPr>
        <w:t>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F61B86">
        <w:rPr>
          <w:b/>
          <w:sz w:val="22"/>
          <w:szCs w:val="22"/>
          <w:u w:val="single"/>
        </w:rPr>
        <w:t xml:space="preserve">Such </w:t>
      </w:r>
      <w:r w:rsidRPr="00B1088D">
        <w:rPr>
          <w:b/>
          <w:sz w:val="22"/>
          <w:szCs w:val="22"/>
          <w:highlight w:val="green"/>
          <w:u w:val="single"/>
        </w:rPr>
        <w:t xml:space="preserve">a </w:t>
      </w:r>
      <w:r w:rsidRPr="00F61B86">
        <w:rPr>
          <w:b/>
          <w:sz w:val="22"/>
          <w:szCs w:val="22"/>
          <w:u w:val="single"/>
        </w:rPr>
        <w:t xml:space="preserve">dangerous </w:t>
      </w:r>
      <w:r w:rsidRPr="00B1088D">
        <w:rPr>
          <w:b/>
          <w:sz w:val="22"/>
          <w:szCs w:val="22"/>
          <w:highlight w:val="green"/>
          <w:u w:val="single"/>
        </w:rPr>
        <w:t xml:space="preserve">shift </w:t>
      </w:r>
      <w:r w:rsidRPr="00F61B86">
        <w:rPr>
          <w:b/>
          <w:sz w:val="22"/>
          <w:szCs w:val="22"/>
          <w:u w:val="single"/>
        </w:rPr>
        <w:t>could h</w:t>
      </w:r>
      <w:r w:rsidRPr="00B1088D">
        <w:rPr>
          <w:b/>
          <w:sz w:val="22"/>
          <w:szCs w:val="22"/>
          <w:highlight w:val="green"/>
          <w:u w:val="single"/>
        </w:rPr>
        <w:t xml:space="preserve">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8C2D1FE" w14:textId="77777777" w:rsidR="004C16A1" w:rsidRDefault="004C16A1" w:rsidP="004C16A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 xml:space="preserve">The greatest risk is </w:t>
      </w:r>
      <w:r w:rsidRPr="009D0C44">
        <w:rPr>
          <w:rStyle w:val="StyleUnderline"/>
        </w:rPr>
        <w:t>not that a territorial dispute</w:t>
      </w:r>
      <w:r w:rsidRPr="002079A9">
        <w:rPr>
          <w:rStyle w:val="StyleUnderline"/>
        </w:rPr>
        <w:t xml:space="preserve"> leads to war under present circumstances </w:t>
      </w:r>
      <w:r w:rsidRPr="009D0C44">
        <w:rPr>
          <w:rStyle w:val="StyleUnderline"/>
        </w:rPr>
        <w:t xml:space="preserve">but that </w:t>
      </w:r>
      <w:r w:rsidRPr="00B1088D">
        <w:rPr>
          <w:rStyle w:val="StyleUnderline"/>
          <w:highlight w:val="green"/>
        </w:rPr>
        <w:t>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4FED756" w14:textId="77777777" w:rsidR="004C16A1" w:rsidRPr="002079A9" w:rsidRDefault="004C16A1" w:rsidP="004C16A1">
      <w:pPr>
        <w:rPr>
          <w:sz w:val="12"/>
        </w:rPr>
      </w:pPr>
    </w:p>
    <w:p w14:paraId="4F97E4D2" w14:textId="77777777" w:rsidR="004C16A1" w:rsidRPr="00AC52CC" w:rsidRDefault="004C16A1" w:rsidP="004C16A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1321952" w14:textId="77777777" w:rsidR="004C16A1" w:rsidRPr="00FE51A3" w:rsidRDefault="004C16A1" w:rsidP="004C16A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A0207C6" w14:textId="77777777" w:rsidR="004C16A1" w:rsidRDefault="004C16A1" w:rsidP="004C16A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AF11E7B" w14:textId="77777777" w:rsidR="004C16A1" w:rsidRPr="002079A9" w:rsidRDefault="004C16A1" w:rsidP="004C16A1">
      <w:pPr>
        <w:rPr>
          <w:rFonts w:asciiTheme="majorHAnsi" w:hAnsiTheme="majorHAnsi" w:cstheme="majorHAnsi"/>
          <w:sz w:val="12"/>
        </w:rPr>
      </w:pPr>
    </w:p>
    <w:p w14:paraId="1F2B2F93" w14:textId="77777777" w:rsidR="004C16A1" w:rsidRPr="00E268B7" w:rsidRDefault="004C16A1" w:rsidP="004C16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6CCDA8A" w14:textId="77777777" w:rsidR="004C16A1" w:rsidRDefault="004C16A1" w:rsidP="004C16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E8CC8F" w14:textId="77777777" w:rsidR="004C16A1" w:rsidRPr="002079A9" w:rsidRDefault="004C16A1" w:rsidP="004C16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CFC370D"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miles. These</w:t>
      </w:r>
      <w:r w:rsidRPr="006232C5">
        <w:rPr>
          <w:rStyle w:val="StyleUnderline"/>
          <w:szCs w:val="22"/>
        </w:rPr>
        <w:t xml:space="preserve"> mass </w:t>
      </w:r>
      <w:r w:rsidRPr="00B1088D">
        <w:rPr>
          <w:rStyle w:val="StyleUnderline"/>
          <w:szCs w:val="22"/>
          <w:highlight w:val="green"/>
        </w:rPr>
        <w:t>fires</w:t>
      </w:r>
      <w:r w:rsidRPr="006232C5">
        <w:rPr>
          <w:rStyle w:val="StyleUnderline"/>
          <w:szCs w:val="22"/>
        </w:rPr>
        <w:t xml:space="preserve">, many of which </w:t>
      </w:r>
      <w:r w:rsidRPr="00B1088D">
        <w:rPr>
          <w:rStyle w:val="StyleUnderline"/>
          <w:szCs w:val="22"/>
          <w:highlight w:val="green"/>
        </w:rPr>
        <w:t>would rage over</w:t>
      </w:r>
      <w:r w:rsidRPr="006232C5">
        <w:rPr>
          <w:rStyle w:val="StyleUnderline"/>
          <w:szCs w:val="22"/>
        </w:rPr>
        <w:t xml:space="preserve"> large </w:t>
      </w:r>
      <w:r w:rsidRPr="00B1088D">
        <w:rPr>
          <w:rStyle w:val="Emphasis"/>
          <w:highlight w:val="green"/>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2D8FB42" w14:textId="77777777" w:rsidR="004C16A1" w:rsidRPr="006232C5" w:rsidRDefault="004C16A1" w:rsidP="004C16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B1088D">
        <w:rPr>
          <w:rStyle w:val="StyleUnderline"/>
          <w:szCs w:val="22"/>
          <w:highlight w:val="green"/>
        </w:rPr>
        <w:t xml:space="preserve">(above cloud level, 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B1088D">
        <w:rPr>
          <w:rStyle w:val="StyleUnderline"/>
          <w:szCs w:val="22"/>
          <w:highlight w:val="green"/>
        </w:rPr>
        <w:t>The longevity of the smoke layer would</w:t>
      </w:r>
      <w:r w:rsidRPr="006232C5">
        <w:rPr>
          <w:rStyle w:val="StyleUnderline"/>
          <w:szCs w:val="22"/>
        </w:rPr>
        <w:t xml:space="preserve"> act to greatly </w:t>
      </w:r>
      <w:r w:rsidRPr="00B1088D">
        <w:rPr>
          <w:rStyle w:val="StyleUnderline"/>
          <w:szCs w:val="22"/>
          <w:highlight w:val="green"/>
        </w:rPr>
        <w:t>increase the severity of its effects upon the biosphere.</w:t>
      </w:r>
    </w:p>
    <w:p w14:paraId="092C17D4"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B9AD570" w14:textId="77777777" w:rsidR="004C16A1" w:rsidRPr="006232C5" w:rsidRDefault="004C16A1" w:rsidP="004C16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DFB1714" w14:textId="77777777" w:rsidR="004C16A1" w:rsidRPr="002079A9" w:rsidRDefault="004C16A1" w:rsidP="004C16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4B161F6"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B1088D">
        <w:rPr>
          <w:rStyle w:val="StyleUnderline"/>
          <w:szCs w:val="22"/>
          <w:highlight w:val="green"/>
        </w:rPr>
        <w:t xml:space="preserve">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1D4CA08" w14:textId="77777777" w:rsidR="00CF58F4" w:rsidRDefault="00CF58F4" w:rsidP="00CF58F4">
      <w:pPr>
        <w:pStyle w:val="Heading3"/>
      </w:pPr>
      <w:r w:rsidRPr="00651F2F">
        <w:t>Solvency</w:t>
      </w:r>
    </w:p>
    <w:p w14:paraId="4B576ED2" w14:textId="77777777" w:rsidR="00CF58F4" w:rsidRDefault="00CF58F4" w:rsidP="00CF58F4">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3C6D921C" w14:textId="77777777" w:rsidR="00CF58F4" w:rsidRDefault="00CF58F4" w:rsidP="00CF58F4">
      <w:pPr>
        <w:pStyle w:val="Heading4"/>
      </w:pPr>
      <w:bookmarkStart w:id="0" w:name="_GoBack"/>
      <w:bookmarkEnd w:id="0"/>
      <w:r>
        <w:t>Harmonized approaches to CRISPR solve misapplication – answers any impact turn</w:t>
      </w:r>
    </w:p>
    <w:p w14:paraId="528B1FC0" w14:textId="77777777" w:rsidR="00CF58F4" w:rsidRPr="00D032ED" w:rsidRDefault="00CF58F4" w:rsidP="00CF58F4">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3E4DF1F3" w14:textId="77777777" w:rsidR="00CF58F4" w:rsidRPr="00D032ED" w:rsidRDefault="00CF58F4" w:rsidP="00CF58F4">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4F47D204" w14:textId="77777777" w:rsidR="00CF58F4" w:rsidRPr="00D032ED" w:rsidRDefault="00CF58F4" w:rsidP="00CF58F4">
      <w:r w:rsidRPr="00953121">
        <w:rPr>
          <w:rStyle w:val="StyleUnderline"/>
        </w:rPr>
        <w:t>Looking at the values held by a particular community will lead to varying results.</w:t>
      </w:r>
      <w:r w:rsidRPr="00953121">
        <w:t xml:space="preserve"> Some</w:t>
      </w:r>
      <w:r w:rsidRPr="00D032ED">
        <w:t xml:space="preserve"> countries may value the welfare of individuals over the progression of science.83 Others argue </w:t>
      </w:r>
      <w:r w:rsidRPr="00D032ED">
        <w:rPr>
          <w:rStyle w:val="StyleUnderline"/>
        </w:rPr>
        <w:t xml:space="preserve">that because </w:t>
      </w:r>
      <w:r w:rsidRPr="00953121">
        <w:rPr>
          <w:rStyle w:val="StyleUnderline"/>
        </w:rPr>
        <w:t xml:space="preserve">these </w:t>
      </w:r>
      <w:r w:rsidRPr="00B1088D">
        <w:rPr>
          <w:rStyle w:val="StyleUnderline"/>
          <w:highlight w:val="green"/>
        </w:rPr>
        <w:t>inventions</w:t>
      </w:r>
      <w:r w:rsidRPr="00D032ED">
        <w:rPr>
          <w:rStyle w:val="StyleUnderline"/>
        </w:rPr>
        <w:t xml:space="preserve"> </w:t>
      </w:r>
      <w:r w:rsidRPr="00953121">
        <w:rPr>
          <w:rStyle w:val="StyleUnderline"/>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1150BC06" w14:textId="77777777" w:rsidR="00CF58F4" w:rsidRPr="00D032ED" w:rsidRDefault="00CF58F4" w:rsidP="00CF58F4">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w:t>
      </w:r>
      <w:r w:rsidRPr="00953121">
        <w:rPr>
          <w:rStyle w:val="StyleUnderline"/>
        </w:rPr>
        <w:t>orld</w:t>
      </w:r>
      <w:r w:rsidRPr="00B1088D">
        <w:rPr>
          <w:rStyle w:val="StyleUnderline"/>
          <w:highlight w:val="green"/>
        </w:rPr>
        <w:t xml:space="preserve"> H</w:t>
      </w:r>
      <w:r w:rsidRPr="00953121">
        <w:rPr>
          <w:rStyle w:val="StyleUnderline"/>
        </w:rPr>
        <w:t>ealth</w:t>
      </w:r>
      <w:r w:rsidRPr="00B1088D">
        <w:rPr>
          <w:rStyle w:val="StyleUnderline"/>
          <w:highlight w:val="green"/>
        </w:rPr>
        <w:t xml:space="preserve"> O</w:t>
      </w:r>
      <w:r w:rsidRPr="00953121">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953121">
        <w:rPr>
          <w:rStyle w:val="StyleUnderline"/>
        </w:rPr>
        <w:t xml:space="preserve">to </w:t>
      </w:r>
      <w:r w:rsidRPr="00B1088D">
        <w:rPr>
          <w:rStyle w:val="StyleUnderline"/>
          <w:highlight w:val="green"/>
        </w:rPr>
        <w:t>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6149DA1D" w14:textId="77777777" w:rsidR="00CF58F4" w:rsidRPr="00D032ED" w:rsidRDefault="00CF58F4" w:rsidP="00CF58F4">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w:t>
      </w:r>
      <w:r w:rsidRPr="00953121">
        <w:rPr>
          <w:rStyle w:val="StyleUnderline"/>
        </w:rPr>
        <w:t xml:space="preserve">in this field </w:t>
      </w:r>
      <w:r w:rsidRPr="00953121">
        <w:rPr>
          <w:rStyle w:val="StyleUnderline"/>
          <w:highlight w:val="green"/>
        </w:rPr>
        <w:t>of</w:t>
      </w:r>
      <w:r w:rsidRPr="00953121">
        <w:rPr>
          <w:rStyle w:val="StyleUnderline"/>
        </w:rPr>
        <w:t xml:space="preserve"> </w:t>
      </w:r>
      <w:r w:rsidRPr="00B1088D">
        <w:rPr>
          <w:rStyle w:val="StyleUnderline"/>
          <w:highlight w:val="green"/>
        </w:rPr>
        <w:t xml:space="preserve">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 xml:space="preserve">communities from </w:t>
      </w:r>
      <w:r w:rsidRPr="00953121">
        <w:rPr>
          <w:rStyle w:val="StyleUnderline"/>
        </w:rPr>
        <w:t xml:space="preserve">potential </w:t>
      </w:r>
      <w:r w:rsidRPr="00B1088D">
        <w:rPr>
          <w:rStyle w:val="StyleUnderline"/>
          <w:highlight w:val="green"/>
        </w:rPr>
        <w:t>human rights violations</w:t>
      </w:r>
      <w:r w:rsidRPr="00D032ED">
        <w:rPr>
          <w:rStyle w:val="StyleUnderline"/>
        </w:rPr>
        <w:t>, such as the destruction of viable embryos.</w:t>
      </w:r>
    </w:p>
    <w:p w14:paraId="6941839E" w14:textId="77777777" w:rsidR="00CF58F4" w:rsidRPr="00D032ED" w:rsidRDefault="00CF58F4" w:rsidP="00CF58F4">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1163329F" w14:textId="77777777" w:rsidR="00CF58F4" w:rsidRDefault="00CF58F4" w:rsidP="00CF58F4">
      <w:r w:rsidRPr="00D032ED">
        <w:t xml:space="preserve">CONCLUSION </w:t>
      </w:r>
    </w:p>
    <w:p w14:paraId="2599B8A8" w14:textId="6472FF48" w:rsidR="00CF58F4" w:rsidRPr="00020B85" w:rsidRDefault="00CF58F4" w:rsidP="00CF58F4">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w:t>
      </w:r>
      <w:r w:rsidRPr="00953121">
        <w:rPr>
          <w:rStyle w:val="StyleUnderline"/>
          <w:highlight w:val="green"/>
        </w:rPr>
        <w:t>of</w:t>
      </w:r>
      <w:r w:rsidRPr="00D032ED">
        <w:rPr>
          <w:rStyle w:val="StyleUnderline"/>
        </w:rPr>
        <w:t xml:space="preserve">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 xml:space="preserve">and </w:t>
      </w:r>
      <w:r w:rsidRPr="00953121">
        <w:rPr>
          <w:rStyle w:val="StyleUnderline"/>
        </w:rPr>
        <w:t>should attempt to</w:t>
      </w:r>
      <w:r w:rsidRPr="00953121">
        <w:t xml:space="preserve"> </w:t>
      </w:r>
      <w:r w:rsidR="005C0622">
        <w:tab/>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154DD608" w14:textId="77777777" w:rsidR="00CF58F4" w:rsidRPr="00A355C6" w:rsidRDefault="00CF58F4" w:rsidP="00CF58F4">
      <w:pPr>
        <w:pStyle w:val="Heading3"/>
        <w:rPr>
          <w:rFonts w:cs="Calibri"/>
          <w:color w:val="000000" w:themeColor="text1"/>
        </w:rPr>
      </w:pPr>
      <w:r w:rsidRPr="00A355C6">
        <w:rPr>
          <w:rFonts w:cs="Calibri"/>
          <w:color w:val="000000" w:themeColor="text1"/>
        </w:rPr>
        <w:t>Framing</w:t>
      </w:r>
    </w:p>
    <w:p w14:paraId="6618B1F1"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C6F5DDD"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770D608"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CFB636" w14:textId="77777777" w:rsidR="00CF58F4" w:rsidRPr="00A355C6" w:rsidRDefault="00CF58F4" w:rsidP="00CF58F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8E367F"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CD69CC"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E6091C6" w14:textId="77777777" w:rsidR="00CF58F4" w:rsidRPr="00A355C6" w:rsidRDefault="00CF58F4" w:rsidP="00CF58F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C535FE" w14:textId="77777777" w:rsidR="00CF58F4" w:rsidRPr="00A355C6" w:rsidRDefault="00CF58F4" w:rsidP="00CF58F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B51BAE" w14:textId="77777777" w:rsidR="00CF58F4" w:rsidRPr="00A355C6" w:rsidRDefault="00CF58F4" w:rsidP="00CF58F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CF8116D" w14:textId="77777777" w:rsidR="00E42E4C" w:rsidRPr="00F601E6" w:rsidRDefault="00E42E4C" w:rsidP="000514E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E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7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434"/>
    <w:rsid w:val="004B37B4"/>
    <w:rsid w:val="004B72B4"/>
    <w:rsid w:val="004C0314"/>
    <w:rsid w:val="004C0D3D"/>
    <w:rsid w:val="004C16A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2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21"/>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44"/>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A4"/>
    <w:rsid w:val="00B0505F"/>
    <w:rsid w:val="00B05C2D"/>
    <w:rsid w:val="00B12933"/>
    <w:rsid w:val="00B12B88"/>
    <w:rsid w:val="00B137E0"/>
    <w:rsid w:val="00B13BC8"/>
    <w:rsid w:val="00B24662"/>
    <w:rsid w:val="00B3569C"/>
    <w:rsid w:val="00B43676"/>
    <w:rsid w:val="00B52D3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F58F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D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B"/>
    <w:rsid w:val="00E8322E"/>
    <w:rsid w:val="00E903E0"/>
    <w:rsid w:val="00EA1115"/>
    <w:rsid w:val="00EA39EB"/>
    <w:rsid w:val="00EA58CE"/>
    <w:rsid w:val="00EB33FF"/>
    <w:rsid w:val="00EB3D1A"/>
    <w:rsid w:val="00EC2759"/>
    <w:rsid w:val="00EC7106"/>
    <w:rsid w:val="00ED0120"/>
    <w:rsid w:val="00ED3BBA"/>
    <w:rsid w:val="00ED4E12"/>
    <w:rsid w:val="00EE051B"/>
    <w:rsid w:val="00EE1B59"/>
    <w:rsid w:val="00EE54B4"/>
    <w:rsid w:val="00EE74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B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E977E"/>
  <w14:defaultImageDpi w14:val="300"/>
  <w15:docId w15:val="{46CE85B3-542D-8F44-A4E9-C33012C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F58F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F5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F58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F58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F58F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6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F5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58F4"/>
  </w:style>
  <w:style w:type="character" w:customStyle="1" w:styleId="Heading1Char">
    <w:name w:val="Heading 1 Char"/>
    <w:aliases w:val="Pocket Char"/>
    <w:basedOn w:val="DefaultParagraphFont"/>
    <w:link w:val="Heading1"/>
    <w:uiPriority w:val="9"/>
    <w:rsid w:val="00CF58F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F58F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F58F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F58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F58F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F58F4"/>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F58F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F58F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F58F4"/>
    <w:rPr>
      <w:color w:val="auto"/>
      <w:u w:val="none"/>
    </w:rPr>
  </w:style>
  <w:style w:type="paragraph" w:styleId="DocumentMap">
    <w:name w:val="Document Map"/>
    <w:basedOn w:val="Normal"/>
    <w:link w:val="DocumentMapChar"/>
    <w:uiPriority w:val="99"/>
    <w:semiHidden/>
    <w:unhideWhenUsed/>
    <w:rsid w:val="00CF58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58F4"/>
    <w:rPr>
      <w:rFonts w:ascii="Lucida Grande" w:hAnsi="Lucida Grande" w:cs="Lucida Grande"/>
    </w:rPr>
  </w:style>
  <w:style w:type="character" w:customStyle="1" w:styleId="Heading5Char">
    <w:name w:val="Heading 5 Char"/>
    <w:basedOn w:val="DefaultParagraphFont"/>
    <w:link w:val="Heading5"/>
    <w:uiPriority w:val="9"/>
    <w:semiHidden/>
    <w:rsid w:val="004C16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16A1"/>
    <w:rPr>
      <w:b/>
      <w:bCs/>
      <w:color w:val="404040" w:themeColor="text1" w:themeTint="BF"/>
      <w:sz w:val="26"/>
      <w:szCs w:val="26"/>
    </w:rPr>
  </w:style>
  <w:style w:type="paragraph" w:customStyle="1" w:styleId="textbold">
    <w:name w:val="text bold"/>
    <w:basedOn w:val="Normal"/>
    <w:link w:val="Emphasis"/>
    <w:uiPriority w:val="20"/>
    <w:qFormat/>
    <w:rsid w:val="004C16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C16A1"/>
    <w:rPr>
      <w:color w:val="605E5C"/>
      <w:shd w:val="clear" w:color="auto" w:fill="E1DFDD"/>
    </w:rPr>
  </w:style>
  <w:style w:type="paragraph" w:customStyle="1" w:styleId="Emphasis1">
    <w:name w:val="Emphasis1"/>
    <w:basedOn w:val="Normal"/>
    <w:autoRedefine/>
    <w:uiPriority w:val="20"/>
    <w:qFormat/>
    <w:rsid w:val="004C16A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C16A1"/>
    <w:rPr>
      <w:b/>
      <w:bCs/>
    </w:rPr>
  </w:style>
  <w:style w:type="character" w:customStyle="1" w:styleId="hbold">
    <w:name w:val="hbold"/>
    <w:basedOn w:val="DefaultParagraphFont"/>
    <w:rsid w:val="004C16A1"/>
  </w:style>
  <w:style w:type="paragraph" w:styleId="ListParagraph">
    <w:name w:val="List Paragraph"/>
    <w:basedOn w:val="Normal"/>
    <w:uiPriority w:val="34"/>
    <w:qFormat/>
    <w:rsid w:val="004C16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1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16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16A1"/>
    <w:rPr>
      <w:b/>
      <w:bCs/>
      <w:strike w:val="0"/>
      <w:dstrike w:val="0"/>
      <w:sz w:val="24"/>
      <w:u w:val="none"/>
      <w:effect w:val="none"/>
    </w:rPr>
  </w:style>
  <w:style w:type="character" w:customStyle="1" w:styleId="m489902567989944824gmail-style13ptbold">
    <w:name w:val="m_489902567989944824gmail-style13ptbold"/>
    <w:basedOn w:val="DefaultParagraphFont"/>
    <w:rsid w:val="004C16A1"/>
  </w:style>
  <w:style w:type="character" w:customStyle="1" w:styleId="m489902567989944824gmail-styleunderline">
    <w:name w:val="m_489902567989944824gmail-styleunderline"/>
    <w:basedOn w:val="DefaultParagraphFont"/>
    <w:rsid w:val="004C16A1"/>
  </w:style>
  <w:style w:type="character" w:customStyle="1" w:styleId="TitleChar">
    <w:name w:val="Title Char"/>
    <w:aliases w:val="Cites and Cards Char,UNDERLINE Char,Bold Underlined Char,Block Heading Char,title Char,Read This Char"/>
    <w:link w:val="Title"/>
    <w:uiPriority w:val="1"/>
    <w:qFormat/>
    <w:rsid w:val="004C16A1"/>
    <w:rPr>
      <w:bCs/>
      <w:sz w:val="20"/>
      <w:u w:val="single"/>
    </w:rPr>
  </w:style>
  <w:style w:type="paragraph" w:styleId="Title">
    <w:name w:val="Title"/>
    <w:aliases w:val="Cites and Cards,UNDERLINE,Bold Underlined,Block Heading,title,Read This"/>
    <w:basedOn w:val="Normal"/>
    <w:next w:val="Normal"/>
    <w:link w:val="TitleChar"/>
    <w:uiPriority w:val="1"/>
    <w:qFormat/>
    <w:rsid w:val="004C16A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C1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95D88-D7FB-9346-A78D-8FF59D39B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10752</Words>
  <Characters>61291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2021-09-18T14:45:00Z</dcterms:created>
  <dcterms:modified xsi:type="dcterms:W3CDTF">2021-09-18T14:45:00Z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