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092FD" w14:textId="2A589E88" w:rsidR="00402B5D" w:rsidRDefault="00402B5D" w:rsidP="00F57A06">
      <w:pPr>
        <w:pStyle w:val="Heading3"/>
      </w:pPr>
      <w:r>
        <w:t xml:space="preserve">1NC – Off </w:t>
      </w:r>
    </w:p>
    <w:p w14:paraId="0923B7E0" w14:textId="77777777" w:rsidR="00402B5D" w:rsidRPr="00221625" w:rsidRDefault="00402B5D" w:rsidP="00402B5D">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14:paraId="3A51B630" w14:textId="77777777" w:rsidR="00402B5D" w:rsidRPr="0009531B" w:rsidRDefault="00402B5D" w:rsidP="00402B5D">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6BC7108C" w14:textId="77777777" w:rsidR="00402B5D" w:rsidRPr="0009531B" w:rsidRDefault="00402B5D" w:rsidP="00402B5D">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4ED2C524" w14:textId="77777777" w:rsidR="00402B5D" w:rsidRPr="00B554F6" w:rsidRDefault="00402B5D" w:rsidP="00402B5D">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06E1E0B4" w14:textId="77777777" w:rsidR="00402B5D" w:rsidRPr="00221625" w:rsidRDefault="00402B5D" w:rsidP="00402B5D">
      <w:pPr>
        <w:pStyle w:val="Heading4"/>
        <w:rPr>
          <w:rFonts w:asciiTheme="majorHAnsi" w:hAnsiTheme="majorHAnsi" w:cstheme="majorHAnsi"/>
        </w:rPr>
      </w:pPr>
      <w:r w:rsidRPr="00221625">
        <w:rPr>
          <w:rFonts w:asciiTheme="majorHAnsi" w:hAnsiTheme="majorHAnsi" w:cstheme="majorHAnsi"/>
        </w:rPr>
        <w:t xml:space="preserve">Ought </w:t>
      </w:r>
      <w:proofErr w:type="gramStart"/>
      <w:r w:rsidRPr="00221625">
        <w:rPr>
          <w:rFonts w:asciiTheme="majorHAnsi" w:hAnsiTheme="majorHAnsi" w:cstheme="majorHAnsi"/>
        </w:rPr>
        <w:t>means</w:t>
      </w:r>
      <w:proofErr w:type="gramEnd"/>
      <w:r w:rsidRPr="00221625">
        <w:rPr>
          <w:rFonts w:asciiTheme="majorHAnsi" w:hAnsiTheme="majorHAnsi" w:cstheme="majorHAnsi"/>
        </w:rPr>
        <w:t xml:space="preserve"> should </w:t>
      </w:r>
    </w:p>
    <w:p w14:paraId="22761F13" w14:textId="77777777" w:rsidR="00402B5D" w:rsidRPr="00221625" w:rsidRDefault="00402B5D" w:rsidP="00402B5D">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9"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w:t>
      </w:r>
      <w:proofErr w:type="spellStart"/>
      <w:r w:rsidRPr="00221625">
        <w:rPr>
          <w:rFonts w:asciiTheme="majorHAnsi" w:hAnsiTheme="majorHAnsi" w:cstheme="majorHAnsi"/>
        </w:rPr>
        <w:t>ɑːt</w:t>
      </w:r>
      <w:proofErr w:type="spellEnd"/>
      <w:r w:rsidRPr="00221625">
        <w:rPr>
          <w:rFonts w:asciiTheme="majorHAnsi" w:hAnsiTheme="majorHAnsi" w:cstheme="majorHAnsi"/>
        </w:rPr>
        <w: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1F3E76">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1F3E76">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w:t>
      </w:r>
      <w:proofErr w:type="gramStart"/>
      <w:r w:rsidRPr="00221625">
        <w:rPr>
          <w:rFonts w:asciiTheme="majorHAnsi" w:hAnsiTheme="majorHAnsi" w:cstheme="majorHAnsi"/>
        </w:rPr>
        <w:t>oughtn't are often</w:t>
      </w:r>
      <w:proofErr w:type="gramEnd"/>
      <w:r w:rsidRPr="00221625">
        <w:rPr>
          <w:rFonts w:asciiTheme="majorHAnsi" w:hAnsiTheme="majorHAnsi" w:cstheme="majorHAnsi"/>
        </w:rPr>
        <w:t xml:space="preserve"> used without a following to. — used to indicate what is expected They ought to be here by now. You ought to be able to read this book. There ought to be a gas station on the way. 2 — </w:t>
      </w:r>
      <w:r w:rsidRPr="001F3E76">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2892F2E5" w14:textId="77777777" w:rsidR="00402B5D" w:rsidRPr="00221625" w:rsidRDefault="00402B5D" w:rsidP="00402B5D">
      <w:pPr>
        <w:pStyle w:val="Heading4"/>
        <w:spacing w:before="100" w:beforeAutospacing="1"/>
        <w:rPr>
          <w:rFonts w:asciiTheme="majorHAnsi" w:hAnsiTheme="majorHAnsi" w:cstheme="majorHAnsi"/>
        </w:rPr>
      </w:pPr>
      <w:r w:rsidRPr="00221625">
        <w:rPr>
          <w:rFonts w:asciiTheme="majorHAnsi" w:hAnsiTheme="majorHAnsi" w:cstheme="majorHAnsi"/>
        </w:rPr>
        <w:t>Should requires legal effect</w:t>
      </w:r>
    </w:p>
    <w:p w14:paraId="287D109D" w14:textId="77777777" w:rsidR="00402B5D" w:rsidRPr="00221625" w:rsidRDefault="00402B5D" w:rsidP="00402B5D">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w:t>
      </w:r>
      <w:proofErr w:type="spellStart"/>
      <w:r w:rsidRPr="00221625">
        <w:rPr>
          <w:rFonts w:asciiTheme="majorHAnsi" w:hAnsiTheme="majorHAnsi" w:cstheme="majorHAnsi"/>
        </w:rPr>
        <w:t>Dollarsaver</w:t>
      </w:r>
      <w:proofErr w:type="spellEnd"/>
      <w:r w:rsidRPr="00221625">
        <w:rPr>
          <w:rFonts w:asciiTheme="majorHAnsi" w:hAnsiTheme="majorHAnsi" w:cstheme="majorHAnsi"/>
        </w:rPr>
        <w:t xml:space="preserve"> Food Warehouse of Durant”, 1994 OK 123, 11-8, http://www.oscn.net/applications/oscn/DeliverDocument.asp?CiteID=20287#marker3fn13)</w:t>
      </w:r>
    </w:p>
    <w:p w14:paraId="60F30D35" w14:textId="77777777" w:rsidR="00402B5D" w:rsidRPr="00221625" w:rsidRDefault="00402B5D" w:rsidP="00402B5D">
      <w:pPr>
        <w:ind w:right="288"/>
        <w:rPr>
          <w:rFonts w:asciiTheme="majorHAnsi" w:eastAsia="Times New Roman" w:hAnsiTheme="majorHAnsi" w:cstheme="majorHAnsi"/>
          <w:sz w:val="20"/>
          <w:szCs w:val="20"/>
        </w:rPr>
      </w:pPr>
      <w:r w:rsidRPr="00221625">
        <w:rPr>
          <w:rFonts w:asciiTheme="majorHAnsi" w:hAnsiTheme="majorHAnsi" w:cstheme="majorHAnsi"/>
        </w:rPr>
        <w:t xml:space="preserve">¶4 </w:t>
      </w:r>
      <w:r w:rsidRPr="00221625">
        <w:rPr>
          <w:rStyle w:val="IntenseEmphasis"/>
          <w:rFonts w:asciiTheme="majorHAnsi" w:hAnsiTheme="majorHAnsi" w:cstheme="majorHAnsi"/>
        </w:rPr>
        <w:t>The legal question to be resolved by the court is whether the word "should"</w:t>
      </w:r>
      <w:hyperlink r:id="rId10"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IntenseEmphasis"/>
          <w:rFonts w:asciiTheme="majorHAnsi" w:hAnsiTheme="majorHAnsi" w:cstheme="majorHAnsi"/>
        </w:rPr>
        <w:t xml:space="preserve">may be deemed a ruling </w:t>
      </w:r>
      <w:r w:rsidRPr="00221625">
        <w:rPr>
          <w:rStyle w:val="IntenseEmphasis"/>
          <w:rFonts w:asciiTheme="majorHAnsi" w:hAnsiTheme="majorHAnsi" w:cstheme="majorHAnsi"/>
          <w:i/>
        </w:rPr>
        <w:t>in praesenti</w:t>
      </w:r>
      <w:r w:rsidRPr="00221625">
        <w:rPr>
          <w:rFonts w:asciiTheme="majorHAnsi" w:hAnsiTheme="majorHAnsi" w:cstheme="majorHAnsi"/>
        </w:rPr>
        <w:t>.</w:t>
      </w:r>
      <w:hyperlink r:id="rId11"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12"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221625">
        <w:rPr>
          <w:rFonts w:asciiTheme="majorHAnsi" w:hAnsiTheme="majorHAnsi" w:cstheme="majorHAnsi"/>
        </w:rPr>
        <w:t>futuro</w:t>
      </w:r>
      <w:proofErr w:type="spellEnd"/>
      <w:r w:rsidRPr="00221625">
        <w:rPr>
          <w:rFonts w:asciiTheme="majorHAnsi" w:hAnsiTheme="majorHAnsi" w:cstheme="majorHAnsi"/>
        </w:rPr>
        <w:t xml:space="preserve">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13"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221625">
        <w:rPr>
          <w:rFonts w:asciiTheme="majorHAnsi" w:hAnsiTheme="majorHAnsi" w:cstheme="majorHAnsi"/>
        </w:rPr>
        <w:t>Okl</w:t>
      </w:r>
      <w:proofErr w:type="spellEnd"/>
      <w:r w:rsidRPr="00221625">
        <w:rPr>
          <w:rFonts w:asciiTheme="majorHAnsi" w:hAnsiTheme="majorHAnsi" w:cstheme="majorHAnsi"/>
        </w:rPr>
        <w:t xml:space="preserve">. 143, 144 P. 1075, 1080-81 (1914). For a more detailed explanation, see the Partridge quotation infra note 15. </w:t>
      </w:r>
      <w:r w:rsidRPr="00221625">
        <w:rPr>
          <w:rStyle w:val="IntenseEmphasis"/>
          <w:rFonts w:asciiTheme="majorHAnsi" w:hAnsiTheme="majorHAnsi" w:cstheme="majorHAnsi"/>
        </w:rPr>
        <w:t xml:space="preserve">Certain </w:t>
      </w:r>
      <w:r w:rsidRPr="001F3E76">
        <w:rPr>
          <w:rStyle w:val="IntenseEmphasis"/>
          <w:rFonts w:asciiTheme="majorHAnsi" w:hAnsiTheme="majorHAnsi" w:cstheme="majorHAnsi"/>
          <w:highlight w:val="green"/>
        </w:rPr>
        <w:t>contexts mandate</w:t>
      </w:r>
      <w:r w:rsidRPr="00221625">
        <w:rPr>
          <w:rStyle w:val="IntenseEmphasis"/>
          <w:rFonts w:asciiTheme="majorHAnsi" w:hAnsiTheme="majorHAnsi" w:cstheme="majorHAnsi"/>
        </w:rPr>
        <w:t xml:space="preserve"> a </w:t>
      </w:r>
      <w:r w:rsidRPr="001F3E76">
        <w:rPr>
          <w:rStyle w:val="IntenseEmphasis"/>
          <w:rFonts w:asciiTheme="majorHAnsi" w:hAnsiTheme="majorHAnsi" w:cstheme="majorHAnsi"/>
          <w:highlight w:val="green"/>
        </w:rPr>
        <w:t>construction of</w:t>
      </w:r>
      <w:r w:rsidRPr="00221625">
        <w:rPr>
          <w:rStyle w:val="IntenseEmphasis"/>
          <w:rFonts w:asciiTheme="majorHAnsi" w:hAnsiTheme="majorHAnsi" w:cstheme="majorHAnsi"/>
        </w:rPr>
        <w:t xml:space="preserve"> the term </w:t>
      </w:r>
      <w:r w:rsidRPr="001F3E76">
        <w:rPr>
          <w:rStyle w:val="IntenseEmphasis"/>
          <w:rFonts w:asciiTheme="majorHAnsi" w:hAnsiTheme="majorHAnsi" w:cstheme="majorHAnsi"/>
          <w:highlight w:val="green"/>
        </w:rPr>
        <w:t xml:space="preserve">"should" as </w:t>
      </w:r>
      <w:r w:rsidRPr="001F3E76">
        <w:rPr>
          <w:rStyle w:val="Emphasis"/>
          <w:rFonts w:asciiTheme="majorHAnsi" w:hAnsiTheme="majorHAnsi" w:cstheme="majorHAnsi"/>
          <w:highlight w:val="green"/>
        </w:rPr>
        <w:t>more</w:t>
      </w:r>
      <w:r w:rsidRPr="001F3E76">
        <w:rPr>
          <w:rStyle w:val="IntenseEmphasis"/>
          <w:rFonts w:asciiTheme="majorHAnsi" w:hAnsiTheme="majorHAnsi" w:cstheme="majorHAnsi"/>
          <w:highlight w:val="green"/>
        </w:rPr>
        <w:t xml:space="preserve"> than</w:t>
      </w:r>
      <w:r w:rsidRPr="00221625">
        <w:rPr>
          <w:rStyle w:val="IntenseEmphasis"/>
          <w:rFonts w:asciiTheme="majorHAnsi" w:hAnsiTheme="majorHAnsi" w:cstheme="majorHAnsi"/>
        </w:rPr>
        <w:t xml:space="preserve"> merely indicating</w:t>
      </w:r>
      <w:r w:rsidRPr="00221625">
        <w:rPr>
          <w:rFonts w:asciiTheme="majorHAnsi" w:hAnsiTheme="majorHAnsi" w:cstheme="majorHAnsi"/>
        </w:rPr>
        <w:t xml:space="preserve"> preference or </w:t>
      </w:r>
      <w:r w:rsidRPr="001F3E76">
        <w:rPr>
          <w:rStyle w:val="IntenseEmphasis"/>
          <w:rFonts w:asciiTheme="majorHAnsi" w:hAnsiTheme="majorHAnsi" w:cstheme="majorHAnsi"/>
          <w:highlight w:val="gree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14"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IntenseEmphasis"/>
          <w:rFonts w:asciiTheme="majorHAnsi" w:hAnsiTheme="majorHAnsi" w:cstheme="majorHAnsi"/>
        </w:rPr>
        <w:t>(</w:t>
      </w:r>
      <w:r w:rsidRPr="001F3E76">
        <w:rPr>
          <w:rStyle w:val="IntenseEmphasis"/>
          <w:rFonts w:asciiTheme="majorHAnsi" w:hAnsiTheme="majorHAnsi" w:cstheme="majorHAnsi"/>
          <w:highlight w:val="green"/>
        </w:rPr>
        <w:t>"should" would mean</w:t>
      </w:r>
      <w:r w:rsidRPr="00221625">
        <w:rPr>
          <w:rStyle w:val="IntenseEmphasis"/>
          <w:rFonts w:asciiTheme="majorHAnsi" w:hAnsiTheme="majorHAnsi" w:cstheme="majorHAnsi"/>
        </w:rPr>
        <w:t xml:space="preserve"> the same as</w:t>
      </w:r>
      <w:r w:rsidRPr="00221625">
        <w:rPr>
          <w:rFonts w:asciiTheme="majorHAnsi" w:hAnsiTheme="majorHAnsi" w:cstheme="majorHAnsi"/>
        </w:rPr>
        <w:t xml:space="preserve"> "shall" or </w:t>
      </w:r>
      <w:r w:rsidRPr="001F3E76">
        <w:rPr>
          <w:rStyle w:val="IntenseEmphasis"/>
          <w:rFonts w:asciiTheme="majorHAnsi" w:hAnsiTheme="majorHAnsi" w:cstheme="majorHAnsi"/>
          <w:highlight w:val="green"/>
        </w:rPr>
        <w:t>"must"</w:t>
      </w:r>
      <w:r w:rsidRPr="00221625">
        <w:rPr>
          <w:rStyle w:val="IntenseEmphasis"/>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15"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IntenseEmphasis"/>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IntenseEmphasis"/>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legal parlance </w:t>
      </w:r>
      <w:r w:rsidRPr="001F3E76">
        <w:rPr>
          <w:rStyle w:val="IntenseEmphasis"/>
          <w:rFonts w:asciiTheme="majorHAnsi" w:hAnsiTheme="majorHAnsi" w:cstheme="majorHAnsi"/>
          <w:highlight w:val="green"/>
        </w:rPr>
        <w:t>the phrase denotes</w:t>
      </w:r>
      <w:r w:rsidRPr="00221625">
        <w:rPr>
          <w:rFonts w:asciiTheme="majorHAnsi" w:hAnsiTheme="majorHAnsi" w:cstheme="majorHAnsi"/>
        </w:rPr>
        <w:t xml:space="preserve"> that which in </w:t>
      </w:r>
      <w:r w:rsidRPr="001F3E76">
        <w:rPr>
          <w:rStyle w:val="IntenseEmphasis"/>
          <w:rFonts w:asciiTheme="majorHAnsi" w:hAnsiTheme="majorHAnsi" w:cstheme="majorHAnsi"/>
          <w:highlight w:val="gree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1F3E76">
        <w:rPr>
          <w:rStyle w:val="Emphasis"/>
          <w:rFonts w:asciiTheme="majorHAnsi" w:hAnsiTheme="majorHAnsi" w:cstheme="majorHAnsi"/>
          <w:i/>
          <w:highlight w:val="green"/>
        </w:rPr>
        <w:t>immediately effective</w:t>
      </w:r>
      <w:r w:rsidRPr="00221625">
        <w:rPr>
          <w:rStyle w:val="IntenseEmphasis"/>
          <w:rFonts w:asciiTheme="majorHAnsi" w:hAnsiTheme="majorHAnsi" w:cstheme="majorHAnsi"/>
        </w:rPr>
        <w:t xml:space="preserve">, as </w:t>
      </w:r>
      <w:r w:rsidRPr="001F3E76">
        <w:rPr>
          <w:rStyle w:val="IntenseEmphasis"/>
          <w:rFonts w:asciiTheme="majorHAnsi" w:hAnsiTheme="majorHAnsi" w:cstheme="majorHAnsi"/>
          <w:highlight w:val="green"/>
        </w:rPr>
        <w:t>opposed to</w:t>
      </w:r>
      <w:r w:rsidRPr="00221625">
        <w:rPr>
          <w:rStyle w:val="IntenseEmphasis"/>
          <w:rFonts w:asciiTheme="majorHAnsi" w:hAnsiTheme="majorHAnsi" w:cstheme="majorHAnsi"/>
        </w:rPr>
        <w:t xml:space="preserve"> something that </w:t>
      </w:r>
      <w:r w:rsidRPr="00221625">
        <w:rPr>
          <w:rStyle w:val="IntenseEmphasis"/>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IntenseEmphasis"/>
          <w:rFonts w:asciiTheme="majorHAnsi" w:hAnsiTheme="majorHAnsi" w:cstheme="majorHAnsi"/>
        </w:rPr>
        <w:t xml:space="preserve">become effective </w:t>
      </w:r>
      <w:r w:rsidRPr="001F3E76">
        <w:rPr>
          <w:rStyle w:val="Emphasis"/>
          <w:rFonts w:asciiTheme="majorHAnsi" w:hAnsiTheme="majorHAnsi" w:cstheme="majorHAnsi"/>
          <w:i/>
          <w:highlight w:val="green"/>
        </w:rPr>
        <w:t>in the future</w:t>
      </w:r>
      <w:r w:rsidRPr="00221625">
        <w:rPr>
          <w:rFonts w:asciiTheme="majorHAnsi" w:hAnsiTheme="majorHAnsi" w:cstheme="majorHAnsi"/>
          <w:i/>
          <w:iCs/>
        </w:rPr>
        <w:t xml:space="preserve"> [in </w:t>
      </w:r>
      <w:proofErr w:type="spellStart"/>
      <w:r w:rsidRPr="00221625">
        <w:rPr>
          <w:rFonts w:asciiTheme="majorHAnsi" w:hAnsiTheme="majorHAnsi" w:cstheme="majorHAnsi"/>
          <w:i/>
          <w:iCs/>
        </w:rPr>
        <w:t>futurol</w:t>
      </w:r>
      <w:proofErr w:type="spellEnd"/>
      <w:r w:rsidRPr="00221625">
        <w:rPr>
          <w:rFonts w:asciiTheme="majorHAnsi" w:hAnsiTheme="majorHAnsi" w:cstheme="majorHAnsi"/>
        </w:rPr>
        <w:t xml:space="preserve">]. See Van </w:t>
      </w:r>
      <w:proofErr w:type="spellStart"/>
      <w:r w:rsidRPr="00221625">
        <w:rPr>
          <w:rFonts w:asciiTheme="majorHAnsi" w:hAnsiTheme="majorHAnsi" w:cstheme="majorHAnsi"/>
        </w:rPr>
        <w:t>Wyck</w:t>
      </w:r>
      <w:proofErr w:type="spellEnd"/>
      <w:r w:rsidRPr="00221625">
        <w:rPr>
          <w:rFonts w:asciiTheme="majorHAnsi" w:hAnsiTheme="majorHAnsi" w:cstheme="majorHAnsi"/>
        </w:rPr>
        <w:t xml:space="preserve"> v. </w:t>
      </w:r>
      <w:proofErr w:type="spellStart"/>
      <w:r w:rsidRPr="00221625">
        <w:rPr>
          <w:rFonts w:asciiTheme="majorHAnsi" w:hAnsiTheme="majorHAnsi" w:cstheme="majorHAnsi"/>
        </w:rPr>
        <w:t>Knevals</w:t>
      </w:r>
      <w:proofErr w:type="spellEnd"/>
      <w:r w:rsidRPr="00221625">
        <w:rPr>
          <w:rFonts w:asciiTheme="majorHAnsi" w:hAnsiTheme="majorHAnsi" w:cstheme="majorHAnsi"/>
        </w:rPr>
        <w:t xml:space="preserve">, </w:t>
      </w:r>
      <w:hyperlink r:id="rId16" w:history="1">
        <w:r w:rsidRPr="00221625">
          <w:rPr>
            <w:rFonts w:asciiTheme="majorHAnsi" w:hAnsiTheme="majorHAnsi" w:cstheme="majorHAnsi"/>
          </w:rPr>
          <w:t>106 U.S. 360</w:t>
        </w:r>
      </w:hyperlink>
      <w:r w:rsidRPr="00221625">
        <w:rPr>
          <w:rFonts w:asciiTheme="majorHAnsi" w:hAnsiTheme="majorHAnsi" w:cstheme="majorHAnsi"/>
        </w:rPr>
        <w:t xml:space="preserve">, 365, 1 </w:t>
      </w:r>
      <w:proofErr w:type="spellStart"/>
      <w:r w:rsidRPr="00221625">
        <w:rPr>
          <w:rFonts w:asciiTheme="majorHAnsi" w:hAnsiTheme="majorHAnsi" w:cstheme="majorHAnsi"/>
        </w:rPr>
        <w:t>S.Ct</w:t>
      </w:r>
      <w:proofErr w:type="spellEnd"/>
      <w:r w:rsidRPr="00221625">
        <w:rPr>
          <w:rFonts w:asciiTheme="majorHAnsi" w:hAnsiTheme="majorHAnsi" w:cstheme="majorHAnsi"/>
        </w:rPr>
        <w:t xml:space="preserve">. 336, 337, 27 </w:t>
      </w:r>
      <w:proofErr w:type="spellStart"/>
      <w:r w:rsidRPr="00221625">
        <w:rPr>
          <w:rFonts w:asciiTheme="majorHAnsi" w:hAnsiTheme="majorHAnsi" w:cstheme="majorHAnsi"/>
        </w:rPr>
        <w:t>L.Ed</w:t>
      </w:r>
      <w:proofErr w:type="spellEnd"/>
      <w:r w:rsidRPr="00221625">
        <w:rPr>
          <w:rFonts w:asciiTheme="majorHAnsi" w:hAnsiTheme="majorHAnsi" w:cstheme="majorHAnsi"/>
        </w:rPr>
        <w:t xml:space="preserve">. 201 (1882). </w:t>
      </w:r>
    </w:p>
    <w:p w14:paraId="674E909B" w14:textId="77777777" w:rsidR="00402B5D" w:rsidRDefault="00402B5D" w:rsidP="00402B5D">
      <w:pPr>
        <w:pStyle w:val="Heading4"/>
      </w:pPr>
      <w:r>
        <w:t xml:space="preserve">Appropriation of outer space” by private entities refers to the exercise of exclusive control of space. </w:t>
      </w:r>
    </w:p>
    <w:p w14:paraId="4C0E68CB" w14:textId="77777777" w:rsidR="00402B5D" w:rsidRPr="00932A50" w:rsidRDefault="00402B5D" w:rsidP="00402B5D">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5FD70F75" w14:textId="77777777" w:rsidR="00402B5D" w:rsidRPr="00315C09" w:rsidRDefault="00402B5D" w:rsidP="00402B5D">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0D3DC3">
        <w:rPr>
          <w:rStyle w:val="Emphasis"/>
          <w:highlight w:val="green"/>
        </w:rPr>
        <w:t>Appropriation of outer space</w:t>
      </w:r>
      <w:r>
        <w:t xml:space="preserve">, </w:t>
      </w:r>
      <w:r w:rsidRPr="00624907">
        <w:rPr>
          <w:rStyle w:val="Emphasis"/>
        </w:rPr>
        <w:t xml:space="preserve">therefore, </w:t>
      </w:r>
      <w:r w:rsidRPr="000D3DC3">
        <w:rPr>
          <w:rStyle w:val="Emphasis"/>
          <w:highlight w:val="green"/>
        </w:rPr>
        <w:t>is ‘the exercise of exclusive control or</w:t>
      </w:r>
      <w:r w:rsidRPr="00624907">
        <w:rPr>
          <w:rStyle w:val="Emphasis"/>
        </w:rPr>
        <w:t xml:space="preserve"> exclusive </w:t>
      </w:r>
      <w:r w:rsidRPr="000D3DC3">
        <w:rPr>
          <w:rStyle w:val="Emphasis"/>
          <w:highlight w:val="green"/>
        </w:rPr>
        <w:t>use’</w:t>
      </w:r>
      <w:r w:rsidRPr="00624907">
        <w:rPr>
          <w:rStyle w:val="Emphasis"/>
        </w:rPr>
        <w:t xml:space="preserve"> with a sense of permanence, </w:t>
      </w:r>
      <w:r w:rsidRPr="000D3DC3">
        <w:rPr>
          <w:rStyle w:val="Emphasis"/>
          <w:highlight w:val="green"/>
        </w:rPr>
        <w:t>which limits other nations’ access</w:t>
      </w:r>
      <w:r w:rsidRPr="00624907">
        <w:rPr>
          <w:rStyle w:val="Emphasis"/>
        </w:rPr>
        <w:t xml:space="preserve">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5878E1EE" w14:textId="77777777" w:rsidR="00402B5D" w:rsidRDefault="00402B5D" w:rsidP="00402B5D">
      <w:pPr>
        <w:pStyle w:val="Heading4"/>
      </w:pPr>
      <w:r>
        <w:t>Outer Space is considered anything that sits above the Earth’s atmosphere</w:t>
      </w:r>
    </w:p>
    <w:p w14:paraId="30804CEA" w14:textId="77777777" w:rsidR="00402B5D" w:rsidRPr="00A80554" w:rsidRDefault="00402B5D" w:rsidP="00402B5D">
      <w:r w:rsidRPr="00A80554">
        <w:rPr>
          <w:rStyle w:val="Style13ptBold"/>
        </w:rPr>
        <w:t>Betz 21</w:t>
      </w:r>
      <w:r>
        <w:t xml:space="preserve"> [(</w:t>
      </w:r>
      <w:r w:rsidRPr="00A80554">
        <w:t>Eric Betz</w:t>
      </w:r>
      <w:r>
        <w:t xml:space="preserve">, </w:t>
      </w:r>
      <w:r w:rsidRPr="00A80554">
        <w:t>Science &amp; tech writer for @Discovermag, @Astronomymag and others</w:t>
      </w:r>
      <w:r>
        <w:t>), “</w:t>
      </w:r>
      <w:r w:rsidRPr="00A80554">
        <w:t>The Kármán Line: Where does space begin?</w:t>
      </w:r>
      <w:r>
        <w:t xml:space="preserve">”, Astronomy, </w:t>
      </w:r>
      <w:r w:rsidRPr="00A80554">
        <w:t>https://astronomy.com/news/2021/03/the-krmn-line-where-does-space-begin</w:t>
      </w:r>
      <w:r>
        <w:t xml:space="preserve">, </w:t>
      </w:r>
      <w:r w:rsidRPr="00A80554">
        <w:t>March 5, 2021</w:t>
      </w:r>
      <w:r>
        <w:t>] SS</w:t>
      </w:r>
    </w:p>
    <w:p w14:paraId="45138499" w14:textId="77777777" w:rsidR="00402B5D" w:rsidRPr="00A80554" w:rsidRDefault="00402B5D" w:rsidP="00402B5D">
      <w:pPr>
        <w:rPr>
          <w:rStyle w:val="StyleUnderline"/>
        </w:rPr>
      </w:pPr>
      <w:r>
        <w:t xml:space="preserve">These days, </w:t>
      </w:r>
      <w:r w:rsidRPr="00A80554">
        <w:rPr>
          <w:rStyle w:val="StyleUnderline"/>
        </w:rPr>
        <w:t>spacecraft are venturing into the final frontier at a record pace</w:t>
      </w:r>
      <w:r>
        <w:t>. And a deluge of paying space tourists should soon follow. But to earn their astron</w:t>
      </w:r>
      <w:r w:rsidRPr="00A80554">
        <w:rPr>
          <w:rStyle w:val="StyleUnderline"/>
        </w:rPr>
        <w:t xml:space="preserve">aut wings, high-flying civilians </w:t>
      </w:r>
      <w:r w:rsidRPr="00A80554">
        <w:rPr>
          <w:rStyle w:val="Emphasis"/>
        </w:rPr>
        <w:t xml:space="preserve">will have to make it </w:t>
      </w:r>
      <w:r w:rsidRPr="00A80554">
        <w:rPr>
          <w:rStyle w:val="Emphasis"/>
          <w:highlight w:val="green"/>
        </w:rPr>
        <w:t>past the so-called Kármán line</w:t>
      </w:r>
      <w:r w:rsidRPr="00A80554">
        <w:rPr>
          <w:rStyle w:val="Emphasis"/>
        </w:rPr>
        <w:t>.</w:t>
      </w:r>
      <w:r>
        <w:t xml:space="preserve"> </w:t>
      </w:r>
      <w:r w:rsidRPr="00A80554">
        <w:rPr>
          <w:rStyle w:val="StyleUnderline"/>
        </w:rPr>
        <w:t xml:space="preserve">This boundary </w:t>
      </w:r>
      <w:r w:rsidRPr="00A80554">
        <w:rPr>
          <w:rStyle w:val="StyleUnderline"/>
          <w:highlight w:val="green"/>
        </w:rPr>
        <w:t>sits some 62 miles</w:t>
      </w:r>
      <w:r w:rsidRPr="00A80554">
        <w:rPr>
          <w:rStyle w:val="StyleUnderline"/>
        </w:rPr>
        <w:t xml:space="preserve"> (100 kilometers) </w:t>
      </w:r>
      <w:r w:rsidRPr="00A80554">
        <w:rPr>
          <w:rStyle w:val="StyleUnderline"/>
          <w:highlight w:val="green"/>
        </w:rPr>
        <w:t>above Earth's surface</w:t>
      </w:r>
      <w:r w:rsidRPr="00A80554">
        <w:rPr>
          <w:rStyle w:val="StyleUnderline"/>
        </w:rPr>
        <w:t xml:space="preserve">, and it's generally </w:t>
      </w:r>
      <w:r w:rsidRPr="00A80554">
        <w:rPr>
          <w:rStyle w:val="Emphasis"/>
          <w:highlight w:val="green"/>
        </w:rPr>
        <w:t>accepted</w:t>
      </w:r>
      <w:r w:rsidRPr="00A80554">
        <w:rPr>
          <w:rStyle w:val="StyleUnderline"/>
        </w:rPr>
        <w:t xml:space="preserve"> </w:t>
      </w:r>
      <w:r w:rsidRPr="00A80554">
        <w:rPr>
          <w:rStyle w:val="StyleUnderline"/>
          <w:highlight w:val="green"/>
        </w:rPr>
        <w:t xml:space="preserve">as the place where Earth </w:t>
      </w:r>
      <w:proofErr w:type="gramStart"/>
      <w:r w:rsidRPr="00A80554">
        <w:rPr>
          <w:rStyle w:val="StyleUnderline"/>
          <w:highlight w:val="green"/>
        </w:rPr>
        <w:t>ends</w:t>
      </w:r>
      <w:proofErr w:type="gramEnd"/>
      <w:r w:rsidRPr="00A80554">
        <w:rPr>
          <w:rStyle w:val="StyleUnderline"/>
          <w:highlight w:val="green"/>
        </w:rPr>
        <w:t xml:space="preserve"> and </w:t>
      </w:r>
      <w:r w:rsidRPr="00A80554">
        <w:rPr>
          <w:rStyle w:val="Emphasis"/>
          <w:highlight w:val="green"/>
        </w:rPr>
        <w:t>outer space begins</w:t>
      </w:r>
      <w:r w:rsidRPr="00A80554">
        <w:rPr>
          <w:rStyle w:val="StyleUnderline"/>
        </w:rPr>
        <w:t>.</w:t>
      </w:r>
    </w:p>
    <w:p w14:paraId="18D2C863" w14:textId="77777777" w:rsidR="00402B5D" w:rsidRPr="00D935B8" w:rsidRDefault="00402B5D" w:rsidP="00402B5D">
      <w:pPr>
        <w:pStyle w:val="Heading4"/>
      </w:pPr>
      <w:r>
        <w:t>Private entities are non-governmental corporations</w:t>
      </w:r>
    </w:p>
    <w:p w14:paraId="695E3988" w14:textId="77777777" w:rsidR="00402B5D" w:rsidRDefault="00402B5D" w:rsidP="00402B5D">
      <w:pPr>
        <w:rPr>
          <w:rStyle w:val="Hyperlink"/>
        </w:rPr>
      </w:pPr>
      <w:proofErr w:type="spellStart"/>
      <w:r w:rsidRPr="00D935B8">
        <w:rPr>
          <w:rStyle w:val="Style13ptBold"/>
        </w:rPr>
        <w:t>UpCounsel</w:t>
      </w:r>
      <w:proofErr w:type="spellEnd"/>
      <w:r w:rsidRPr="00D935B8">
        <w:rPr>
          <w:rStyle w:val="Style13ptBold"/>
        </w:rPr>
        <w:t xml:space="preserve"> ND</w:t>
      </w:r>
      <w:r w:rsidRPr="00D935B8">
        <w:t xml:space="preserve"> </w:t>
      </w:r>
      <w:r>
        <w:t>[(</w:t>
      </w:r>
      <w:proofErr w:type="spellStart"/>
      <w:r w:rsidRPr="00D935B8">
        <w:t>UpCounsel</w:t>
      </w:r>
      <w:proofErr w:type="spellEnd"/>
      <w:r w:rsidRPr="00D935B8">
        <w:t xml:space="preserve"> is an interactive online service that makes it faster and easier for businesses to find and hire legal help solely based on their preferences. </w:t>
      </w:r>
      <w:r>
        <w:t>“</w:t>
      </w:r>
      <w:r w:rsidRPr="00D935B8">
        <w:t>Private Entity: Everything You Need to Know</w:t>
      </w:r>
      <w:r>
        <w:t xml:space="preserve">”, </w:t>
      </w:r>
      <w:proofErr w:type="spellStart"/>
      <w:r w:rsidRPr="00D935B8">
        <w:t>UpCounsel</w:t>
      </w:r>
      <w:proofErr w:type="spellEnd"/>
      <w:r>
        <w:t xml:space="preserve">, </w:t>
      </w:r>
      <w:r w:rsidRPr="00D935B8">
        <w:t>https://www.upcounsel.com/private-entity#importance-of-private-entities</w:t>
      </w:r>
      <w:r>
        <w:rPr>
          <w:rStyle w:val="Hyperlink"/>
        </w:rPr>
        <w:t>, No Date] SS</w:t>
      </w:r>
    </w:p>
    <w:p w14:paraId="5ED1FFC1" w14:textId="77777777" w:rsidR="00402B5D" w:rsidRDefault="00402B5D" w:rsidP="00402B5D">
      <w:r>
        <w:t xml:space="preserve">A </w:t>
      </w:r>
      <w:r w:rsidRPr="00622B62">
        <w:rPr>
          <w:rStyle w:val="Emphasis"/>
          <w:highlight w:val="green"/>
        </w:rPr>
        <w:t>private entity</w:t>
      </w:r>
      <w:r w:rsidRPr="00622B62">
        <w:rPr>
          <w:highlight w:val="green"/>
        </w:rPr>
        <w:t xml:space="preserve"> </w:t>
      </w:r>
      <w:r w:rsidRPr="00BA0CFC">
        <w:rPr>
          <w:rStyle w:val="StyleUnderline"/>
        </w:rPr>
        <w:t>can be a partnership</w:t>
      </w:r>
      <w:r w:rsidRPr="00622B62">
        <w:rPr>
          <w:rStyle w:val="StyleUnderline"/>
          <w:highlight w:val="green"/>
        </w:rPr>
        <w:t>, corporation</w:t>
      </w:r>
      <w:r w:rsidRPr="00BA0CFC">
        <w:rPr>
          <w:rStyle w:val="StyleUnderline"/>
        </w:rPr>
        <w:t xml:space="preserve">, individual, nonprofit organization, company, or any other organized group that is </w:t>
      </w:r>
      <w:r w:rsidRPr="00622B62">
        <w:rPr>
          <w:rStyle w:val="StyleUnderline"/>
          <w:highlight w:val="green"/>
        </w:rPr>
        <w:t xml:space="preserve">not </w:t>
      </w:r>
      <w:proofErr w:type="gramStart"/>
      <w:r w:rsidRPr="00622B62">
        <w:rPr>
          <w:rStyle w:val="StyleUnderline"/>
          <w:highlight w:val="green"/>
        </w:rPr>
        <w:t>government-affiliated</w:t>
      </w:r>
      <w:proofErr w:type="gramEnd"/>
      <w:r w:rsidRPr="00622B62">
        <w:rPr>
          <w:highlight w:val="green"/>
        </w:rPr>
        <w:t xml:space="preserve">. </w:t>
      </w:r>
      <w:r w:rsidRPr="00622B62">
        <w:t>Indian tribes and foreign public entities are not considered private entities.</w:t>
      </w:r>
    </w:p>
    <w:p w14:paraId="394D77CA" w14:textId="77777777" w:rsidR="00402B5D" w:rsidRDefault="00402B5D" w:rsidP="00402B5D">
      <w:pPr>
        <w:rPr>
          <w:rStyle w:val="StyleUnderline"/>
        </w:rPr>
      </w:pPr>
      <w:r w:rsidRPr="00622B62">
        <w:rPr>
          <w:rStyle w:val="StyleUnderline"/>
        </w:rPr>
        <w:t xml:space="preserve">Unlike publicly traded </w:t>
      </w:r>
      <w:r w:rsidRPr="00BA0CFC">
        <w:rPr>
          <w:rStyle w:val="StyleUnderline"/>
        </w:rPr>
        <w:t>companies, private companies</w:t>
      </w:r>
      <w:r w:rsidRPr="00622B62">
        <w:rPr>
          <w:rStyle w:val="StyleUnderline"/>
          <w:highlight w:val="green"/>
        </w:rPr>
        <w:t xml:space="preserve"> do not have public stock offerings</w:t>
      </w:r>
      <w:r w:rsidRPr="00622B62">
        <w:rPr>
          <w:rStyle w:val="StyleUnderline"/>
        </w:rPr>
        <w:t xml:space="preserve"> on Nasdaq, American Stock Exchange, or the New York Stock Exchange. Instead, </w:t>
      </w:r>
      <w:r w:rsidRPr="00BA0CFC">
        <w:rPr>
          <w:rStyle w:val="StyleUnderline"/>
        </w:rPr>
        <w:t>they offer shares privately to interested investors, who may trade among themselves.</w:t>
      </w:r>
    </w:p>
    <w:p w14:paraId="6BF950B4" w14:textId="77777777" w:rsidR="00402B5D" w:rsidRPr="00BA0CFC" w:rsidRDefault="00402B5D" w:rsidP="00402B5D">
      <w:pPr>
        <w:pStyle w:val="Heading4"/>
      </w:pPr>
      <w:r>
        <w:t>Unjust means unfair or characterized by injustice</w:t>
      </w:r>
    </w:p>
    <w:p w14:paraId="5699FECD" w14:textId="77777777" w:rsidR="00402B5D" w:rsidRPr="00220287" w:rsidRDefault="00402B5D" w:rsidP="00402B5D">
      <w:r w:rsidRPr="00466B57">
        <w:rPr>
          <w:rStyle w:val="Style13ptBold"/>
        </w:rPr>
        <w:t>Merriam Webster ND</w:t>
      </w:r>
      <w:r w:rsidRPr="00466B57">
        <w:t xml:space="preserve"> </w:t>
      </w:r>
      <w:r>
        <w:t>[</w:t>
      </w:r>
      <w:r w:rsidRPr="00466B57">
        <w:t xml:space="preserve">(Merriam-Webster, </w:t>
      </w:r>
      <w:r w:rsidRPr="00CF65BF">
        <w:t>Merriam-Webster, Inc. is an American company that publishes reference books and is especially known for its dictionaries.</w:t>
      </w:r>
      <w:proofErr w:type="gramStart"/>
      <w:r>
        <w:t>)</w:t>
      </w:r>
      <w:r w:rsidRPr="00466B57">
        <w:t>,</w:t>
      </w:r>
      <w:r>
        <w:t>“</w:t>
      </w:r>
      <w:proofErr w:type="gramEnd"/>
      <w:r>
        <w:t xml:space="preserve">unjust”, </w:t>
      </w:r>
      <w:r w:rsidRPr="00BA0CFC">
        <w:t>https://www.merriam-webster.com/dictionary/unjust</w:t>
      </w:r>
      <w:r>
        <w:t>, No Date] SS</w:t>
      </w:r>
    </w:p>
    <w:p w14:paraId="6CD0F096" w14:textId="77777777" w:rsidR="00402B5D" w:rsidRPr="00220287" w:rsidRDefault="00402B5D" w:rsidP="00402B5D">
      <w:pPr>
        <w:rPr>
          <w:rStyle w:val="StyleUnderline"/>
        </w:rPr>
      </w:pPr>
      <w:r w:rsidRPr="00220287">
        <w:rPr>
          <w:rStyle w:val="StyleUnderline"/>
        </w:rPr>
        <w:t>Definition of unjust</w:t>
      </w:r>
    </w:p>
    <w:p w14:paraId="26AA9CD6" w14:textId="77777777" w:rsidR="00402B5D" w:rsidRDefault="00402B5D" w:rsidP="00402B5D">
      <w:pPr>
        <w:rPr>
          <w:rStyle w:val="StyleUnderline"/>
        </w:rPr>
      </w:pPr>
      <w:r>
        <w:t>1</w:t>
      </w:r>
      <w:r w:rsidRPr="00BA0CFC">
        <w:rPr>
          <w:rStyle w:val="StyleUnderline"/>
          <w:highlight w:val="green"/>
        </w:rPr>
        <w:t xml:space="preserve">: characterized by </w:t>
      </w:r>
      <w:proofErr w:type="gramStart"/>
      <w:r w:rsidRPr="00BA0CFC">
        <w:rPr>
          <w:rStyle w:val="Emphasis"/>
          <w:highlight w:val="green"/>
        </w:rPr>
        <w:t>injustice</w:t>
      </w:r>
      <w:r w:rsidRPr="00BA0CFC">
        <w:rPr>
          <w:highlight w:val="green"/>
        </w:rPr>
        <w:t xml:space="preserve"> :</w:t>
      </w:r>
      <w:proofErr w:type="gramEnd"/>
      <w:r w:rsidRPr="00BA0CFC">
        <w:rPr>
          <w:highlight w:val="green"/>
        </w:rPr>
        <w:t xml:space="preserve"> </w:t>
      </w:r>
      <w:r w:rsidRPr="00BA0CFC">
        <w:rPr>
          <w:rStyle w:val="StyleUnderline"/>
          <w:highlight w:val="green"/>
        </w:rPr>
        <w:t>UNFAIR</w:t>
      </w:r>
    </w:p>
    <w:p w14:paraId="7A4F7868" w14:textId="77777777" w:rsidR="00402B5D" w:rsidRDefault="00402B5D" w:rsidP="00402B5D"/>
    <w:p w14:paraId="55CB3699" w14:textId="77777777" w:rsidR="00402B5D" w:rsidRDefault="00402B5D" w:rsidP="00402B5D">
      <w:pPr>
        <w:pStyle w:val="Heading4"/>
      </w:pPr>
      <w:r>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 xml:space="preserve">favors the </w:t>
      </w:r>
      <w:proofErr w:type="spellStart"/>
      <w:r w:rsidRPr="00753C7C">
        <w:rPr>
          <w:u w:val="single"/>
        </w:rPr>
        <w:t>aff</w:t>
      </w:r>
      <w:proofErr w:type="spellEnd"/>
      <w:r>
        <w:t xml:space="preserve"> by making neg ground inapplicable, susceptible to the perm, and concessionary. Two additional impacts: </w:t>
      </w:r>
    </w:p>
    <w:p w14:paraId="6FFA7F7E" w14:textId="77777777" w:rsidR="00402B5D" w:rsidRDefault="00402B5D" w:rsidP="00402B5D">
      <w:pPr>
        <w:pStyle w:val="Heading4"/>
        <w:numPr>
          <w:ilvl w:val="0"/>
          <w:numId w:val="12"/>
        </w:numPr>
        <w:tabs>
          <w:tab w:val="num" w:pos="360"/>
        </w:tabs>
        <w:ind w:left="0" w:firstLine="0"/>
      </w:pPr>
      <w:r>
        <w:t xml:space="preserve">Accessibility – </w:t>
      </w:r>
      <w:r w:rsidRPr="00BB42BB">
        <w:t xml:space="preserve">Cutting negs to </w:t>
      </w:r>
      <w:r w:rsidRPr="00B073BF">
        <w:rPr>
          <w:u w:val="single"/>
        </w:rPr>
        <w:t>every possible</w:t>
      </w:r>
      <w:r w:rsidRPr="00BB42BB">
        <w:t xml:space="preserve"> </w:t>
      </w:r>
      <w:proofErr w:type="spellStart"/>
      <w:r w:rsidRPr="00BB42BB">
        <w:t>aff</w:t>
      </w:r>
      <w:proofErr w:type="spellEnd"/>
      <w:r w:rsidRPr="00BB42BB">
        <w:t xml:space="preserve">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77FA04E6" w14:textId="77777777" w:rsidR="00402B5D" w:rsidRPr="002B503D" w:rsidRDefault="00402B5D" w:rsidP="00402B5D">
      <w:pPr>
        <w:pStyle w:val="Heading4"/>
        <w:numPr>
          <w:ilvl w:val="0"/>
          <w:numId w:val="12"/>
        </w:numPr>
        <w:tabs>
          <w:tab w:val="num" w:pos="360"/>
        </w:tabs>
        <w:ind w:left="0" w:firstLine="0"/>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w:t>
      </w:r>
      <w:proofErr w:type="spellStart"/>
      <w:r>
        <w:t>resolutional</w:t>
      </w:r>
      <w:proofErr w:type="spellEnd"/>
      <w:r>
        <w:t xml:space="preserve">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4D9ADCC5" w14:textId="16CD1AD8" w:rsidR="00402B5D" w:rsidRPr="00B073BF" w:rsidRDefault="00402B5D" w:rsidP="00402B5D">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 xml:space="preserve">they’ve skewed the game which necessarily comes first because it makes evaluating the </w:t>
      </w:r>
      <w:proofErr w:type="spellStart"/>
      <w:r>
        <w:t>aff</w:t>
      </w:r>
      <w:proofErr w:type="spellEnd"/>
      <w:r>
        <w:t xml:space="preserve">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sidR="00A40A61">
        <w:rPr>
          <w:rFonts w:asciiTheme="majorHAnsi" w:hAnsiTheme="majorHAnsi" w:cstheme="majorHAnsi"/>
        </w:rPr>
        <w:t xml:space="preserve">. </w:t>
      </w:r>
      <w:r>
        <w:rPr>
          <w:rFonts w:asciiTheme="majorHAnsi" w:hAnsiTheme="majorHAnsi" w:cstheme="majorHAnsi"/>
        </w:rPr>
        <w:br/>
      </w:r>
    </w:p>
    <w:p w14:paraId="4D10C489" w14:textId="5A2BD9FF" w:rsidR="00402B5D" w:rsidRDefault="00402B5D" w:rsidP="00F57A06">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5F56F330" w14:textId="25BC5354" w:rsidR="00D8335B" w:rsidRDefault="00D8335B" w:rsidP="00D8335B"/>
    <w:p w14:paraId="44D57DA7" w14:textId="4A9085B4" w:rsidR="00D8335B" w:rsidRPr="00D8335B" w:rsidRDefault="00D8335B" w:rsidP="00D8335B">
      <w:pPr>
        <w:pStyle w:val="Heading4"/>
      </w:pPr>
      <w:r>
        <w:t>The ROB is to vote for the better debater.</w:t>
      </w:r>
    </w:p>
    <w:p w14:paraId="473424FC" w14:textId="5BCF7233" w:rsidR="00D8335B" w:rsidRPr="00F57A06" w:rsidRDefault="00D8335B" w:rsidP="00F57A06"/>
    <w:p w14:paraId="03E4BCD6" w14:textId="24C69CE7" w:rsidR="00402B5D" w:rsidRPr="00221625" w:rsidRDefault="00402B5D" w:rsidP="00402B5D">
      <w:pPr>
        <w:pStyle w:val="Heading4"/>
        <w:rPr>
          <w:rFonts w:asciiTheme="majorHAnsi" w:hAnsiTheme="majorHAnsi" w:cstheme="majorHAnsi"/>
        </w:rPr>
      </w:pPr>
      <w:r w:rsidRPr="00221625">
        <w:rPr>
          <w:rFonts w:asciiTheme="majorHAnsi" w:hAnsiTheme="majorHAnsi" w:cstheme="majorHAnsi"/>
        </w:rPr>
        <w:t xml:space="preserve">A topical version of the </w:t>
      </w:r>
      <w:proofErr w:type="spellStart"/>
      <w:r w:rsidRPr="00221625">
        <w:rPr>
          <w:rFonts w:asciiTheme="majorHAnsi" w:hAnsiTheme="majorHAnsi" w:cstheme="majorHAnsi"/>
        </w:rPr>
        <w:t>aff</w:t>
      </w:r>
      <w:proofErr w:type="spellEnd"/>
      <w:r w:rsidRPr="00221625">
        <w:rPr>
          <w:rFonts w:asciiTheme="majorHAnsi" w:hAnsiTheme="majorHAnsi" w:cstheme="majorHAnsi"/>
        </w:rPr>
        <w:t xml:space="preserve"> solves most of their offense – </w:t>
      </w:r>
    </w:p>
    <w:p w14:paraId="792D0A9F" w14:textId="6DE83CAA" w:rsidR="00402B5D" w:rsidRDefault="00402B5D" w:rsidP="00402B5D">
      <w:pPr>
        <w:pStyle w:val="Heading4"/>
        <w:rPr>
          <w:rFonts w:asciiTheme="majorHAnsi" w:hAnsiTheme="majorHAnsi" w:cstheme="majorHAnsi"/>
        </w:rPr>
      </w:pPr>
      <w:r w:rsidRPr="00221625">
        <w:rPr>
          <w:rFonts w:asciiTheme="majorHAnsi" w:hAnsiTheme="majorHAnsi" w:cstheme="majorHAnsi"/>
        </w:rPr>
        <w:t xml:space="preserve">Use sufficiency framing when evaluating the TVA debate – solvency deficits are </w:t>
      </w:r>
      <w:r w:rsidRPr="00221625">
        <w:rPr>
          <w:rFonts w:asciiTheme="majorHAnsi" w:hAnsiTheme="majorHAnsi" w:cstheme="majorHAnsi"/>
          <w:u w:val="single"/>
        </w:rPr>
        <w:t>negative ground</w:t>
      </w:r>
      <w:r w:rsidRPr="00221625">
        <w:rPr>
          <w:rFonts w:asciiTheme="majorHAnsi" w:hAnsiTheme="majorHAnsi" w:cstheme="majorHAnsi"/>
        </w:rPr>
        <w:t xml:space="preserve"> and prove the </w:t>
      </w:r>
      <w:proofErr w:type="spellStart"/>
      <w:r w:rsidRPr="00221625">
        <w:rPr>
          <w:rFonts w:asciiTheme="majorHAnsi" w:hAnsiTheme="majorHAnsi" w:cstheme="majorHAnsi"/>
        </w:rPr>
        <w:t>aff</w:t>
      </w:r>
      <w:proofErr w:type="spellEnd"/>
      <w:r w:rsidRPr="00221625">
        <w:rPr>
          <w:rFonts w:asciiTheme="majorHAnsi" w:hAnsiTheme="majorHAnsi" w:cstheme="majorHAnsi"/>
        </w:rPr>
        <w:t xml:space="preserve"> is a </w:t>
      </w:r>
      <w:r w:rsidRPr="00221625">
        <w:rPr>
          <w:rFonts w:asciiTheme="majorHAnsi" w:hAnsiTheme="majorHAnsi" w:cstheme="majorHAnsi"/>
          <w:u w:val="single"/>
        </w:rPr>
        <w:t>fair</w:t>
      </w:r>
      <w:r w:rsidRPr="00221625">
        <w:rPr>
          <w:rFonts w:asciiTheme="majorHAnsi" w:hAnsiTheme="majorHAnsi" w:cstheme="majorHAnsi"/>
        </w:rPr>
        <w:t xml:space="preserve"> and </w:t>
      </w:r>
      <w:r w:rsidRPr="00221625">
        <w:rPr>
          <w:rFonts w:asciiTheme="majorHAnsi" w:hAnsiTheme="majorHAnsi" w:cstheme="majorHAnsi"/>
          <w:u w:val="single"/>
        </w:rPr>
        <w:t>contestable</w:t>
      </w:r>
      <w:r w:rsidRPr="00221625">
        <w:rPr>
          <w:rFonts w:asciiTheme="majorHAnsi" w:hAnsiTheme="majorHAnsi" w:cstheme="majorHAnsi"/>
        </w:rPr>
        <w:t xml:space="preserve"> position </w:t>
      </w:r>
    </w:p>
    <w:p w14:paraId="016C437E" w14:textId="0B306B6E" w:rsidR="007B62EB" w:rsidRDefault="007B62EB" w:rsidP="007B62EB"/>
    <w:p w14:paraId="29948F41" w14:textId="77777777" w:rsidR="00F57A06" w:rsidRPr="00221625" w:rsidRDefault="00F57A06" w:rsidP="00F57A06">
      <w:pPr>
        <w:pStyle w:val="Heading4"/>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p>
    <w:p w14:paraId="434876D2" w14:textId="62CC7EDD" w:rsidR="00F57A06" w:rsidRPr="00221625" w:rsidRDefault="00F57A06" w:rsidP="00F57A06">
      <w:pPr>
        <w:pStyle w:val="Heading4"/>
        <w:numPr>
          <w:ilvl w:val="0"/>
          <w:numId w:val="13"/>
        </w:numPr>
        <w:spacing w:before="200" w:line="240" w:lineRule="auto"/>
        <w:rPr>
          <w:rFonts w:asciiTheme="majorHAnsi" w:hAnsiTheme="majorHAnsi" w:cstheme="majorHAnsi"/>
        </w:rPr>
      </w:pPr>
      <w:r w:rsidRPr="00221625">
        <w:rPr>
          <w:rFonts w:asciiTheme="majorHAnsi" w:hAnsiTheme="majorHAnsi" w:cstheme="majorHAnsi"/>
          <w:u w:val="single"/>
        </w:rPr>
        <w:t>Skepticism</w:t>
      </w:r>
      <w:r w:rsidRPr="00221625">
        <w:rPr>
          <w:rFonts w:asciiTheme="majorHAnsi" w:hAnsiTheme="majorHAnsi" w:cstheme="majorHAnsi"/>
        </w:rPr>
        <w:t xml:space="preserve"> – presume all their truth claims false because they have not been properly tested</w:t>
      </w:r>
      <w:r w:rsidR="00D8335B">
        <w:rPr>
          <w:rFonts w:asciiTheme="majorHAnsi" w:hAnsiTheme="majorHAnsi" w:cstheme="majorHAnsi"/>
        </w:rPr>
        <w:t xml:space="preserve">. They can’t cross-apply answers on case to answer T </w:t>
      </w:r>
      <w:proofErr w:type="spellStart"/>
      <w:r w:rsidR="00D8335B">
        <w:rPr>
          <w:rFonts w:asciiTheme="majorHAnsi" w:hAnsiTheme="majorHAnsi" w:cstheme="majorHAnsi"/>
        </w:rPr>
        <w:t>bc</w:t>
      </w:r>
      <w:proofErr w:type="spellEnd"/>
      <w:r w:rsidR="00D8335B">
        <w:rPr>
          <w:rFonts w:asciiTheme="majorHAnsi" w:hAnsiTheme="majorHAnsi" w:cstheme="majorHAnsi"/>
        </w:rPr>
        <w:t xml:space="preserve"> they </w:t>
      </w:r>
      <w:proofErr w:type="spellStart"/>
      <w:r w:rsidR="00D8335B">
        <w:rPr>
          <w:rFonts w:asciiTheme="majorHAnsi" w:hAnsiTheme="majorHAnsi" w:cstheme="majorHAnsi"/>
        </w:rPr>
        <w:t>havent</w:t>
      </w:r>
      <w:proofErr w:type="spellEnd"/>
      <w:r w:rsidR="00D8335B">
        <w:rPr>
          <w:rFonts w:asciiTheme="majorHAnsi" w:hAnsiTheme="majorHAnsi" w:cstheme="majorHAnsi"/>
        </w:rPr>
        <w:t xml:space="preserve"> been tested. </w:t>
      </w:r>
    </w:p>
    <w:p w14:paraId="4E0337B2" w14:textId="73BC2057" w:rsidR="00F57A06" w:rsidRDefault="00F57A06" w:rsidP="00F57A06">
      <w:pPr>
        <w:pStyle w:val="Heading4"/>
        <w:numPr>
          <w:ilvl w:val="0"/>
          <w:numId w:val="13"/>
        </w:numPr>
        <w:spacing w:before="200" w:line="240" w:lineRule="auto"/>
        <w:rPr>
          <w:rFonts w:asciiTheme="majorHAnsi" w:hAnsiTheme="majorHAnsi" w:cstheme="majorHAnsi"/>
        </w:rPr>
      </w:pPr>
      <w:r w:rsidRPr="00221625">
        <w:rPr>
          <w:rFonts w:asciiTheme="majorHAnsi" w:hAnsiTheme="majorHAnsi" w:cstheme="majorHAnsi"/>
          <w:u w:val="single"/>
        </w:rPr>
        <w:t>Scope</w:t>
      </w:r>
      <w:r w:rsidRPr="00221625">
        <w:rPr>
          <w:rFonts w:asciiTheme="majorHAnsi" w:hAnsiTheme="majorHAnsi" w:cstheme="majorHAnsi"/>
        </w:rPr>
        <w:t xml:space="preserve"> – the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can you remember what happened round () of () your junior year?</w:t>
      </w:r>
      <w:r w:rsidRPr="00221625">
        <w:rPr>
          <w:rFonts w:asciiTheme="majorHAnsi" w:hAnsiTheme="majorHAnsi" w:cstheme="majorHAnsi"/>
        </w:rPr>
        <w:t xml:space="preserve"> – individual rounds don’t affect our subjectivity, but a model of debate that forefronts clash and rigorous negation can turn us into more competent advocates</w:t>
      </w:r>
    </w:p>
    <w:p w14:paraId="5B96219E" w14:textId="62CBD62F" w:rsidR="00F57A06" w:rsidRPr="007B62EB" w:rsidRDefault="00F57A06" w:rsidP="00F57A06">
      <w:pPr>
        <w:pStyle w:val="Heading3"/>
      </w:pPr>
      <w:r>
        <w:t>2 Off</w:t>
      </w:r>
    </w:p>
    <w:p w14:paraId="205CFC9B" w14:textId="2C5A1EC7" w:rsidR="00F57A06" w:rsidRPr="00F57A06" w:rsidRDefault="007B62EB" w:rsidP="0074632F">
      <w:pPr>
        <w:pStyle w:val="Heading4"/>
      </w:pPr>
      <w:r>
        <w:t xml:space="preserve">CP: states ought to ban the appropriation of outer space by </w:t>
      </w:r>
      <w:r w:rsidR="0074632F">
        <w:t xml:space="preserve">Nonblack </w:t>
      </w:r>
      <w:r>
        <w:t>private entities</w:t>
      </w:r>
      <w:r w:rsidR="0074632F">
        <w:t xml:space="preserve">. </w:t>
      </w:r>
    </w:p>
    <w:sectPr w:rsidR="00F57A06" w:rsidRPr="00F57A0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173EFD"/>
    <w:multiLevelType w:val="hybridMultilevel"/>
    <w:tmpl w:val="77D2382C"/>
    <w:lvl w:ilvl="0" w:tplc="F022DB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02B5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4E0B"/>
    <w:rsid w:val="00195073"/>
    <w:rsid w:val="0019668D"/>
    <w:rsid w:val="001A25FD"/>
    <w:rsid w:val="001A5371"/>
    <w:rsid w:val="001A72C7"/>
    <w:rsid w:val="001B73E3"/>
    <w:rsid w:val="001C316D"/>
    <w:rsid w:val="001D1A0D"/>
    <w:rsid w:val="001D25B2"/>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2B5D"/>
    <w:rsid w:val="004039AF"/>
    <w:rsid w:val="00407AFF"/>
    <w:rsid w:val="0041155D"/>
    <w:rsid w:val="004170BF"/>
    <w:rsid w:val="004270E3"/>
    <w:rsid w:val="004348DC"/>
    <w:rsid w:val="00434921"/>
    <w:rsid w:val="00437D26"/>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632F"/>
    <w:rsid w:val="00752712"/>
    <w:rsid w:val="00753A84"/>
    <w:rsid w:val="007611F5"/>
    <w:rsid w:val="007619E4"/>
    <w:rsid w:val="00761E75"/>
    <w:rsid w:val="0076495E"/>
    <w:rsid w:val="00765FC8"/>
    <w:rsid w:val="00775694"/>
    <w:rsid w:val="00793F46"/>
    <w:rsid w:val="007A1325"/>
    <w:rsid w:val="007A1A18"/>
    <w:rsid w:val="007A3BAF"/>
    <w:rsid w:val="007B53D8"/>
    <w:rsid w:val="007B62EB"/>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EC2"/>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D6F"/>
    <w:rsid w:val="009E160D"/>
    <w:rsid w:val="009F1CBB"/>
    <w:rsid w:val="009F3305"/>
    <w:rsid w:val="009F6FB2"/>
    <w:rsid w:val="00A071C0"/>
    <w:rsid w:val="00A22670"/>
    <w:rsid w:val="00A24B35"/>
    <w:rsid w:val="00A271BA"/>
    <w:rsid w:val="00A27F86"/>
    <w:rsid w:val="00A40A61"/>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335B"/>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A06"/>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4F763"/>
  <w14:defaultImageDpi w14:val="300"/>
  <w15:docId w15:val="{028F651B-B719-8D4E-A61F-F7E431F02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37D2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37D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37D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37D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37D2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37D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7D26"/>
  </w:style>
  <w:style w:type="character" w:customStyle="1" w:styleId="Heading1Char">
    <w:name w:val="Heading 1 Char"/>
    <w:aliases w:val="Pocket Char"/>
    <w:basedOn w:val="DefaultParagraphFont"/>
    <w:link w:val="Heading1"/>
    <w:uiPriority w:val="9"/>
    <w:rsid w:val="00437D2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37D26"/>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437D2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37D2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37D2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437D26"/>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437D2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37D26"/>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437D26"/>
    <w:rPr>
      <w:color w:val="auto"/>
      <w:u w:val="none"/>
    </w:rPr>
  </w:style>
  <w:style w:type="paragraph" w:styleId="DocumentMap">
    <w:name w:val="Document Map"/>
    <w:basedOn w:val="Normal"/>
    <w:link w:val="DocumentMapChar"/>
    <w:uiPriority w:val="99"/>
    <w:semiHidden/>
    <w:unhideWhenUsed/>
    <w:rsid w:val="00437D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37D26"/>
    <w:rPr>
      <w:rFonts w:ascii="Lucida Grande" w:hAnsi="Lucida Grande" w:cs="Lucida Grande"/>
    </w:rPr>
  </w:style>
  <w:style w:type="paragraph" w:customStyle="1" w:styleId="textbold">
    <w:name w:val="text bold"/>
    <w:basedOn w:val="Normal"/>
    <w:link w:val="Emphasis"/>
    <w:uiPriority w:val="20"/>
    <w:qFormat/>
    <w:rsid w:val="00402B5D"/>
    <w:pPr>
      <w:spacing w:after="0" w:line="240" w:lineRule="auto"/>
      <w:ind w:left="720"/>
      <w:jc w:val="both"/>
    </w:pPr>
    <w:rPr>
      <w:b/>
      <w:iCs/>
      <w:u w:val="single"/>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402B5D"/>
    <w:rPr>
      <w:rFonts w:ascii="Arial" w:hAnsi="Arial" w:cs="Arial" w:hint="default"/>
      <w:b w:val="0"/>
      <w:bCs w:val="0"/>
      <w:sz w:val="20"/>
      <w:u w:val="single"/>
    </w:rPr>
  </w:style>
  <w:style w:type="paragraph" w:customStyle="1" w:styleId="Emphasis1">
    <w:name w:val="Emphasis1"/>
    <w:basedOn w:val="Normal"/>
    <w:autoRedefine/>
    <w:uiPriority w:val="20"/>
    <w:qFormat/>
    <w:rsid w:val="00F57A06"/>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oscn.net/applications/oscn/deliverdocument.asp?box1=106&amp;box2=U.S.&amp;box3=36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10" Type="http://schemas.openxmlformats.org/officeDocument/2006/relationships/hyperlink" Target="http://www.oscn.net/applications/oscn/DeliverDocument.asp?CiteID=20287" TargetMode="Externa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box1=802&amp;box2=P.2D&amp;box3=8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1</Pages>
  <Words>1675</Words>
  <Characters>9548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3</cp:revision>
  <dcterms:created xsi:type="dcterms:W3CDTF">2022-02-05T02:11:00Z</dcterms:created>
  <dcterms:modified xsi:type="dcterms:W3CDTF">2022-02-05T18:04:00Z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