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04E7D" w14:textId="476FC36C" w:rsidR="007127BF" w:rsidRDefault="007127BF" w:rsidP="007127BF">
      <w:pPr>
        <w:pStyle w:val="Heading2"/>
      </w:pPr>
      <w:r>
        <w:t>1NC – </w:t>
      </w:r>
      <w:r>
        <w:t>DA</w:t>
      </w:r>
    </w:p>
    <w:p w14:paraId="05D00135" w14:textId="77777777" w:rsidR="007127BF" w:rsidRDefault="007127BF" w:rsidP="007127BF">
      <w:pPr>
        <w:pStyle w:val="Heading4"/>
      </w:pPr>
      <w:r>
        <w:t xml:space="preserve">WTO is near consensus on fisheries subsidies – success will require continued </w:t>
      </w:r>
      <w:r w:rsidRPr="00F93316">
        <w:rPr>
          <w:u w:val="single"/>
        </w:rPr>
        <w:t>focus, flexibility, and cooperation</w:t>
      </w:r>
      <w:r>
        <w:t xml:space="preserve"> among members</w:t>
      </w:r>
    </w:p>
    <w:p w14:paraId="17CB0208" w14:textId="77777777" w:rsidR="007127BF" w:rsidRPr="00C14E46" w:rsidRDefault="007127BF" w:rsidP="007127BF">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6219B416" w14:textId="77777777" w:rsidR="007127BF" w:rsidRPr="00757E1F" w:rsidRDefault="007127BF" w:rsidP="007127BF">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0F1E9F44" w14:textId="77777777" w:rsidR="007127BF" w:rsidRPr="00757E1F" w:rsidRDefault="007127BF" w:rsidP="007127BF">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said Director-General Ngozi Okonjo-Iweala.</w:t>
      </w:r>
    </w:p>
    <w:p w14:paraId="24D09D11" w14:textId="77777777" w:rsidR="007127BF" w:rsidRPr="00757E1F" w:rsidRDefault="007127BF" w:rsidP="007127BF">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722652D7" w14:textId="77777777" w:rsidR="007127BF" w:rsidRPr="00757E1F" w:rsidRDefault="007127BF" w:rsidP="007127BF">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4344EEC0" w14:textId="77777777" w:rsidR="007127BF" w:rsidRPr="00757E1F" w:rsidRDefault="007127BF" w:rsidP="007127BF">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46882446" w14:textId="77777777" w:rsidR="007127BF" w:rsidRPr="00757E1F" w:rsidRDefault="007127BF" w:rsidP="007127BF">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the lack of political impetus in the talks to close the remaining gaps inspired Director-General Okonjo-Iweala to call this meeting of ministers.</w:t>
      </w:r>
    </w:p>
    <w:p w14:paraId="6FE47A2D" w14:textId="77777777" w:rsidR="007127BF" w:rsidRPr="00757E1F" w:rsidRDefault="007127BF" w:rsidP="007127BF">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2B300E01" w14:textId="77777777" w:rsidR="007127BF" w:rsidRPr="00757E1F" w:rsidRDefault="007127BF" w:rsidP="007127BF">
      <w:pPr>
        <w:rPr>
          <w:sz w:val="12"/>
        </w:rPr>
      </w:pPr>
      <w:r w:rsidRPr="00757E1F">
        <w:rPr>
          <w:rStyle w:val="StyleUnderline"/>
        </w:rPr>
        <w:t xml:space="preserve">Amb.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6D96075D" w14:textId="77777777" w:rsidR="007127BF" w:rsidRPr="00757E1F" w:rsidRDefault="007127BF" w:rsidP="007127BF">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This represents a real success,” said Amb. Wills.</w:t>
      </w:r>
    </w:p>
    <w:p w14:paraId="2FA5742C" w14:textId="77777777" w:rsidR="007127BF" w:rsidRPr="00757E1F" w:rsidRDefault="007127BF" w:rsidP="007127BF">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79667959" w14:textId="77777777" w:rsidR="007127BF" w:rsidRPr="00757E1F" w:rsidRDefault="007127BF" w:rsidP="007127BF">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If we wait another 20 years, there may be no marine fisheries left to subsidise — or artisanal fishing communities to support.”</w:t>
      </w:r>
    </w:p>
    <w:p w14:paraId="6B4A4277" w14:textId="77777777" w:rsidR="007127BF" w:rsidRDefault="007127BF" w:rsidP="007127BF"/>
    <w:p w14:paraId="1AE4C83E" w14:textId="77777777" w:rsidR="007127BF" w:rsidRDefault="007127BF" w:rsidP="007127BF">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55E2B37C" w14:textId="77777777" w:rsidR="007127BF" w:rsidRPr="008E47F9" w:rsidRDefault="007127BF" w:rsidP="007127BF">
      <w:pPr>
        <w:rPr>
          <w:rStyle w:val="Style13ptBold"/>
          <w:b w:val="0"/>
          <w:bCs/>
        </w:rPr>
      </w:pPr>
      <w:r>
        <w:rPr>
          <w:rStyle w:val="Style13ptBold"/>
        </w:rPr>
        <w:t xml:space="preserve">Patnaik 3/12 </w:t>
      </w:r>
      <w:r w:rsidRPr="008E47F9">
        <w:rPr>
          <w:rStyle w:val="Style13ptBold"/>
          <w:b w:val="0"/>
          <w:bCs/>
          <w:sz w:val="16"/>
          <w:szCs w:val="16"/>
        </w:rPr>
        <w:t xml:space="preserve">[(Priti,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Could Vaccine Nationalism Spur Disputes At The WTO?” Geneva Health Files, 3/12/2021] JL</w:t>
      </w:r>
    </w:p>
    <w:p w14:paraId="750C8864" w14:textId="77777777" w:rsidR="007127BF" w:rsidRPr="004F31F2" w:rsidRDefault="007127BF" w:rsidP="007127BF">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So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7CD95731" w14:textId="77777777" w:rsidR="007127BF" w:rsidRPr="004F31F2" w:rsidRDefault="007127BF" w:rsidP="007127BF">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38F2DE2C" w14:textId="77777777" w:rsidR="007127BF" w:rsidRPr="004F31F2" w:rsidRDefault="007127BF" w:rsidP="007127BF">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So I think there is enough of an incentive for countries to sit down and negotiate,” one legal expert noted.</w:t>
      </w:r>
    </w:p>
    <w:p w14:paraId="58422310" w14:textId="77777777" w:rsidR="007127BF" w:rsidRPr="004F31F2" w:rsidRDefault="007127BF" w:rsidP="007127BF">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7C47F7EC" w14:textId="77777777" w:rsidR="007127BF" w:rsidRPr="004F31F2" w:rsidRDefault="007127BF" w:rsidP="007127BF">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Therefore these </w:t>
      </w:r>
      <w:r w:rsidRPr="004F31F2">
        <w:rPr>
          <w:rStyle w:val="StyleUnderline"/>
        </w:rPr>
        <w:t xml:space="preserve">ostensibly independent processes, can </w:t>
      </w:r>
      <w:r w:rsidRPr="00EE3F8F">
        <w:rPr>
          <w:rStyle w:val="StyleUnderline"/>
          <w:highlight w:val="green"/>
        </w:rPr>
        <w:t>catalyse disputes</w:t>
      </w:r>
      <w:r w:rsidRPr="004F31F2">
        <w:rPr>
          <w:sz w:val="12"/>
        </w:rPr>
        <w:t>.</w:t>
      </w:r>
    </w:p>
    <w:p w14:paraId="6FFF1424" w14:textId="77777777" w:rsidR="007127BF" w:rsidRPr="004F31F2" w:rsidRDefault="007127BF" w:rsidP="007127BF">
      <w:pPr>
        <w:rPr>
          <w:sz w:val="12"/>
        </w:rPr>
      </w:pPr>
      <w:r w:rsidRPr="004F31F2">
        <w:rPr>
          <w:sz w:val="12"/>
        </w:rPr>
        <w:t>“</w:t>
      </w:r>
      <w:r w:rsidRPr="004F31F2">
        <w:rPr>
          <w:rStyle w:val="StyleUnderline"/>
        </w:rPr>
        <w:t xml:space="preserve">The waiver discussion is </w:t>
      </w:r>
      <w:r w:rsidRPr="004F31F2">
        <w:rPr>
          <w:rStyle w:val="Emphasis"/>
        </w:rPr>
        <w:t>very heated</w:t>
      </w:r>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So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27B48937" w14:textId="77777777" w:rsidR="007127BF" w:rsidRPr="004F31F2" w:rsidRDefault="007127BF" w:rsidP="007127BF">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5400B841" w14:textId="77777777" w:rsidR="007127BF" w:rsidRPr="004F31F2" w:rsidRDefault="007127BF" w:rsidP="007127BF">
      <w:pPr>
        <w:rPr>
          <w:sz w:val="12"/>
          <w:szCs w:val="12"/>
        </w:rPr>
      </w:pPr>
      <w:r w:rsidRPr="004F31F2">
        <w:rPr>
          <w:sz w:val="12"/>
          <w:szCs w:val="12"/>
        </w:rPr>
        <w:t>It added “Since the entry into force of the scheme on the 1 February, we have received 150 requests for export authorisation. All of them have been accepted. I repeat, all of them.” This week, the European Commission extended transparency and authorisation mechanism for exports of COVID-19 vaccines.</w:t>
      </w:r>
    </w:p>
    <w:p w14:paraId="3AA97513" w14:textId="77777777" w:rsidR="007127BF" w:rsidRPr="004F31F2" w:rsidRDefault="007127BF" w:rsidP="007127BF">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11FD1D1E" w14:textId="77777777" w:rsidR="007127BF" w:rsidRPr="004F31F2" w:rsidRDefault="007127BF" w:rsidP="007127BF">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often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3652B8C1" w14:textId="77777777" w:rsidR="007127BF" w:rsidRPr="004F31F2" w:rsidRDefault="007127BF" w:rsidP="007127BF">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1E868813" w14:textId="77777777" w:rsidR="007127BF" w:rsidRPr="004F31F2" w:rsidRDefault="007127BF" w:rsidP="007127BF">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2A1F1114" w14:textId="77777777" w:rsidR="007127BF" w:rsidRPr="004F31F2" w:rsidRDefault="007127BF" w:rsidP="007127BF">
      <w:pPr>
        <w:rPr>
          <w:sz w:val="12"/>
        </w:rPr>
      </w:pPr>
      <w:r w:rsidRPr="004F31F2">
        <w:rPr>
          <w:sz w:val="12"/>
        </w:rPr>
        <w:t xml:space="preserve">“The Appellate Body not being functional is not a problem. </w:t>
      </w:r>
      <w:r w:rsidRPr="004F31F2">
        <w:rPr>
          <w:rStyle w:val="StyleUnderline"/>
        </w:rPr>
        <w:t>Countries have recourse to Article 25 under the Dispute Settlement Understanding (DSU) that provides for ‘expeditious arbitration as a alternate means to dispute settlement</w:t>
      </w:r>
      <w:r w:rsidRPr="004F31F2">
        <w:rPr>
          <w:sz w:val="12"/>
        </w:rPr>
        <w:t>’,” a source involved in the WTO litigation process said. (The EU, for example, is a signatory to the Multi-party interim appeal arbitration arrangement, MPIA.)</w:t>
      </w:r>
    </w:p>
    <w:p w14:paraId="04DEED62" w14:textId="77777777" w:rsidR="007127BF" w:rsidRPr="004F31F2" w:rsidRDefault="007127BF" w:rsidP="007127BF">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77457628" w14:textId="77777777" w:rsidR="007127BF" w:rsidRPr="004F31F2" w:rsidRDefault="007127BF" w:rsidP="007127BF">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3ED2C728" w14:textId="77777777" w:rsidR="007127BF" w:rsidRDefault="007127BF" w:rsidP="007127BF"/>
    <w:p w14:paraId="372F0F4A" w14:textId="77777777" w:rsidR="007127BF" w:rsidRDefault="007127BF" w:rsidP="007127BF">
      <w:pPr>
        <w:pStyle w:val="Heading4"/>
      </w:pPr>
      <w:r>
        <w:t>Overfishing causes SCS war – WTO agreement solves</w:t>
      </w:r>
    </w:p>
    <w:p w14:paraId="236A67D8" w14:textId="77777777" w:rsidR="007127BF" w:rsidRPr="008E10F7" w:rsidRDefault="007127BF" w:rsidP="007127BF">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441E9AC4" w14:textId="77777777" w:rsidR="007127BF" w:rsidRPr="0035321A" w:rsidRDefault="007127BF" w:rsidP="007127BF">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65242E1D" w14:textId="77777777" w:rsidR="007127BF" w:rsidRPr="0035321A" w:rsidRDefault="007127BF" w:rsidP="007127BF">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w:t>
      </w:r>
      <w:r w:rsidRPr="0035321A">
        <w:rPr>
          <w:rStyle w:val="StyleUnderline"/>
        </w:rPr>
        <w:lastRenderedPageBreak/>
        <w:t>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3809F15E" w14:textId="77777777" w:rsidR="007127BF" w:rsidRPr="0035321A" w:rsidRDefault="007127BF" w:rsidP="007127BF">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707D6D06" w14:textId="77777777" w:rsidR="007127BF" w:rsidRDefault="007127BF" w:rsidP="007127BF"/>
    <w:p w14:paraId="16CC8322" w14:textId="77777777" w:rsidR="007127BF" w:rsidRDefault="007127BF" w:rsidP="007127BF">
      <w:pPr>
        <w:pStyle w:val="Heading4"/>
      </w:pPr>
      <w:r>
        <w:t>SCS conflict draws in the US and goes nuclear – extinction</w:t>
      </w:r>
    </w:p>
    <w:p w14:paraId="3ECF5DE2" w14:textId="77777777" w:rsidR="007127BF" w:rsidRDefault="007127BF" w:rsidP="007127BF">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34517939" w14:textId="0EB60FFC" w:rsidR="007127BF" w:rsidRDefault="007127BF" w:rsidP="007127BF">
      <w:pPr>
        <w:rPr>
          <w:rStyle w:val="StyleUnderlin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neighbours.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r w:rsidRPr="00EE3F8F">
        <w:rPr>
          <w:rStyle w:val="Emphasis"/>
          <w:highlight w:val="green"/>
        </w:rPr>
        <w:t>Asean</w:t>
      </w:r>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Sea, and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r w:rsidRPr="00EE3F8F">
        <w:rPr>
          <w:rStyle w:val="StyleUnderline"/>
          <w:highlight w:val="green"/>
        </w:rPr>
        <w:t xml:space="preserve">metres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ratched up recently, with the Chinese and US navies holding exercises in the region at the same time. In a provocation </w:t>
      </w:r>
      <w:r w:rsidRPr="00404EF1">
        <w:rPr>
          <w:rStyle w:val="StyleUnderline"/>
        </w:rPr>
        <w:lastRenderedPageBreak/>
        <w:t>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r w:rsidRPr="00EE3F8F">
        <w:rPr>
          <w:rStyle w:val="StyleUnderline"/>
          <w:highlight w:val="green"/>
        </w:rPr>
        <w:t xml:space="preserve">Asean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2287690B" w14:textId="77777777" w:rsidR="000274CA" w:rsidRPr="00E268B7" w:rsidRDefault="000274CA" w:rsidP="000274C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FD57F5F" w14:textId="77777777" w:rsidR="000274CA" w:rsidRPr="00ED16D9" w:rsidRDefault="000274CA" w:rsidP="000274CA">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7C843813" w14:textId="77777777" w:rsidR="000274CA" w:rsidRPr="00ED16D9" w:rsidRDefault="000274CA" w:rsidP="000274CA">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77682590" w14:textId="77777777" w:rsidR="000274CA" w:rsidRPr="00ED16D9" w:rsidRDefault="000274CA" w:rsidP="000274CA">
      <w:r w:rsidRPr="00ED16D9">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7175FE78" w14:textId="77777777" w:rsidR="000274CA" w:rsidRPr="00ED16D9" w:rsidRDefault="000274CA" w:rsidP="000274CA">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56B036DB" w14:textId="77777777" w:rsidR="000274CA" w:rsidRPr="00ED16D9" w:rsidRDefault="000274CA" w:rsidP="000274CA">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413553BD" w14:textId="77777777" w:rsidR="000274CA" w:rsidRPr="00ED16D9" w:rsidRDefault="000274CA" w:rsidP="000274CA">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35DA4DE1" w14:textId="77777777" w:rsidR="000274CA" w:rsidRPr="00ED16D9" w:rsidRDefault="000274CA" w:rsidP="000274CA">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12EA90E0" w14:textId="77777777" w:rsidR="000274CA" w:rsidRPr="00ED16D9" w:rsidRDefault="000274CA" w:rsidP="000274CA">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4BC49693" w14:textId="77777777" w:rsidR="000274CA" w:rsidRDefault="000274CA" w:rsidP="000274CA">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4FD15DE4" w14:textId="77777777" w:rsidR="000274CA" w:rsidRDefault="000274CA" w:rsidP="000274CA">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2E0BE186" w14:textId="77777777" w:rsidR="000274CA" w:rsidRPr="00ED16D9" w:rsidRDefault="000274CA" w:rsidP="000274CA">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18D7A886" w14:textId="77777777" w:rsidR="000274CA" w:rsidRPr="00ED16D9" w:rsidRDefault="000274CA" w:rsidP="000274CA">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2468E42A" w14:textId="77777777" w:rsidR="000274CA" w:rsidRPr="00ED16D9" w:rsidRDefault="000274CA" w:rsidP="000274CA">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6705DDAC" w14:textId="77777777" w:rsidR="000274CA" w:rsidRPr="00ED16D9" w:rsidRDefault="000274CA" w:rsidP="000274CA">
      <w:r w:rsidRPr="00ED16D9">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6715F516" w14:textId="77777777" w:rsidR="000274CA" w:rsidRDefault="000274CA" w:rsidP="000274CA">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50683285" w14:textId="77777777" w:rsidR="000274CA" w:rsidRPr="00ED16D9" w:rsidRDefault="000274CA" w:rsidP="000274CA">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4866F6E0" w14:textId="77777777" w:rsidR="000274CA" w:rsidRPr="00ED16D9" w:rsidRDefault="000274CA" w:rsidP="000274CA">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3119D20F" w14:textId="77777777" w:rsidR="000274CA" w:rsidRPr="00ED16D9" w:rsidRDefault="000274CA" w:rsidP="000274CA">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469C4564" w14:textId="77777777" w:rsidR="000274CA" w:rsidRPr="00ED16D9" w:rsidRDefault="000274CA" w:rsidP="000274CA">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741EF327" w14:textId="77777777" w:rsidR="000274CA" w:rsidRPr="00ED16D9" w:rsidRDefault="000274CA" w:rsidP="000274CA">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62631999" w14:textId="77777777" w:rsidR="000274CA" w:rsidRPr="00ED16D9" w:rsidRDefault="000274CA" w:rsidP="000274CA">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0ED9FB4B" w14:textId="77777777" w:rsidR="000274CA" w:rsidRPr="00ED16D9" w:rsidRDefault="000274CA" w:rsidP="000274CA">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5B8A379F" w14:textId="77777777" w:rsidR="000274CA" w:rsidRPr="00ED16D9" w:rsidRDefault="000274CA" w:rsidP="000274CA">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6084C49F" w14:textId="77777777" w:rsidR="000274CA" w:rsidRPr="00ED16D9" w:rsidRDefault="000274CA" w:rsidP="000274CA">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798FF3C3" w14:textId="77777777" w:rsidR="000274CA" w:rsidRPr="00E069DE" w:rsidRDefault="000274CA" w:rsidP="007127BF">
      <w:pPr>
        <w:rPr>
          <w:b/>
          <w:sz w:val="22"/>
          <w:u w:val="single"/>
        </w:rPr>
      </w:pPr>
    </w:p>
    <w:p w14:paraId="3F744823" w14:textId="19E55C5A" w:rsidR="007127BF" w:rsidRDefault="007127BF" w:rsidP="00F601E6"/>
    <w:p w14:paraId="268400F7" w14:textId="264895F0" w:rsidR="00790A40" w:rsidRPr="001E741E" w:rsidRDefault="00790A40" w:rsidP="00790A40">
      <w:pPr>
        <w:pStyle w:val="Heading2"/>
      </w:pPr>
      <w:r w:rsidRPr="001E741E">
        <w:lastRenderedPageBreak/>
        <w:t>1NC – </w:t>
      </w:r>
      <w:r>
        <w:t>CP</w:t>
      </w:r>
    </w:p>
    <w:p w14:paraId="3125D5EE" w14:textId="77777777" w:rsidR="00790A40" w:rsidRPr="001E741E" w:rsidRDefault="00790A40" w:rsidP="00790A40">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138CC8E8" w14:textId="77777777" w:rsidR="00790A40" w:rsidRPr="001E741E" w:rsidRDefault="00790A40" w:rsidP="00790A40"/>
    <w:p w14:paraId="3FE563C8" w14:textId="77777777" w:rsidR="005B3E43" w:rsidRPr="001E741E" w:rsidRDefault="005B3E43" w:rsidP="005B3E43">
      <w:pPr>
        <w:pStyle w:val="Heading4"/>
        <w:rPr>
          <w:rFonts w:cs="Calibri"/>
        </w:rPr>
      </w:pPr>
      <w:r w:rsidRPr="001E741E">
        <w:rPr>
          <w:rFonts w:cs="Calibri"/>
        </w:rPr>
        <w:t>WHO says yes</w:t>
      </w:r>
    </w:p>
    <w:p w14:paraId="5E31C5E6" w14:textId="77777777" w:rsidR="005B3E43" w:rsidRPr="001E741E" w:rsidRDefault="005B3E43" w:rsidP="005B3E43">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3681E504" w14:textId="77777777" w:rsidR="005B3E43" w:rsidRPr="001E741E" w:rsidRDefault="005B3E43" w:rsidP="005B3E43">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303BA9D7" w14:textId="77777777" w:rsidR="005B3E43" w:rsidRPr="001E741E" w:rsidRDefault="005B3E43" w:rsidP="005B3E43">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542C824D" w14:textId="77777777" w:rsidR="00790A40" w:rsidRPr="001E741E" w:rsidRDefault="00790A40" w:rsidP="00790A40">
      <w:pPr>
        <w:rPr>
          <w:rStyle w:val="Emphasis"/>
        </w:rPr>
      </w:pPr>
    </w:p>
    <w:p w14:paraId="4A8F9DBD" w14:textId="77777777" w:rsidR="00790A40" w:rsidRPr="001E741E" w:rsidRDefault="00790A40" w:rsidP="00790A40">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02A3265E" w14:textId="77777777" w:rsidR="00790A40" w:rsidRPr="001E741E" w:rsidRDefault="00790A40" w:rsidP="00790A40">
      <w:pPr>
        <w:rPr>
          <w:rStyle w:val="Style13ptBold"/>
          <w:b w:val="0"/>
          <w:bCs/>
        </w:rPr>
      </w:pPr>
      <w:r w:rsidRPr="001E741E">
        <w:rPr>
          <w:rStyle w:val="Style13ptBold"/>
        </w:rPr>
        <w:t xml:space="preserve">Gostin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48039B4C" w14:textId="77777777" w:rsidR="00790A40" w:rsidRPr="001E741E" w:rsidRDefault="00790A40" w:rsidP="00790A40">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4D698076" w14:textId="77777777" w:rsidR="00790A40" w:rsidRPr="001E741E" w:rsidRDefault="00790A40" w:rsidP="00790A40">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63721524" w14:textId="77777777" w:rsidR="00790A40" w:rsidRPr="001E741E" w:rsidRDefault="00790A40" w:rsidP="00790A40">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2AA203F6" w14:textId="77777777" w:rsidR="00790A40" w:rsidRPr="001E741E" w:rsidRDefault="00790A40" w:rsidP="00790A40"/>
    <w:p w14:paraId="247EADD7" w14:textId="77777777" w:rsidR="00790A40" w:rsidRPr="001E741E" w:rsidRDefault="00790A40" w:rsidP="00790A40">
      <w:pPr>
        <w:pStyle w:val="Heading4"/>
        <w:rPr>
          <w:rFonts w:cs="Calibri"/>
        </w:rPr>
      </w:pPr>
      <w:r w:rsidRPr="001E741E">
        <w:rPr>
          <w:rFonts w:cs="Calibri"/>
        </w:rPr>
        <w:t>WHO is critical to disease prevention – it is the only international institution that can disperse information, standardize global public health, and facilitate public-private cooperation</w:t>
      </w:r>
    </w:p>
    <w:p w14:paraId="2ADFD0CC" w14:textId="77777777" w:rsidR="00790A40" w:rsidRPr="001E741E" w:rsidRDefault="00790A40" w:rsidP="00790A40">
      <w:pPr>
        <w:rPr>
          <w:rStyle w:val="Style13ptBold"/>
          <w:bCs/>
        </w:rPr>
      </w:pPr>
      <w:r w:rsidRPr="001E741E">
        <w:rPr>
          <w:rStyle w:val="Style13ptBold"/>
        </w:rPr>
        <w:t xml:space="preserve">Murtugudde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6759E4B8" w14:textId="77777777" w:rsidR="00790A40" w:rsidRPr="001E741E" w:rsidRDefault="00790A40" w:rsidP="00790A40">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itself. In November 2018, </w:t>
      </w:r>
      <w:r w:rsidRPr="001E741E">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7EA85309" w14:textId="77777777" w:rsidR="00790A40" w:rsidRPr="001E741E" w:rsidRDefault="00790A40" w:rsidP="00790A40">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Increasing global connectivity simply catalyses this process, as much as it catalyses economic growth.</w:t>
      </w:r>
    </w:p>
    <w:p w14:paraId="1A868B90" w14:textId="77777777" w:rsidR="00790A40" w:rsidRPr="001E741E" w:rsidRDefault="00790A40" w:rsidP="00790A40">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etc. The importance of WHO’s work on </w:t>
      </w:r>
      <w:r w:rsidRPr="001E741E">
        <w:rPr>
          <w:rStyle w:val="Emphasis"/>
        </w:rPr>
        <w:t>immunisation</w:t>
      </w:r>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r w:rsidRPr="001E741E">
        <w:rPr>
          <w:rStyle w:val="Emphasis"/>
          <w:highlight w:val="green"/>
        </w:rPr>
        <w:t>organisations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36A4E091" w14:textId="77777777" w:rsidR="00790A40" w:rsidRPr="001E741E" w:rsidRDefault="00790A40" w:rsidP="00790A40">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6E47D890" w14:textId="77777777" w:rsidR="00790A40" w:rsidRPr="001E741E" w:rsidRDefault="00790A40" w:rsidP="00790A40">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r w:rsidRPr="001E741E">
        <w:rPr>
          <w:rStyle w:val="Emphasis"/>
          <w:highlight w:val="green"/>
        </w:rPr>
        <w:t>IHR</w:t>
      </w:r>
      <w:r w:rsidRPr="001E741E">
        <w:rPr>
          <w:sz w:val="12"/>
        </w:rPr>
        <w:t>.</w:t>
      </w:r>
    </w:p>
    <w:p w14:paraId="554C0DDD" w14:textId="77777777" w:rsidR="00790A40" w:rsidRPr="001E741E" w:rsidRDefault="00790A40" w:rsidP="00790A40"/>
    <w:p w14:paraId="61BCB35F" w14:textId="77777777" w:rsidR="00790A40" w:rsidRPr="001E741E" w:rsidRDefault="00790A40" w:rsidP="00790A40">
      <w:pPr>
        <w:pStyle w:val="Heading4"/>
        <w:rPr>
          <w:rFonts w:cs="Calibri"/>
        </w:rPr>
      </w:pPr>
      <w:r w:rsidRPr="001E741E">
        <w:rPr>
          <w:rFonts w:cs="Calibri"/>
          <w:u w:val="single"/>
        </w:rPr>
        <w:t>Extinction</w:t>
      </w:r>
      <w:r w:rsidRPr="001E741E">
        <w:rPr>
          <w:rFonts w:cs="Calibri"/>
        </w:rPr>
        <w:t xml:space="preserve"> – defense is wrong </w:t>
      </w:r>
    </w:p>
    <w:p w14:paraId="1F3A266B" w14:textId="77777777" w:rsidR="00790A40" w:rsidRPr="001E741E" w:rsidRDefault="00790A40" w:rsidP="00790A40">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14E0A7B9" w14:textId="77777777" w:rsidR="00790A40" w:rsidRPr="001E741E" w:rsidRDefault="00790A40" w:rsidP="00790A40">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 xml:space="preserve">The Black Death was responsible for killing over </w:t>
      </w:r>
      <w:r w:rsidRPr="001E741E">
        <w:rPr>
          <w:rStyle w:val="StyleUnderline"/>
        </w:rPr>
        <w:lastRenderedPageBreak/>
        <w:t>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098F1750" w14:textId="77777777" w:rsidR="00790A40" w:rsidRPr="001E741E" w:rsidRDefault="00790A40" w:rsidP="00790A40">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517E06E4" w14:textId="77777777" w:rsidR="00790A40" w:rsidRPr="001E741E" w:rsidRDefault="00790A40" w:rsidP="00790A40">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6ADB46D2" w14:textId="77777777" w:rsidR="00790A40" w:rsidRPr="001E741E" w:rsidRDefault="00790A40" w:rsidP="00790A40">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7938D900" w14:textId="77777777" w:rsidR="00790A40" w:rsidRPr="001E741E" w:rsidRDefault="00790A40" w:rsidP="00790A40"/>
    <w:p w14:paraId="14E9D8CD" w14:textId="77777777" w:rsidR="00790A40" w:rsidRPr="001E741E" w:rsidRDefault="00790A40" w:rsidP="00790A40">
      <w:pPr>
        <w:pStyle w:val="Heading4"/>
        <w:rPr>
          <w:rFonts w:cs="Calibri"/>
        </w:rPr>
      </w:pPr>
      <w:r w:rsidRPr="001E741E">
        <w:rPr>
          <w:rFonts w:cs="Calibri"/>
        </w:rPr>
        <w:t>WHO diplomacy solves great power conflict</w:t>
      </w:r>
    </w:p>
    <w:p w14:paraId="6A2EF76D" w14:textId="77777777" w:rsidR="00790A40" w:rsidRPr="001E741E" w:rsidRDefault="00790A40" w:rsidP="00790A40">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26D71154" w14:textId="77777777" w:rsidR="00790A40" w:rsidRPr="001E741E" w:rsidRDefault="00790A40" w:rsidP="00790A40">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23C0793E" w14:textId="77777777" w:rsidR="00790A40" w:rsidRPr="001E741E" w:rsidRDefault="00790A40" w:rsidP="00790A40">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w:t>
      </w:r>
      <w:r w:rsidRPr="001E741E">
        <w:rPr>
          <w:sz w:val="12"/>
        </w:rPr>
        <w:lastRenderedPageBreak/>
        <w:t xml:space="preserve">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29F7FC11" w14:textId="77777777" w:rsidR="00790A40" w:rsidRPr="001E741E" w:rsidRDefault="00790A40" w:rsidP="00790A40">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298DE906" w14:textId="214820A5" w:rsidR="00790A40" w:rsidRDefault="00790A40" w:rsidP="00790A40">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67192C49" w14:textId="4BC4DE43" w:rsidR="005B3E43" w:rsidRDefault="005B3E43" w:rsidP="00790A40">
      <w:pPr>
        <w:rPr>
          <w:sz w:val="12"/>
        </w:rPr>
      </w:pPr>
    </w:p>
    <w:p w14:paraId="4E282A3B" w14:textId="77777777" w:rsidR="005B3E43" w:rsidRPr="001E741E" w:rsidRDefault="005B3E43" w:rsidP="005B3E43">
      <w:pPr>
        <w:pStyle w:val="Heading4"/>
        <w:rPr>
          <w:rFonts w:cs="Calibri"/>
        </w:rPr>
      </w:pPr>
      <w:r w:rsidRPr="001E741E">
        <w:rPr>
          <w:rFonts w:cs="Calibri"/>
        </w:rPr>
        <w:t xml:space="preserve">Ought means should </w:t>
      </w:r>
    </w:p>
    <w:p w14:paraId="75E8EC14" w14:textId="77777777" w:rsidR="005B3E43" w:rsidRPr="001E741E" w:rsidRDefault="005B3E43" w:rsidP="005B3E43">
      <w:r w:rsidRPr="001E741E">
        <w:rPr>
          <w:rStyle w:val="Style13ptBold"/>
        </w:rPr>
        <w:t>Merriam Webster, No Date</w:t>
      </w:r>
      <w:r w:rsidRPr="001E741E">
        <w:t xml:space="preserve"> – Merriam Webster’s Learner’s Dictionary, “ought”, </w:t>
      </w:r>
      <w:hyperlink r:id="rId10" w:history="1">
        <w:r w:rsidRPr="001E741E">
          <w:rPr>
            <w:rStyle w:val="Hyperlink"/>
          </w:rPr>
          <w:t>http://www.learnersdictionary.com/definition/ought</w:t>
        </w:r>
      </w:hyperlink>
      <w:r w:rsidRPr="001E741E">
        <w:br/>
        <w:t>ought /ˈɑːt/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03B5A285" w14:textId="77777777" w:rsidR="005B3E43" w:rsidRPr="001E741E" w:rsidRDefault="005B3E43" w:rsidP="005B3E43"/>
    <w:p w14:paraId="6A28877B" w14:textId="26124D3B" w:rsidR="005B3E43" w:rsidRPr="001E741E" w:rsidRDefault="005B3E43" w:rsidP="005B3E43">
      <w:pPr>
        <w:pStyle w:val="Heading4"/>
        <w:rPr>
          <w:rFonts w:cs="Calibri"/>
        </w:rPr>
      </w:pPr>
      <w:r w:rsidRPr="001E741E">
        <w:rPr>
          <w:rFonts w:cs="Calibri"/>
        </w:rPr>
        <w:t xml:space="preserve">Should is </w:t>
      </w:r>
      <w:r w:rsidRPr="005B3E43">
        <w:rPr>
          <w:rFonts w:cs="Calibri"/>
          <w:u w:val="single"/>
        </w:rPr>
        <w:t>certain</w:t>
      </w:r>
      <w:r>
        <w:rPr>
          <w:rFonts w:cs="Calibri"/>
        </w:rPr>
        <w:t xml:space="preserve"> and </w:t>
      </w:r>
      <w:r w:rsidRPr="001E741E">
        <w:rPr>
          <w:rFonts w:cs="Calibri"/>
          <w:u w:val="single"/>
        </w:rPr>
        <w:t>immediate</w:t>
      </w:r>
    </w:p>
    <w:p w14:paraId="2FE2583F" w14:textId="77777777" w:rsidR="005B3E43" w:rsidRPr="001E741E" w:rsidRDefault="005B3E43" w:rsidP="005B3E43">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19602535" w14:textId="77777777" w:rsidR="005B3E43" w:rsidRPr="001E741E" w:rsidRDefault="005B3E43" w:rsidP="005B3E43">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1"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2" w:anchor="marker3fn14" w:history="1">
        <w:r w:rsidRPr="001E741E">
          <w:rPr>
            <w:rStyle w:val="Hyperlink"/>
          </w:rPr>
          <w:t>14</w:t>
        </w:r>
      </w:hyperlink>
      <w:r w:rsidRPr="001E741E">
        <w:t xml:space="preserve"> The answer to this query is not to be divined from rules of grammar;</w:t>
      </w:r>
      <w:hyperlink r:id="rId13"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4" w:anchor="marker3fn16" w:history="1">
        <w:r w:rsidRPr="001E741E">
          <w:rPr>
            <w:rStyle w:val="Hyperlink"/>
          </w:rPr>
          <w:t xml:space="preserve">16 </w:t>
        </w:r>
      </w:hyperlink>
      <w:r w:rsidRPr="001E741E">
        <w:t xml:space="preserve">[CONTINUES – TO FOOTNOTE] </w:t>
      </w:r>
      <w:hyperlink r:id="rId15"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6" w:history="1">
        <w:r w:rsidRPr="001E741E">
          <w:rPr>
            <w:rStyle w:val="Hyperlink"/>
          </w:rPr>
          <w:t>802 P.2d 813</w:t>
        </w:r>
      </w:hyperlink>
      <w:r w:rsidRPr="001E741E">
        <w:t xml:space="preserve"> (1990) (one of the Rules of Appellate Procedure requiring that a party "should devote a section of the brief to </w:t>
      </w:r>
      <w:r w:rsidRPr="001E741E">
        <w:lastRenderedPageBreak/>
        <w:t xml:space="preserve">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7"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18" w:history="1">
        <w:r w:rsidRPr="001E741E">
          <w:rPr>
            <w:rStyle w:val="Hyperlink"/>
          </w:rPr>
          <w:t>106 U.S. 360</w:t>
        </w:r>
      </w:hyperlink>
      <w:r w:rsidRPr="001E741E">
        <w:t>, 365, 1 S.Ct. 336, 337, 27 L.Ed. 201 (1882).</w:t>
      </w:r>
    </w:p>
    <w:p w14:paraId="5A8F7FD6" w14:textId="77777777" w:rsidR="005B3E43" w:rsidRPr="001E741E" w:rsidRDefault="005B3E43" w:rsidP="00790A40">
      <w:pPr>
        <w:rPr>
          <w:sz w:val="12"/>
        </w:rPr>
      </w:pPr>
    </w:p>
    <w:p w14:paraId="443164A5" w14:textId="79AE781B" w:rsidR="00790A40" w:rsidRPr="001E741E" w:rsidRDefault="000E4DF0" w:rsidP="000E4DF0">
      <w:pPr>
        <w:pStyle w:val="Heading2"/>
      </w:pPr>
      <w:r>
        <w:lastRenderedPageBreak/>
        <w:t>1NC – T</w:t>
      </w:r>
    </w:p>
    <w:p w14:paraId="1D971478" w14:textId="77777777" w:rsidR="000E4DF0" w:rsidRDefault="000E4DF0" w:rsidP="000E4DF0">
      <w:pPr>
        <w:pStyle w:val="Heading4"/>
      </w:pPr>
      <w:r>
        <w:t>Interpretation – topical affs must defend a reduction of</w:t>
      </w:r>
      <w:r w:rsidRPr="00845F4C">
        <w:t xml:space="preserve"> intellectual property protections for </w:t>
      </w:r>
      <w:r w:rsidRPr="00845F4C">
        <w:rPr>
          <w:i/>
          <w:iCs/>
          <w:u w:val="single"/>
        </w:rPr>
        <w:t>medicines</w:t>
      </w:r>
      <w:r w:rsidRPr="00845F4C">
        <w:t>.</w:t>
      </w:r>
    </w:p>
    <w:p w14:paraId="47F90A39" w14:textId="77777777" w:rsidR="000E4DF0" w:rsidRPr="00845F4C" w:rsidRDefault="000E4DF0" w:rsidP="000E4DF0">
      <w:pPr>
        <w:pStyle w:val="Heading4"/>
      </w:pPr>
      <w:r>
        <w:t xml:space="preserve">Violation – they reduce IP protections on </w:t>
      </w:r>
      <w:r w:rsidRPr="00845F4C">
        <w:rPr>
          <w:i/>
          <w:iCs/>
          <w:u w:val="single"/>
        </w:rPr>
        <w:t>vaccines</w:t>
      </w:r>
      <w:r>
        <w:rPr>
          <w:i/>
          <w:iCs/>
        </w:rPr>
        <w:t xml:space="preserve"> </w:t>
      </w:r>
      <w:r>
        <w:t xml:space="preserve">which is categorically distinct </w:t>
      </w:r>
    </w:p>
    <w:p w14:paraId="380A0340" w14:textId="77777777" w:rsidR="000E4DF0" w:rsidRDefault="000E4DF0" w:rsidP="000E4DF0">
      <w:pPr>
        <w:pStyle w:val="Heading4"/>
        <w:numPr>
          <w:ilvl w:val="0"/>
          <w:numId w:val="12"/>
        </w:numPr>
        <w:tabs>
          <w:tab w:val="num" w:pos="360"/>
        </w:tabs>
        <w:ind w:left="360"/>
      </w:pPr>
      <w:r>
        <w:t>Medicines are drugs</w:t>
      </w:r>
    </w:p>
    <w:p w14:paraId="732B8038" w14:textId="77777777" w:rsidR="000E4DF0" w:rsidRPr="000D55E0" w:rsidRDefault="000E4DF0" w:rsidP="000E4DF0">
      <w:pPr>
        <w:rPr>
          <w:rStyle w:val="Style13ptBold"/>
          <w:b w:val="0"/>
          <w:sz w:val="22"/>
        </w:rPr>
      </w:pPr>
      <w:r w:rsidRPr="000D55E0">
        <w:rPr>
          <w:rStyle w:val="Style13ptBold"/>
        </w:rPr>
        <w:t>Senate Journal 12</w:t>
      </w:r>
      <w:r>
        <w:rPr>
          <w:rStyle w:val="Style13ptBold"/>
        </w:rPr>
        <w:t xml:space="preserve"> </w:t>
      </w:r>
      <w:r w:rsidRPr="000D55E0">
        <w:t>[(</w:t>
      </w:r>
      <w:r>
        <w:t xml:space="preserve">SENATE JOURNAL STATE OF ILLINOIS  </w:t>
      </w:r>
      <w:r w:rsidRPr="000D55E0">
        <w:t>)</w:t>
      </w:r>
      <w:r>
        <w:t xml:space="preserve">”NINETY-SEVENTH GENERAL ASSEMBLY 92ND LEGISLATIVE DAY”,  </w:t>
      </w:r>
      <w:hyperlink r:id="rId19" w:history="1">
        <w:r w:rsidRPr="001B321A">
          <w:rPr>
            <w:rStyle w:val="Hyperlink"/>
          </w:rPr>
          <w:t>https://www.ilga.gov/senate/journals/97/2012/SJ097092R.pdf</w:t>
        </w:r>
      </w:hyperlink>
      <w:r>
        <w:t xml:space="preserve">, </w:t>
      </w:r>
      <w:r w:rsidRPr="000D55E0">
        <w:t>MARCH 8, 2012]</w:t>
      </w:r>
    </w:p>
    <w:p w14:paraId="66E2D99B" w14:textId="77777777" w:rsidR="000E4DF0" w:rsidRDefault="000E4DF0" w:rsidP="000E4DF0">
      <w:r w:rsidRPr="005B1684">
        <w:rPr>
          <w:rStyle w:val="StyleUnderline"/>
          <w:highlight w:val="green"/>
        </w:rPr>
        <w:t>Medicines mea</w:t>
      </w:r>
      <w:r w:rsidRPr="005B1684">
        <w:rPr>
          <w:rStyle w:val="StyleUnderline"/>
        </w:rPr>
        <w:t>ns</w:t>
      </w:r>
      <w:r w:rsidRPr="00BB1C01">
        <w:t xml:space="preserve"> and </w:t>
      </w:r>
      <w:r w:rsidRPr="005B1684">
        <w:rPr>
          <w:rStyle w:val="StyleUnderline"/>
        </w:rPr>
        <w:t xml:space="preserve">includes all </w:t>
      </w:r>
      <w:r w:rsidRPr="005B1684">
        <w:rPr>
          <w:rStyle w:val="StyleUnderline"/>
          <w:highlight w:val="green"/>
        </w:rPr>
        <w:t>drugs</w:t>
      </w:r>
      <w:r w:rsidRPr="005B1684">
        <w:rPr>
          <w:rStyle w:val="StyleUnderline"/>
        </w:rPr>
        <w:t xml:space="preserve"> intended for human</w:t>
      </w:r>
      <w:r w:rsidRPr="00BB1C01">
        <w:t xml:space="preserve"> or veterinary use approved by the United States Food and Drug Administration.</w:t>
      </w:r>
    </w:p>
    <w:p w14:paraId="27C2F37D" w14:textId="77777777" w:rsidR="000E4DF0" w:rsidRDefault="000E4DF0" w:rsidP="000E4DF0">
      <w:pPr>
        <w:pStyle w:val="Heading4"/>
      </w:pPr>
      <w:r>
        <w:t>Vaccines are not drugs</w:t>
      </w:r>
    </w:p>
    <w:p w14:paraId="7D03D6A0" w14:textId="77777777" w:rsidR="000E4DF0" w:rsidRPr="009E786D" w:rsidRDefault="000E4DF0" w:rsidP="000E4DF0">
      <w:pPr>
        <w:rPr>
          <w:rStyle w:val="Style13ptBold"/>
          <w:b w:val="0"/>
          <w:bCs/>
        </w:rPr>
      </w:pPr>
      <w:r>
        <w:rPr>
          <w:rStyle w:val="Style13ptBold"/>
        </w:rPr>
        <w:t xml:space="preserve">He et al 12 </w:t>
      </w:r>
      <w:r w:rsidRPr="00EC4571">
        <w:rPr>
          <w:rStyle w:val="Style13ptBold"/>
          <w:b w:val="0"/>
          <w:bCs/>
          <w:sz w:val="16"/>
          <w:szCs w:val="16"/>
        </w:rPr>
        <w:t xml:space="preserve">[(Yongqun, </w:t>
      </w:r>
      <w:r w:rsidRPr="00EC4571">
        <w:rPr>
          <w:bCs/>
          <w:szCs w:val="16"/>
        </w:rPr>
        <w:t>Professor of Microbiology and Immunology at the University of Michigan Medical School, primary bioinformatics interests are development of biomedical ontologies and their applications in literature mining, Bayesian network modeling, microbial genomics, and vaccine informatics</w:t>
      </w:r>
      <w:r w:rsidRPr="00EC4571">
        <w:rPr>
          <w:rStyle w:val="Style13ptBold"/>
          <w:b w:val="0"/>
          <w:bCs/>
          <w:sz w:val="16"/>
          <w:szCs w:val="16"/>
        </w:rPr>
        <w:t>)“</w:t>
      </w:r>
      <w:r w:rsidRPr="00EC4571">
        <w:rPr>
          <w:szCs w:val="16"/>
        </w:rPr>
        <w:t xml:space="preserve">A 2012 Workshop: Vaccine and Drug Ontology in the Study of Mechanism and Effect,” </w:t>
      </w:r>
      <w:r w:rsidRPr="00EC4571">
        <w:rPr>
          <w:bCs/>
          <w:szCs w:val="16"/>
        </w:rPr>
        <w:t xml:space="preserve">Journal of Biomedical Semantics, </w:t>
      </w:r>
      <w:r w:rsidRPr="00EC4571">
        <w:rPr>
          <w:szCs w:val="16"/>
        </w:rPr>
        <w:t>12/18/2012] JL</w:t>
      </w:r>
    </w:p>
    <w:p w14:paraId="174DBEA0" w14:textId="77777777" w:rsidR="000E4DF0" w:rsidRPr="003348A3" w:rsidRDefault="000E4DF0" w:rsidP="000E4DF0">
      <w:pPr>
        <w:rPr>
          <w:sz w:val="12"/>
        </w:rPr>
      </w:pPr>
      <w:r w:rsidRPr="009E786D">
        <w:rPr>
          <w:sz w:val="12"/>
        </w:rPr>
        <w:t xml:space="preserve">Innovative therapeutic interventions are critical to prevent and treat human and animal diseases. </w:t>
      </w:r>
      <w:r w:rsidRPr="009E786D">
        <w:rPr>
          <w:rStyle w:val="StyleUnderline"/>
        </w:rPr>
        <w:t xml:space="preserve">A way to broadly classify therapeutic interventions is through their timing in administration: </w:t>
      </w:r>
      <w:r w:rsidRPr="009E786D">
        <w:rPr>
          <w:rStyle w:val="Emphasis"/>
          <w:highlight w:val="green"/>
        </w:rPr>
        <w:t>Vaccines</w:t>
      </w:r>
      <w:r w:rsidRPr="009E786D">
        <w:rPr>
          <w:rStyle w:val="Emphasis"/>
        </w:rPr>
        <w:t xml:space="preserve"> are classically administered to </w:t>
      </w:r>
      <w:r w:rsidRPr="009E786D">
        <w:rPr>
          <w:rStyle w:val="Emphasis"/>
          <w:highlight w:val="green"/>
        </w:rPr>
        <w:t>prevent</w:t>
      </w:r>
      <w:r w:rsidRPr="009E786D">
        <w:rPr>
          <w:rStyle w:val="Emphasis"/>
        </w:rPr>
        <w:t xml:space="preserve"> the appearance of </w:t>
      </w:r>
      <w:r w:rsidRPr="009E786D">
        <w:rPr>
          <w:rStyle w:val="Emphasis"/>
          <w:highlight w:val="green"/>
        </w:rPr>
        <w:t>a medical problem</w:t>
      </w:r>
      <w:r w:rsidRPr="009E786D">
        <w:rPr>
          <w:rStyle w:val="Emphasis"/>
        </w:rPr>
        <w:t xml:space="preserve">, while </w:t>
      </w:r>
      <w:r w:rsidRPr="009E786D">
        <w:rPr>
          <w:rStyle w:val="Emphasis"/>
          <w:highlight w:val="green"/>
        </w:rPr>
        <w:t>drugs</w:t>
      </w:r>
      <w:r w:rsidRPr="009E786D">
        <w:rPr>
          <w:rStyle w:val="Emphasis"/>
        </w:rPr>
        <w:t xml:space="preserve"> are generally administered to </w:t>
      </w:r>
      <w:r w:rsidRPr="009E786D">
        <w:rPr>
          <w:rStyle w:val="Emphasis"/>
          <w:highlight w:val="green"/>
        </w:rPr>
        <w:t>treat a medical problem</w:t>
      </w:r>
      <w:r w:rsidRPr="009E786D">
        <w:rPr>
          <w:sz w:val="12"/>
        </w:rPr>
        <w:t xml:space="preserve">. Noticeable exceptions can be found for both classes of therapeutic interventions such as cancer vaccines (that are administered after detection of the problem), and protein pump inhibitors (that are often administered to prevent gastric problems in co-therapy with other drugs or in specific hospital settings). Nevertheless, vaccines and drugs are similarly regulated both in research and development, manufacturing, clinical trials, government approval and regulation, and post-licensing usage surveillance and monitoring. In a broader scope, vaccine is a special type of drug. </w:t>
      </w:r>
      <w:r w:rsidRPr="009E786D">
        <w:rPr>
          <w:rStyle w:val="StyleUnderline"/>
        </w:rPr>
        <w:t>Vaccines and drugs also have many differences. For example, for vaccines, dose, time, route, and frequency of administration are generally known quite precisely</w:t>
      </w:r>
      <w:r w:rsidRPr="009E786D">
        <w:rPr>
          <w:sz w:val="12"/>
        </w:rPr>
        <w:t xml:space="preserve">. However, </w:t>
      </w:r>
      <w:r w:rsidRPr="009E786D">
        <w:rPr>
          <w:rStyle w:val="StyleUnderline"/>
        </w:rPr>
        <w:t>since drugs are used for patients with different conditions, dose, time, and frequency of drug administration are often very difficult to establish</w:t>
      </w:r>
      <w:r w:rsidRPr="009E786D">
        <w:rPr>
          <w:sz w:val="12"/>
        </w:rPr>
        <w:t xml:space="preserve">. Since </w:t>
      </w:r>
      <w:r w:rsidRPr="009E786D">
        <w:rPr>
          <w:rStyle w:val="StyleUnderline"/>
        </w:rPr>
        <w:t>vaccines are often administered to healthy people to prevent medical problems</w:t>
      </w:r>
      <w:r w:rsidRPr="009E786D">
        <w:rPr>
          <w:sz w:val="12"/>
        </w:rPr>
        <w:t xml:space="preserve">, attribution of an adverse event following vaccination is less likely to be confounded by signs or symptoms of underlying medical problems as it is with drugs that are administered to treat medical problems. However, separation of manifestation of medical problem from manifestation of drug adverse event is often very challenging. </w:t>
      </w:r>
      <w:r w:rsidRPr="009E786D">
        <w:rPr>
          <w:rStyle w:val="Emphasis"/>
        </w:rPr>
        <w:t xml:space="preserve">In the U.S.A, </w:t>
      </w:r>
      <w:r w:rsidRPr="009E786D">
        <w:rPr>
          <w:rStyle w:val="Emphasis"/>
          <w:highlight w:val="green"/>
        </w:rPr>
        <w:t>vaccines are regulated</w:t>
      </w:r>
      <w:r w:rsidRPr="009E786D">
        <w:rPr>
          <w:rStyle w:val="Emphasis"/>
        </w:rPr>
        <w:t xml:space="preserve"> under different laws </w:t>
      </w:r>
      <w:r w:rsidRPr="009E786D">
        <w:rPr>
          <w:rStyle w:val="Emphasis"/>
          <w:highlight w:val="green"/>
        </w:rPr>
        <w:t>by</w:t>
      </w:r>
      <w:r w:rsidRPr="009E786D">
        <w:rPr>
          <w:rStyle w:val="Emphasis"/>
        </w:rPr>
        <w:t xml:space="preserve"> the Center for Biologics (</w:t>
      </w:r>
      <w:r w:rsidRPr="009E786D">
        <w:rPr>
          <w:rStyle w:val="Emphasis"/>
          <w:highlight w:val="green"/>
        </w:rPr>
        <w:t>CBER</w:t>
      </w:r>
      <w:r w:rsidRPr="009E786D">
        <w:rPr>
          <w:rStyle w:val="Emphasis"/>
        </w:rPr>
        <w:t xml:space="preserve">) at FDA, while </w:t>
      </w:r>
      <w:r w:rsidRPr="009E786D">
        <w:rPr>
          <w:rStyle w:val="Emphasis"/>
          <w:highlight w:val="green"/>
        </w:rPr>
        <w:t>drugs</w:t>
      </w:r>
      <w:r w:rsidRPr="009E786D">
        <w:rPr>
          <w:rStyle w:val="Emphasis"/>
        </w:rPr>
        <w:t xml:space="preserve"> are regulated under the Food Drug and Cosmetic Act </w:t>
      </w:r>
      <w:r w:rsidRPr="009E786D">
        <w:rPr>
          <w:rStyle w:val="Emphasis"/>
          <w:highlight w:val="green"/>
        </w:rPr>
        <w:t>by</w:t>
      </w:r>
      <w:r w:rsidRPr="009E786D">
        <w:rPr>
          <w:rStyle w:val="Emphasis"/>
        </w:rPr>
        <w:t xml:space="preserve"> the Center for Drugs (</w:t>
      </w:r>
      <w:r w:rsidRPr="009E786D">
        <w:rPr>
          <w:rStyle w:val="Emphasis"/>
          <w:highlight w:val="green"/>
        </w:rPr>
        <w:t>CDER</w:t>
      </w:r>
      <w:r w:rsidRPr="009E786D">
        <w:rPr>
          <w:rStyle w:val="Emphasis"/>
        </w:rPr>
        <w:t>) at FDA</w:t>
      </w:r>
      <w:r w:rsidRPr="009E786D">
        <w:rPr>
          <w:sz w:val="12"/>
        </w:rPr>
        <w:t xml:space="preserve">. Safety surveillance for vaccines is for the most part carried out by the Center for Disease Control (CDC) in Atlanta, while for drugs it is carried out by the FDA. Due to these similarities and differences between vaccines and drugs, a closer communication between these two areas is important to create effective ontological frameworks around which </w:t>
      </w:r>
      <w:r w:rsidRPr="009E786D">
        <w:rPr>
          <w:rStyle w:val="StyleUnderline"/>
        </w:rPr>
        <w:t>we can build comparative and predictive systems for both vaccines and drugs</w:t>
      </w:r>
      <w:r w:rsidRPr="009E786D">
        <w:rPr>
          <w:sz w:val="12"/>
        </w:rPr>
        <w:t>.</w:t>
      </w:r>
    </w:p>
    <w:p w14:paraId="1C96B567" w14:textId="77777777" w:rsidR="000E4DF0" w:rsidRPr="00731887" w:rsidRDefault="000E4DF0" w:rsidP="000E4DF0">
      <w:pPr>
        <w:pStyle w:val="Heading4"/>
        <w:numPr>
          <w:ilvl w:val="0"/>
          <w:numId w:val="12"/>
        </w:numPr>
        <w:tabs>
          <w:tab w:val="num" w:pos="360"/>
        </w:tabs>
        <w:ind w:left="360"/>
      </w:pPr>
      <w:r>
        <w:t>Vaccines are medical interventions not medicines</w:t>
      </w:r>
    </w:p>
    <w:p w14:paraId="5CB9E983" w14:textId="77777777" w:rsidR="000E4DF0" w:rsidRDefault="000E4DF0" w:rsidP="000E4DF0">
      <w:r w:rsidRPr="00644E44">
        <w:rPr>
          <w:rStyle w:val="Style13ptBold"/>
        </w:rPr>
        <w:t>Elbe 10</w:t>
      </w:r>
      <w:r w:rsidRPr="00644E44">
        <w:t xml:space="preserve"> (Stefan Elbe, [director of the Centre for Global Health Policy and a professor of international relations at the University of Sussex. He is the author of Strategic Implications of HIV/AIDS,  Security and Global Health, and Virus Alert: Security, Governmentality, and the AIDS Pandemic.], 5-3-2010, “Security and Global Health</w:t>
      </w:r>
      <w:r>
        <w:t>” Polity Press</w:t>
      </w:r>
      <w:r w:rsidRPr="00644E44">
        <w:t xml:space="preserve">, accessed: 8-9-2021, </w:t>
      </w:r>
      <w:r w:rsidRPr="00F5131A">
        <w:t>https://books.google.com/books?id=PKMoMJrSsksC</w:t>
      </w:r>
      <w:r w:rsidRPr="00644E44">
        <w:t>)  ajs</w:t>
      </w:r>
    </w:p>
    <w:p w14:paraId="63403029" w14:textId="77777777" w:rsidR="000E4DF0" w:rsidRDefault="000E4DF0" w:rsidP="000E4DF0">
      <w:r w:rsidRPr="00644E44">
        <w:t xml:space="preserve">Yet here too we must be careful not to overlook other types of medical intervention simultaneously pursued by the 'social' arm of modern medicine at the population level. Vaccines in particular continue to be particularly important medical interventions that repeatedly surface in a variety of different health security delib- erations. </w:t>
      </w:r>
      <w:r w:rsidRPr="00644E44">
        <w:rPr>
          <w:rStyle w:val="StyleUnderline"/>
        </w:rPr>
        <w:t xml:space="preserve">Strictly speaking, </w:t>
      </w:r>
      <w:r w:rsidRPr="0052138D">
        <w:rPr>
          <w:rStyle w:val="StyleUnderline"/>
          <w:highlight w:val="green"/>
        </w:rPr>
        <w:t xml:space="preserve">vaccines are not </w:t>
      </w:r>
      <w:r w:rsidRPr="00191660">
        <w:rPr>
          <w:rStyle w:val="StyleUnderline"/>
          <w:highlight w:val="green"/>
        </w:rPr>
        <w:t xml:space="preserve">medicines because they </w:t>
      </w:r>
      <w:r w:rsidRPr="0052138D">
        <w:rPr>
          <w:rStyle w:val="StyleUnderline"/>
          <w:highlight w:val="green"/>
        </w:rPr>
        <w:t>consist of</w:t>
      </w:r>
      <w:r w:rsidRPr="00644E44">
        <w:rPr>
          <w:rStyle w:val="StyleUnderline"/>
        </w:rPr>
        <w:t xml:space="preserve"> small concentrations of </w:t>
      </w:r>
      <w:r w:rsidRPr="0052138D">
        <w:rPr>
          <w:rStyle w:val="StyleUnderline"/>
          <w:highlight w:val="green"/>
        </w:rPr>
        <w:t>disease-causing microbes</w:t>
      </w:r>
      <w:r w:rsidRPr="00644E44">
        <w:rPr>
          <w:rStyle w:val="StyleUnderline"/>
        </w:rPr>
        <w:t xml:space="preserve"> (or their derivatives) </w:t>
      </w:r>
      <w:r w:rsidRPr="0052138D">
        <w:rPr>
          <w:rStyle w:val="StyleUnderline"/>
          <w:highlight w:val="green"/>
        </w:rPr>
        <w:t>used to enhance</w:t>
      </w:r>
      <w:r w:rsidRPr="00644E44">
        <w:rPr>
          <w:rStyle w:val="StyleUnderline"/>
        </w:rPr>
        <w:t xml:space="preserve"> a </w:t>
      </w:r>
      <w:r w:rsidRPr="0052138D">
        <w:rPr>
          <w:rStyle w:val="StyleUnderline"/>
        </w:rPr>
        <w:t xml:space="preserve">person's </w:t>
      </w:r>
      <w:r w:rsidRPr="0052138D">
        <w:rPr>
          <w:rStyle w:val="StyleUnderline"/>
          <w:highlight w:val="green"/>
        </w:rPr>
        <w:t>immuno-response</w:t>
      </w:r>
      <w:r w:rsidRPr="00644E44">
        <w:rPr>
          <w:rStyle w:val="StyleUnderline"/>
        </w:rPr>
        <w:t xml:space="preserve"> to a future infection.</w:t>
      </w:r>
      <w:r w:rsidRPr="00644E44">
        <w:t xml:space="preserve"> As a public health </w:t>
      </w:r>
      <w:r w:rsidRPr="00644E44">
        <w:lastRenderedPageBreak/>
        <w:t xml:space="preserve">measure, vaccines have therefore also been largely sidelined in the existing medicalization literature. Yet, generally speaking, </w:t>
      </w:r>
      <w:r w:rsidRPr="00644E44">
        <w:rPr>
          <w:rStyle w:val="StyleUnderline"/>
        </w:rPr>
        <w:t xml:space="preserve">vaccines too can be considered as medical inter- ventions. </w:t>
      </w:r>
      <w:r w:rsidRPr="00191660">
        <w:rPr>
          <w:rStyle w:val="StyleUnderline"/>
        </w:rPr>
        <w:t>That is</w:t>
      </w:r>
      <w:r w:rsidRPr="00644E44">
        <w:rPr>
          <w:rStyle w:val="StyleUnderline"/>
        </w:rPr>
        <w:t xml:space="preserve"> certainly </w:t>
      </w:r>
      <w:r w:rsidRPr="00191660">
        <w:rPr>
          <w:rStyle w:val="StyleUnderline"/>
        </w:rPr>
        <w:t>how</w:t>
      </w:r>
      <w:r w:rsidRPr="00644E44">
        <w:rPr>
          <w:rStyle w:val="StyleUnderline"/>
        </w:rPr>
        <w:t xml:space="preserve"> the </w:t>
      </w:r>
      <w:r w:rsidRPr="00191660">
        <w:rPr>
          <w:rStyle w:val="StyleUnderline"/>
          <w:highlight w:val="green"/>
        </w:rPr>
        <w:t>W</w:t>
      </w:r>
      <w:r w:rsidRPr="00644E44">
        <w:rPr>
          <w:rStyle w:val="StyleUnderline"/>
        </w:rPr>
        <w:t xml:space="preserve">orld </w:t>
      </w:r>
      <w:r w:rsidRPr="00191660">
        <w:rPr>
          <w:rStyle w:val="StyleUnderline"/>
          <w:highlight w:val="green"/>
        </w:rPr>
        <w:t>H</w:t>
      </w:r>
      <w:r w:rsidRPr="00191660">
        <w:rPr>
          <w:rStyle w:val="StyleUnderline"/>
        </w:rPr>
        <w:t>ealth</w:t>
      </w:r>
      <w:r w:rsidRPr="00644E44">
        <w:rPr>
          <w:rStyle w:val="StyleUnderline"/>
        </w:rPr>
        <w:t xml:space="preserve"> </w:t>
      </w:r>
      <w:r w:rsidRPr="00A11907">
        <w:rPr>
          <w:rStyle w:val="StyleUnderline"/>
          <w:highlight w:val="green"/>
        </w:rPr>
        <w:t>O</w:t>
      </w:r>
      <w:r w:rsidRPr="00A11907">
        <w:rPr>
          <w:rStyle w:val="StyleUnderline"/>
        </w:rPr>
        <w:t xml:space="preserve">rganization </w:t>
      </w:r>
      <w:r w:rsidRPr="00A11907">
        <w:rPr>
          <w:rStyle w:val="StyleUnderline"/>
          <w:highlight w:val="green"/>
        </w:rPr>
        <w:t>views them</w:t>
      </w:r>
      <w:r w:rsidRPr="00A11907">
        <w:rPr>
          <w:rStyle w:val="StyleUnderline"/>
        </w:rPr>
        <w:t xml:space="preserve">, pointing out that </w:t>
      </w:r>
      <w:r w:rsidRPr="00A11907">
        <w:rPr>
          <w:rStyle w:val="StyleUnderline"/>
          <w:highlight w:val="green"/>
        </w:rPr>
        <w:t>'vaccines are</w:t>
      </w:r>
      <w:r w:rsidRPr="00644E44">
        <w:t xml:space="preserve"> among the most important </w:t>
      </w:r>
      <w:r w:rsidRPr="00191660">
        <w:rPr>
          <w:rStyle w:val="StyleUnderline"/>
          <w:highlight w:val="green"/>
        </w:rPr>
        <w:t>medical interventions</w:t>
      </w:r>
      <w:r w:rsidRPr="00644E44">
        <w:t xml:space="preserve"> for reducing illness and deaths' available today (WHO 2009a). Whereas </w:t>
      </w:r>
      <w:r w:rsidRPr="00ED5780">
        <w:rPr>
          <w:rStyle w:val="StyleUnderline"/>
          <w:highlight w:val="green"/>
        </w:rPr>
        <w:t>pills and other therapies mark</w:t>
      </w:r>
      <w:r w:rsidRPr="00ED5780">
        <w:rPr>
          <w:rStyle w:val="StyleUnderline"/>
        </w:rPr>
        <w:t xml:space="preserve"> the tools of </w:t>
      </w:r>
      <w:r w:rsidRPr="00ED5780">
        <w:rPr>
          <w:rStyle w:val="StyleUnderline"/>
          <w:highlight w:val="green"/>
        </w:rPr>
        <w:t>clinical medicine</w:t>
      </w:r>
      <w:r w:rsidRPr="00644E44">
        <w:t>,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practised through the introduction of new medical interventions in society.</w:t>
      </w:r>
    </w:p>
    <w:p w14:paraId="3084927A" w14:textId="77777777" w:rsidR="000E4DF0" w:rsidRDefault="000E4DF0" w:rsidP="000E4DF0">
      <w:pPr>
        <w:pStyle w:val="Heading4"/>
      </w:pPr>
      <w:r>
        <w:t xml:space="preserve">Prefer – </w:t>
      </w:r>
    </w:p>
    <w:p w14:paraId="68F41647" w14:textId="77777777" w:rsidR="000E4DF0" w:rsidRDefault="000E4DF0" w:rsidP="000E4DF0">
      <w:pPr>
        <w:pStyle w:val="Heading4"/>
        <w:numPr>
          <w:ilvl w:val="0"/>
          <w:numId w:val="13"/>
        </w:numPr>
        <w:tabs>
          <w:tab w:val="num" w:pos="720"/>
        </w:tabs>
      </w:pPr>
      <w:r>
        <w:t xml:space="preserve">Limits – allowing non medicines explodes limits to include affs that defend reducing protections for </w:t>
      </w:r>
      <w:r w:rsidRPr="00845F4C">
        <w:rPr>
          <w:u w:val="single"/>
        </w:rPr>
        <w:t>surgeries</w:t>
      </w:r>
      <w:r w:rsidRPr="00845F4C">
        <w:t xml:space="preserve">, </w:t>
      </w:r>
      <w:r w:rsidRPr="00845F4C">
        <w:rPr>
          <w:u w:val="single"/>
        </w:rPr>
        <w:t>therapy</w:t>
      </w:r>
      <w:r w:rsidRPr="00845F4C">
        <w:t>,</w:t>
      </w:r>
      <w:r>
        <w:t xml:space="preserve"> </w:t>
      </w:r>
      <w:r w:rsidRPr="00845F4C">
        <w:rPr>
          <w:u w:val="single"/>
        </w:rPr>
        <w:t>injury prevention</w:t>
      </w:r>
      <w:r>
        <w:t xml:space="preserve">, </w:t>
      </w:r>
      <w:r w:rsidRPr="00845F4C">
        <w:rPr>
          <w:u w:val="single"/>
        </w:rPr>
        <w:t>cosmetic procedures</w:t>
      </w:r>
      <w:r>
        <w:t>, etc. -</w:t>
      </w:r>
      <w:r w:rsidRPr="00845F4C">
        <w:t xml:space="preserve"> makes neg prep impossible because </w:t>
      </w:r>
      <w:r>
        <w:t xml:space="preserve">the case neg to the </w:t>
      </w:r>
      <w:r w:rsidRPr="007C7432">
        <w:rPr>
          <w:u w:val="single"/>
        </w:rPr>
        <w:t>Botox</w:t>
      </w:r>
      <w:r>
        <w:t xml:space="preserve"> and </w:t>
      </w:r>
      <w:r>
        <w:rPr>
          <w:u w:val="single"/>
        </w:rPr>
        <w:t>Laser Eye Surgery</w:t>
      </w:r>
      <w:r>
        <w:t xml:space="preserve"> affs would have no overlap </w:t>
      </w:r>
      <w:r w:rsidRPr="007C7432">
        <w:t>--</w:t>
      </w:r>
      <w:r>
        <w:t xml:space="preserve"> privileges the aff by stretching pre-tournament neg prep too thin and precluding nuanced rigorous testing of aff. </w:t>
      </w:r>
    </w:p>
    <w:p w14:paraId="77079854" w14:textId="77777777" w:rsidR="000E4DF0" w:rsidRDefault="000E4DF0" w:rsidP="000E4DF0">
      <w:pPr>
        <w:pStyle w:val="Heading4"/>
        <w:numPr>
          <w:ilvl w:val="0"/>
          <w:numId w:val="13"/>
        </w:numPr>
        <w:tabs>
          <w:tab w:val="num" w:pos="720"/>
        </w:tabs>
      </w:pPr>
      <w:r>
        <w:t xml:space="preserve">Ground – arbitrarily not defending medicines kills links to core neg generics about drug innovation, competition over pharmaceutical development, or production of medicine needing to </w:t>
      </w:r>
      <w:r w:rsidRPr="001B18C4">
        <w:t>increase</w:t>
      </w:r>
      <w:r>
        <w:t xml:space="preserve"> because medical interventions are </w:t>
      </w:r>
      <w:r>
        <w:rPr>
          <w:u w:val="single"/>
        </w:rPr>
        <w:t>uncontroversial</w:t>
      </w:r>
      <w:r w:rsidRPr="001B18C4">
        <w:t xml:space="preserve">. </w:t>
      </w:r>
      <w:r>
        <w:t>Drugs and Vaccines</w:t>
      </w:r>
      <w:r w:rsidRPr="001B18C4">
        <w:t xml:space="preserve"> are </w:t>
      </w:r>
      <w:r w:rsidRPr="00A20FBB">
        <w:rPr>
          <w:u w:val="single"/>
        </w:rPr>
        <w:t>not</w:t>
      </w:r>
      <w:r w:rsidRPr="001B18C4">
        <w:t xml:space="preserve"> regulated in the same way which proves any lit about why W</w:t>
      </w:r>
      <w:r>
        <w:t>T</w:t>
      </w:r>
      <w:r w:rsidRPr="001B18C4">
        <w:t xml:space="preserve">O changing protections for </w:t>
      </w:r>
      <w:r>
        <w:t>one</w:t>
      </w:r>
      <w:r w:rsidRPr="001B18C4">
        <w:t xml:space="preserve"> would not be applicable to </w:t>
      </w:r>
      <w:r>
        <w:t>the other – that’s He</w:t>
      </w:r>
      <w:r w:rsidRPr="001B18C4">
        <w:t>.</w:t>
      </w:r>
      <w:r>
        <w:rPr>
          <w:rStyle w:val="Style13ptBold"/>
        </w:rPr>
        <w:t xml:space="preserve"> </w:t>
      </w:r>
      <w:r w:rsidRPr="001B18C4">
        <w:t>Pushes</w:t>
      </w:r>
      <w:r>
        <w:t xml:space="preserve"> 1NCs to the fringes like Ks that disagree with everything or sketchy CPs which destroys clash. </w:t>
      </w:r>
    </w:p>
    <w:p w14:paraId="796BB5FD" w14:textId="77777777" w:rsidR="000E4DF0" w:rsidRPr="00123B47" w:rsidRDefault="000E4DF0" w:rsidP="000E4DF0">
      <w:pPr>
        <w:pStyle w:val="Heading4"/>
        <w:rPr>
          <w:rFonts w:cs="Calibri"/>
        </w:rPr>
      </w:pPr>
      <w:r w:rsidRPr="00123B47">
        <w:rPr>
          <w:rFonts w:cs="Calibri"/>
        </w:rPr>
        <w:t xml:space="preserve">Paradigm issues – </w:t>
      </w:r>
    </w:p>
    <w:p w14:paraId="3431A545" w14:textId="77777777" w:rsidR="000E4DF0" w:rsidRPr="00123B47" w:rsidRDefault="000E4DF0" w:rsidP="000E4DF0">
      <w:pPr>
        <w:pStyle w:val="Heading4"/>
        <w:numPr>
          <w:ilvl w:val="0"/>
          <w:numId w:val="14"/>
        </w:numPr>
        <w:tabs>
          <w:tab w:val="num" w:pos="1080"/>
        </w:tabs>
        <w:ind w:left="1080"/>
        <w:rPr>
          <w:rFonts w:cs="Calibri"/>
        </w:rPr>
      </w:pPr>
      <w:r w:rsidRPr="00123B47">
        <w:rPr>
          <w:rFonts w:cs="Calibri"/>
        </w:rPr>
        <w:t xml:space="preserve">Drop the debater – their abusive advocacy skewed the debate from the start </w:t>
      </w:r>
    </w:p>
    <w:p w14:paraId="6F9E135E" w14:textId="77777777" w:rsidR="000E4DF0" w:rsidRPr="00123B47" w:rsidRDefault="000E4DF0" w:rsidP="000E4DF0">
      <w:pPr>
        <w:pStyle w:val="Heading4"/>
        <w:numPr>
          <w:ilvl w:val="0"/>
          <w:numId w:val="14"/>
        </w:numPr>
        <w:tabs>
          <w:tab w:val="num" w:pos="1080"/>
        </w:tabs>
        <w:ind w:left="1080"/>
        <w:rPr>
          <w:rFonts w:cs="Calibri"/>
        </w:rPr>
      </w:pPr>
      <w:r w:rsidRPr="00123B47">
        <w:rPr>
          <w:rFonts w:cs="Calibri"/>
        </w:rPr>
        <w:t xml:space="preserve">Comes before 1AR theory – NC abuse is responsive to them not being topical </w:t>
      </w:r>
    </w:p>
    <w:p w14:paraId="1E59EC0B" w14:textId="77777777" w:rsidR="000E4DF0" w:rsidRPr="00E63722" w:rsidRDefault="000E4DF0" w:rsidP="000E4DF0">
      <w:pPr>
        <w:pStyle w:val="Heading4"/>
        <w:numPr>
          <w:ilvl w:val="0"/>
          <w:numId w:val="14"/>
        </w:numPr>
        <w:tabs>
          <w:tab w:val="num" w:pos="1080"/>
        </w:tabs>
        <w:ind w:left="1080"/>
        <w:rPr>
          <w:rFonts w:cs="Calibri"/>
        </w:rPr>
      </w:pPr>
      <w:r w:rsidRPr="00123B47">
        <w:rPr>
          <w:rFonts w:cs="Calibri"/>
        </w:rPr>
        <w:t>Competing interps – reasonability invites arbitrary judge intervention and a race to the bottom of questionable argumentation</w:t>
      </w:r>
    </w:p>
    <w:p w14:paraId="7AC1353D" w14:textId="77777777" w:rsidR="000E4DF0" w:rsidRDefault="000E4DF0" w:rsidP="000E4DF0">
      <w:pPr>
        <w:pStyle w:val="Heading4"/>
        <w:numPr>
          <w:ilvl w:val="0"/>
          <w:numId w:val="14"/>
        </w:numPr>
        <w:tabs>
          <w:tab w:val="num" w:pos="1080"/>
        </w:tabs>
        <w:ind w:left="1080"/>
      </w:pPr>
      <w:r>
        <w:t xml:space="preserve">Fairness is a voter </w:t>
      </w:r>
      <w:r>
        <w:softHyphen/>
        <w:t>– necessary to determine the better debater</w:t>
      </w:r>
    </w:p>
    <w:p w14:paraId="61245DCB" w14:textId="77777777" w:rsidR="000E4DF0" w:rsidRDefault="000E4DF0" w:rsidP="000E4DF0">
      <w:pPr>
        <w:pStyle w:val="Heading4"/>
        <w:numPr>
          <w:ilvl w:val="0"/>
          <w:numId w:val="14"/>
        </w:numPr>
        <w:tabs>
          <w:tab w:val="num" w:pos="1080"/>
        </w:tabs>
        <w:ind w:left="1080"/>
      </w:pPr>
      <w:r>
        <w:t>Education is a voter – why schools fund debate</w:t>
      </w:r>
    </w:p>
    <w:p w14:paraId="0F14A82A" w14:textId="77777777" w:rsidR="00790A40" w:rsidRDefault="00790A40" w:rsidP="00F601E6"/>
    <w:p w14:paraId="191431C2" w14:textId="77777777" w:rsidR="0068299B" w:rsidRDefault="0068299B" w:rsidP="0068299B">
      <w:pPr>
        <w:pStyle w:val="Heading2"/>
      </w:pPr>
      <w:r>
        <w:lastRenderedPageBreak/>
        <w:t>1NC – CP</w:t>
      </w:r>
    </w:p>
    <w:p w14:paraId="36C58B9C" w14:textId="77777777" w:rsidR="0068299B" w:rsidRPr="0032505C" w:rsidRDefault="0068299B" w:rsidP="0068299B">
      <w:pPr>
        <w:pStyle w:val="Heading4"/>
      </w:pPr>
      <w:r>
        <w:t>CP: Member nations of the World Trade Organization should waive intellectual property protections for Covid-19 related medicines except for Remdesivir.</w:t>
      </w:r>
    </w:p>
    <w:p w14:paraId="5389B8FC" w14:textId="77777777" w:rsidR="0068299B" w:rsidRDefault="0068299B" w:rsidP="0068299B">
      <w:pPr>
        <w:pStyle w:val="Heading4"/>
      </w:pPr>
      <w:r>
        <w:t xml:space="preserve">Remdesivir patents are key to profits that enable </w:t>
      </w:r>
      <w:r w:rsidRPr="0032505C">
        <w:rPr>
          <w:u w:val="single"/>
        </w:rPr>
        <w:t>continued production</w:t>
      </w:r>
      <w:r>
        <w:t xml:space="preserve"> and </w:t>
      </w:r>
      <w:r w:rsidRPr="0032505C">
        <w:rPr>
          <w:u w:val="single"/>
        </w:rPr>
        <w:t>future innovation</w:t>
      </w:r>
    </w:p>
    <w:p w14:paraId="658A892A" w14:textId="77777777" w:rsidR="0068299B" w:rsidRPr="003B4602" w:rsidRDefault="0068299B" w:rsidP="0068299B">
      <w:pPr>
        <w:rPr>
          <w:rStyle w:val="Style13ptBold"/>
          <w:b w:val="0"/>
          <w:bCs/>
          <w:sz w:val="16"/>
          <w:szCs w:val="16"/>
        </w:rPr>
      </w:pPr>
      <w:r>
        <w:rPr>
          <w:rStyle w:val="Style13ptBold"/>
        </w:rPr>
        <w:t xml:space="preserve">Mossoff 20 </w:t>
      </w:r>
      <w:r w:rsidRPr="003B4602">
        <w:rPr>
          <w:rStyle w:val="Style13ptBold"/>
          <w:b w:val="0"/>
          <w:bCs/>
          <w:sz w:val="16"/>
          <w:szCs w:val="16"/>
        </w:rPr>
        <w:t xml:space="preserve">[(Adam, </w:t>
      </w:r>
      <w:r w:rsidRPr="003B4602">
        <w:rPr>
          <w:bCs/>
          <w:szCs w:val="16"/>
        </w:rPr>
        <w:t>Professor of Law at Antonin Scalia Law School, George Mason University, teaches a wide range of courses at the law school, including property, patent law, trade secrets, trademark law, remedies, and internet law, Visiting Intellectual Property Fellow at the Heritage Foundation</w:t>
      </w:r>
      <w:r>
        <w:rPr>
          <w:bCs/>
          <w:szCs w:val="16"/>
        </w:rPr>
        <w:t>, J</w:t>
      </w:r>
      <w:r w:rsidRPr="003B4602">
        <w:rPr>
          <w:bCs/>
          <w:szCs w:val="16"/>
        </w:rPr>
        <w:t>D from the University of Chicago Law School</w:t>
      </w:r>
      <w:r w:rsidRPr="003B4602">
        <w:rPr>
          <w:rStyle w:val="Style13ptBold"/>
          <w:b w:val="0"/>
          <w:bCs/>
          <w:sz w:val="16"/>
          <w:szCs w:val="16"/>
        </w:rPr>
        <w:t>) “</w:t>
      </w:r>
      <w:r w:rsidRPr="003B4602">
        <w:rPr>
          <w:szCs w:val="16"/>
        </w:rPr>
        <w:t>US Should Not Confiscate Gilead's Remdesivir Patent,” Law360, 8/21/2020] JL</w:t>
      </w:r>
    </w:p>
    <w:p w14:paraId="0EBD067F" w14:textId="77777777" w:rsidR="0068299B" w:rsidRPr="003B4602" w:rsidRDefault="0068299B" w:rsidP="0068299B">
      <w:pPr>
        <w:rPr>
          <w:sz w:val="12"/>
        </w:rPr>
      </w:pPr>
      <w:r w:rsidRPr="003B4602">
        <w:rPr>
          <w:sz w:val="12"/>
        </w:rPr>
        <w:t xml:space="preserve">These </w:t>
      </w:r>
      <w:r w:rsidRPr="00B20A19">
        <w:rPr>
          <w:rStyle w:val="Emphasis"/>
          <w:highlight w:val="green"/>
        </w:rPr>
        <w:t>politicians allege that</w:t>
      </w:r>
      <w:r w:rsidRPr="003B4602">
        <w:rPr>
          <w:sz w:val="12"/>
        </w:rPr>
        <w:t xml:space="preserve"> since the U.S. helped pay for some of remdesivir's clinical trials, </w:t>
      </w:r>
      <w:r w:rsidRPr="00B20A19">
        <w:rPr>
          <w:rStyle w:val="Emphasis"/>
          <w:highlight w:val="green"/>
        </w:rPr>
        <w:t>the</w:t>
      </w:r>
      <w:r w:rsidRPr="00B20A19">
        <w:rPr>
          <w:rStyle w:val="Emphasis"/>
        </w:rPr>
        <w:t xml:space="preserve"> federal </w:t>
      </w:r>
      <w:r w:rsidRPr="00B20A19">
        <w:rPr>
          <w:rStyle w:val="Emphasis"/>
          <w:highlight w:val="green"/>
        </w:rPr>
        <w:t>government can</w:t>
      </w:r>
      <w:r w:rsidRPr="003B4602">
        <w:rPr>
          <w:rStyle w:val="StyleUnderline"/>
        </w:rPr>
        <w:t xml:space="preserve"> use its march-in power in a 1980 law to </w:t>
      </w:r>
      <w:r w:rsidRPr="00B20A19">
        <w:rPr>
          <w:rStyle w:val="Emphasis"/>
          <w:highlight w:val="green"/>
        </w:rPr>
        <w:t>appropriate Gilead's patent</w:t>
      </w:r>
      <w:r w:rsidRPr="00B20A19">
        <w:rPr>
          <w:rStyle w:val="StyleUnderline"/>
          <w:highlight w:val="green"/>
        </w:rPr>
        <w:t xml:space="preserve"> and license it to generic manufacturers</w:t>
      </w:r>
      <w:r w:rsidRPr="003B4602">
        <w:rPr>
          <w:sz w:val="12"/>
        </w:rPr>
        <w:t xml:space="preserve"> to lower the price and increase availability of the drug.</w:t>
      </w:r>
      <w:r w:rsidRPr="003B4602">
        <w:rPr>
          <w:sz w:val="12"/>
        </w:rPr>
        <w:br/>
      </w:r>
      <w:r w:rsidRPr="003B4602">
        <w:rPr>
          <w:sz w:val="12"/>
        </w:rPr>
        <w:br/>
        <w:t xml:space="preserve">At first glance, their argument may seem appealing. </w:t>
      </w:r>
      <w:r w:rsidRPr="003B4602">
        <w:rPr>
          <w:rStyle w:val="StyleUnderline"/>
        </w:rPr>
        <w:t>Unfortunately, the state AGs' letter is another example of populist rhetoric contrary to both law and reason</w:t>
      </w:r>
      <w:r w:rsidRPr="003B4602">
        <w:rPr>
          <w:sz w:val="12"/>
        </w:rPr>
        <w:t xml:space="preserve">. The state AGs clearly don't understand the law in question — or the drug development process. If they succeed, </w:t>
      </w:r>
      <w:r w:rsidRPr="00B20A19">
        <w:rPr>
          <w:rStyle w:val="Emphasis"/>
          <w:highlight w:val="green"/>
        </w:rPr>
        <w:t>this would</w:t>
      </w:r>
      <w:r w:rsidRPr="003B4602">
        <w:rPr>
          <w:rStyle w:val="Emphasis"/>
        </w:rPr>
        <w:t xml:space="preserve"> sanction government theft of patents that will </w:t>
      </w:r>
      <w:r w:rsidRPr="00B20A19">
        <w:rPr>
          <w:rStyle w:val="Emphasis"/>
          <w:highlight w:val="green"/>
        </w:rPr>
        <w:t>chill innovation and harm patients</w:t>
      </w:r>
      <w:r w:rsidRPr="003B4602">
        <w:rPr>
          <w:sz w:val="12"/>
        </w:rPr>
        <w:t>.</w:t>
      </w:r>
      <w:r w:rsidRPr="003B4602">
        <w:rPr>
          <w:sz w:val="12"/>
        </w:rPr>
        <w:br/>
      </w:r>
      <w:r w:rsidRPr="003B4602">
        <w:rPr>
          <w:sz w:val="12"/>
        </w:rPr>
        <w:br/>
        <w:t xml:space="preserve">First, consider how </w:t>
      </w:r>
      <w:r w:rsidRPr="003B4602">
        <w:rPr>
          <w:rStyle w:val="StyleUnderline"/>
        </w:rPr>
        <w:t>their proposal rests on a foundation of sand</w:t>
      </w:r>
      <w:r w:rsidRPr="003B4602">
        <w:rPr>
          <w:sz w:val="12"/>
        </w:rPr>
        <w:t>.</w:t>
      </w:r>
      <w:r w:rsidRPr="003B4602">
        <w:rPr>
          <w:sz w:val="12"/>
        </w:rPr>
        <w:br/>
      </w:r>
      <w:r w:rsidRPr="003B4602">
        <w:rPr>
          <w:sz w:val="12"/>
        </w:rPr>
        <w:br/>
      </w:r>
      <w:r w:rsidRPr="003B4602">
        <w:rPr>
          <w:rStyle w:val="StyleUnderline"/>
        </w:rPr>
        <w:t>The 1980 law they cite, the Bayh-Dole Act, was not enacted for the purpose of government confiscation of patents</w:t>
      </w:r>
      <w:r w:rsidRPr="003B4602">
        <w:rPr>
          <w:sz w:val="12"/>
        </w:rPr>
        <w:t>. Congress enacted this law to facilitate universities and other research institutions to obtain patents and then license their innovations in the marketplace. Before 1980, no one knew who owned inventions if one cent of federal funding was used in the basic research that led to the patent. As a result, life-saving innovations sat on the shelf in the university lab.</w:t>
      </w:r>
      <w:r w:rsidRPr="003B4602">
        <w:rPr>
          <w:sz w:val="12"/>
        </w:rPr>
        <w:br/>
      </w:r>
      <w:r w:rsidRPr="003B4602">
        <w:rPr>
          <w:sz w:val="12"/>
        </w:rPr>
        <w:br/>
        <w:t>Bayh-Dole changed this. As former Sen. Bob Dole, R-Kan., recently observed, his legislation spurred the licensing of new innovations, promoted thousands of startups, and led to massive economic growth. It contributed to the explosion in new drugs over the past 40 years that have turned what were once death sentences into manageable conditions — from cancer to diabetes to hepatitis.</w:t>
      </w:r>
      <w:r w:rsidRPr="003B4602">
        <w:rPr>
          <w:sz w:val="12"/>
        </w:rPr>
        <w:br/>
      </w:r>
      <w:r w:rsidRPr="003B4602">
        <w:rPr>
          <w:sz w:val="12"/>
        </w:rPr>
        <w:br/>
      </w:r>
      <w:r w:rsidRPr="003B4602">
        <w:rPr>
          <w:rStyle w:val="StyleUnderline"/>
        </w:rPr>
        <w:t>Bayh-Dole does authorize a march-in power for the federal government to take patents and license them under very limited conditions</w:t>
      </w:r>
      <w:r w:rsidRPr="003B4602">
        <w:rPr>
          <w:sz w:val="12"/>
        </w:rPr>
        <w:t xml:space="preserve">. Contrary to the state AGs' claim, </w:t>
      </w:r>
      <w:r w:rsidRPr="003B4602">
        <w:rPr>
          <w:rStyle w:val="StyleUnderline"/>
        </w:rPr>
        <w:t xml:space="preserve">this is not an authorization for the federal government </w:t>
      </w:r>
      <w:r w:rsidRPr="00B20A19">
        <w:rPr>
          <w:rStyle w:val="StyleUnderline"/>
          <w:highlight w:val="green"/>
        </w:rPr>
        <w:t>to confiscate patents</w:t>
      </w:r>
      <w:r w:rsidRPr="003B4602">
        <w:rPr>
          <w:rStyle w:val="StyleUnderline"/>
        </w:rPr>
        <w:t xml:space="preserve"> merely to lower a price by expanding production. The National Institutes of Health has repeatedly stated that "the extraordinary remedy of march-in </w:t>
      </w:r>
      <w:r w:rsidRPr="00B20A19">
        <w:rPr>
          <w:rStyle w:val="StyleUnderline"/>
          <w:highlight w:val="green"/>
        </w:rPr>
        <w:t>is not an appropriate means of controlling prices</w:t>
      </w:r>
      <w:r w:rsidRPr="003B4602">
        <w:rPr>
          <w:sz w:val="12"/>
        </w:rPr>
        <w:t>."</w:t>
      </w:r>
      <w:r w:rsidRPr="003B4602">
        <w:rPr>
          <w:sz w:val="12"/>
        </w:rPr>
        <w:br/>
      </w:r>
      <w:r w:rsidRPr="003B4602">
        <w:rPr>
          <w:sz w:val="12"/>
        </w:rPr>
        <w:br/>
        <w:t xml:space="preserve">Since 1980, </w:t>
      </w:r>
      <w:r w:rsidRPr="003B4602">
        <w:rPr>
          <w:rStyle w:val="StyleUnderline"/>
        </w:rPr>
        <w:t>bipartisan administrations have consistently rejected lobbying efforts to use the march-in power for the purpose of lowering prices of drugs</w:t>
      </w:r>
      <w:r w:rsidRPr="003B4602">
        <w:rPr>
          <w:sz w:val="12"/>
        </w:rPr>
        <w:t xml:space="preserve">. They did so for one simple reason: </w:t>
      </w:r>
      <w:r w:rsidRPr="003B4602">
        <w:rPr>
          <w:rStyle w:val="StyleUnderline"/>
        </w:rPr>
        <w:t>Bayh-Dole does not authorize it</w:t>
      </w:r>
      <w:r w:rsidRPr="003B4602">
        <w:rPr>
          <w:sz w:val="12"/>
        </w:rPr>
        <w:t>.</w:t>
      </w:r>
      <w:r w:rsidRPr="003B4602">
        <w:rPr>
          <w:sz w:val="12"/>
        </w:rPr>
        <w:br/>
      </w:r>
      <w:r w:rsidRPr="003B4602">
        <w:rPr>
          <w:sz w:val="12"/>
        </w:rPr>
        <w:br/>
        <w:t xml:space="preserve">But there's a more basic legal problem with the state AGs' letter: </w:t>
      </w:r>
      <w:r w:rsidRPr="003B4602">
        <w:rPr>
          <w:rStyle w:val="StyleUnderline"/>
        </w:rPr>
        <w:t>Bayh-Dole doesn't even apply to remdesivir</w:t>
      </w:r>
      <w:r w:rsidRPr="003B4602">
        <w:rPr>
          <w:sz w:val="12"/>
        </w:rPr>
        <w:t>. The company readily acknowledges working with universities and the U.S. military in testing the drug, but</w:t>
      </w:r>
      <w:r w:rsidRPr="003B4602">
        <w:rPr>
          <w:rStyle w:val="StyleUnderline"/>
        </w:rPr>
        <w:t xml:space="preserve"> it was invented by and patented by Gilead researchers</w:t>
      </w:r>
      <w:r w:rsidRPr="003B4602">
        <w:rPr>
          <w:sz w:val="12"/>
        </w:rPr>
        <w:t xml:space="preserve">. The chief patent counsel for </w:t>
      </w:r>
      <w:r w:rsidRPr="003B4602">
        <w:rPr>
          <w:rStyle w:val="StyleUnderline"/>
        </w:rPr>
        <w:t>the U.S. Army Medical Research Institute of Infectious Diseases</w:t>
      </w:r>
      <w:r w:rsidRPr="003B4602">
        <w:rPr>
          <w:sz w:val="12"/>
        </w:rPr>
        <w:t xml:space="preserve">, or USAMRIID, which assisted Gilead in some of the later-stage testing, </w:t>
      </w:r>
      <w:r w:rsidRPr="003B4602">
        <w:rPr>
          <w:rStyle w:val="StyleUnderline"/>
        </w:rPr>
        <w:t>recently stated that its contributions did "not qualify USAMRIID as a joint inventor of the compound</w:t>
      </w:r>
      <w:r w:rsidRPr="003B4602">
        <w:rPr>
          <w:sz w:val="12"/>
        </w:rPr>
        <w:t>."</w:t>
      </w:r>
      <w:r w:rsidRPr="003B4602">
        <w:rPr>
          <w:sz w:val="12"/>
        </w:rPr>
        <w:br/>
      </w:r>
      <w:r w:rsidRPr="003B4602">
        <w:rPr>
          <w:sz w:val="12"/>
        </w:rPr>
        <w:br/>
        <w:t xml:space="preserve">Remdesivir is an example of the miracle drugs created by the modern biopharmaceutical sector. </w:t>
      </w:r>
      <w:r w:rsidRPr="00B20A19">
        <w:rPr>
          <w:rStyle w:val="Emphasis"/>
          <w:highlight w:val="green"/>
        </w:rPr>
        <w:t>Researchers at Gilead labored for more than a decade</w:t>
      </w:r>
      <w:r w:rsidRPr="003B4602">
        <w:rPr>
          <w:rStyle w:val="Emphasis"/>
        </w:rPr>
        <w:t xml:space="preserve"> and ultimately </w:t>
      </w:r>
      <w:r w:rsidRPr="00B20A19">
        <w:rPr>
          <w:rStyle w:val="Emphasis"/>
          <w:highlight w:val="green"/>
        </w:rPr>
        <w:t>the company will spend more than a billion</w:t>
      </w:r>
      <w:r w:rsidRPr="003B4602">
        <w:rPr>
          <w:rStyle w:val="Emphasis"/>
        </w:rPr>
        <w:t xml:space="preserve"> dollars </w:t>
      </w:r>
      <w:r w:rsidRPr="00B20A19">
        <w:rPr>
          <w:rStyle w:val="Emphasis"/>
          <w:highlight w:val="green"/>
        </w:rPr>
        <w:t>in R&amp;D</w:t>
      </w:r>
      <w:r w:rsidRPr="003B4602">
        <w:rPr>
          <w:rStyle w:val="Emphasis"/>
        </w:rPr>
        <w:t xml:space="preserve"> </w:t>
      </w:r>
      <w:r w:rsidRPr="003B4602">
        <w:rPr>
          <w:rStyle w:val="Emphasis"/>
        </w:rPr>
        <w:lastRenderedPageBreak/>
        <w:t>expenditures on the drug</w:t>
      </w:r>
      <w:r w:rsidRPr="003B4602">
        <w:rPr>
          <w:sz w:val="12"/>
        </w:rPr>
        <w:t>. This is typical of the average time and R&amp;D expenditures that lead to all life-enhancing drugs today.</w:t>
      </w:r>
      <w:r w:rsidRPr="003B4602">
        <w:rPr>
          <w:sz w:val="12"/>
        </w:rPr>
        <w:br/>
      </w:r>
      <w:r w:rsidRPr="003B4602">
        <w:rPr>
          <w:sz w:val="12"/>
        </w:rPr>
        <w:br/>
        <w:t xml:space="preserve">The federal government's total funding of remdesivir's testing, and the additional funding provided in response to the COVID-19 pandemic, ranged from $30 million to $70 million. These </w:t>
      </w:r>
      <w:r w:rsidRPr="003B4602">
        <w:rPr>
          <w:rStyle w:val="StyleUnderline"/>
        </w:rPr>
        <w:t>federal monies are a minuscule fraction — approximately 3% to 7% — of the total $1 billion plus in private investments ultimately made by Gilead</w:t>
      </w:r>
      <w:r w:rsidRPr="003B4602">
        <w:rPr>
          <w:sz w:val="12"/>
        </w:rPr>
        <w:t xml:space="preserve"> in this life-saving medicine. For this, the state AGs would have the federal government confiscate Gilead's entire patent.</w:t>
      </w:r>
      <w:r w:rsidRPr="003B4602">
        <w:rPr>
          <w:sz w:val="12"/>
        </w:rPr>
        <w:br/>
      </w:r>
      <w:r w:rsidRPr="003B4602">
        <w:rPr>
          <w:sz w:val="12"/>
        </w:rPr>
        <w:br/>
      </w:r>
      <w:r w:rsidRPr="003B4602">
        <w:rPr>
          <w:rStyle w:val="StyleUnderline"/>
        </w:rPr>
        <w:t>This is not what Bayh-Dole was intended to do</w:t>
      </w:r>
      <w:r w:rsidRPr="003B4602">
        <w:rPr>
          <w:sz w:val="12"/>
        </w:rPr>
        <w:t>, as Dole has made clear. It was not enacted to justify confiscation of the patents that this law made possible in the first place. It was especially not enacted to justify confiscation simply to lower prices given massive disparities in federal funding versus private funding of the R&amp;D in a life-saving drug.</w:t>
      </w:r>
      <w:r w:rsidRPr="003B4602">
        <w:rPr>
          <w:sz w:val="12"/>
        </w:rPr>
        <w:br/>
      </w:r>
      <w:r w:rsidRPr="003B4602">
        <w:rPr>
          <w:sz w:val="12"/>
        </w:rPr>
        <w:br/>
      </w:r>
      <w:r w:rsidRPr="003B4602">
        <w:rPr>
          <w:rStyle w:val="StyleUnderline"/>
        </w:rPr>
        <w:t>The politicians and activists lobbying since February for the government to invoke its march-in power for any COVID-19 drugs do a disservice to innovators</w:t>
      </w:r>
      <w:r w:rsidRPr="003B4602">
        <w:rPr>
          <w:sz w:val="12"/>
        </w:rPr>
        <w:t xml:space="preserve"> and to the American patients who benefit from the fruits of their inventive labors.</w:t>
      </w:r>
      <w:r w:rsidRPr="003B4602">
        <w:rPr>
          <w:sz w:val="12"/>
        </w:rPr>
        <w:br/>
      </w:r>
      <w:r w:rsidRPr="003B4602">
        <w:rPr>
          <w:sz w:val="12"/>
        </w:rPr>
        <w:br/>
        <w:t xml:space="preserve">If the government can twist the Bayh-Dole law and arbitrarily decide when to confiscate patents, </w:t>
      </w:r>
      <w:r w:rsidRPr="00B20A19">
        <w:rPr>
          <w:rStyle w:val="Emphasis"/>
          <w:highlight w:val="green"/>
        </w:rPr>
        <w:t>companies like Gilead will no longer risk billions</w:t>
      </w:r>
      <w:r w:rsidRPr="003B4602">
        <w:rPr>
          <w:rStyle w:val="Emphasis"/>
        </w:rPr>
        <w:t xml:space="preserve"> of dollars </w:t>
      </w:r>
      <w:r w:rsidRPr="00B20A19">
        <w:rPr>
          <w:rStyle w:val="Emphasis"/>
          <w:highlight w:val="green"/>
        </w:rPr>
        <w:t>and decades of research</w:t>
      </w:r>
      <w:r w:rsidRPr="003B4602">
        <w:rPr>
          <w:rStyle w:val="Emphasis"/>
        </w:rPr>
        <w:t xml:space="preserve"> in creating miracle drugs like remdesivir</w:t>
      </w:r>
      <w:r w:rsidRPr="003B4602">
        <w:rPr>
          <w:sz w:val="12"/>
        </w:rPr>
        <w:t xml:space="preserve">. </w:t>
      </w:r>
      <w:r w:rsidRPr="00B20A19">
        <w:rPr>
          <w:rStyle w:val="StyleUnderline"/>
          <w:highlight w:val="green"/>
        </w:rPr>
        <w:t>We will never see cures for diseases like Alzheimer's and</w:t>
      </w:r>
      <w:r w:rsidRPr="003B4602">
        <w:rPr>
          <w:rStyle w:val="StyleUnderline"/>
        </w:rPr>
        <w:t xml:space="preserve"> ultimately for </w:t>
      </w:r>
      <w:r w:rsidRPr="00B20A19">
        <w:rPr>
          <w:rStyle w:val="StyleUnderline"/>
          <w:highlight w:val="green"/>
        </w:rPr>
        <w:t>pandemics like COVID</w:t>
      </w:r>
      <w:r w:rsidRPr="003B4602">
        <w:rPr>
          <w:rStyle w:val="StyleUnderline"/>
        </w:rPr>
        <w:t>-19</w:t>
      </w:r>
      <w:r w:rsidRPr="003B4602">
        <w:rPr>
          <w:sz w:val="12"/>
        </w:rPr>
        <w:t>.</w:t>
      </w:r>
    </w:p>
    <w:p w14:paraId="04AF01BE" w14:textId="77777777" w:rsidR="0068299B" w:rsidRDefault="0068299B" w:rsidP="0068299B"/>
    <w:p w14:paraId="48E29410" w14:textId="77777777" w:rsidR="0068299B" w:rsidRDefault="0068299B" w:rsidP="0068299B">
      <w:pPr>
        <w:pStyle w:val="Heading4"/>
      </w:pPr>
      <w:r>
        <w:t>Remdesivir substantially reduces COVID mortality – turns case</w:t>
      </w:r>
    </w:p>
    <w:p w14:paraId="375712F0" w14:textId="77777777" w:rsidR="0068299B" w:rsidRPr="006A2177" w:rsidRDefault="0068299B" w:rsidP="0068299B">
      <w:pPr>
        <w:rPr>
          <w:rStyle w:val="Style13ptBold"/>
          <w:b w:val="0"/>
          <w:bCs/>
        </w:rPr>
      </w:pPr>
      <w:r>
        <w:rPr>
          <w:rStyle w:val="Style13ptBold"/>
        </w:rPr>
        <w:t xml:space="preserve">Antrim 7/27 </w:t>
      </w:r>
      <w:r w:rsidRPr="006A2177">
        <w:rPr>
          <w:rStyle w:val="Style13ptBold"/>
          <w:b w:val="0"/>
          <w:bCs/>
          <w:sz w:val="16"/>
          <w:szCs w:val="16"/>
        </w:rPr>
        <w:t>[(Aislinn, assistant editor at Pharmacy Times, BA in journalism from the University of North Carolina) “Remdesivir Associated With Reduction in Mortality Rate in Hospitalized Patients with COVID-19,” Pharmacy Times, 7/27/2021] JL</w:t>
      </w:r>
    </w:p>
    <w:p w14:paraId="227E54F6" w14:textId="77777777" w:rsidR="0068299B" w:rsidRPr="00C3199C" w:rsidRDefault="0068299B" w:rsidP="0068299B">
      <w:pPr>
        <w:rPr>
          <w:sz w:val="12"/>
        </w:rPr>
      </w:pPr>
      <w:r w:rsidRPr="00C3199C">
        <w:rPr>
          <w:sz w:val="12"/>
        </w:rPr>
        <w:t xml:space="preserve">Three analyses of large, retrospective, real-world data sets have found that </w:t>
      </w:r>
      <w:r w:rsidRPr="00B20A19">
        <w:rPr>
          <w:rStyle w:val="Emphasis"/>
          <w:highlight w:val="green"/>
        </w:rPr>
        <w:t>remdesivir was associated with a reduction in mortality</w:t>
      </w:r>
      <w:r w:rsidRPr="00C3199C">
        <w:rPr>
          <w:rStyle w:val="Emphasis"/>
        </w:rPr>
        <w:t xml:space="preserve"> </w:t>
      </w:r>
      <w:r w:rsidRPr="00B20A19">
        <w:rPr>
          <w:rStyle w:val="Emphasis"/>
        </w:rPr>
        <w:t xml:space="preserve">rates </w:t>
      </w:r>
      <w:r w:rsidRPr="00B20A19">
        <w:rPr>
          <w:rStyle w:val="Emphasis"/>
          <w:highlight w:val="green"/>
        </w:rPr>
        <w:t>in</w:t>
      </w:r>
      <w:r w:rsidRPr="00C3199C">
        <w:rPr>
          <w:rStyle w:val="Emphasis"/>
        </w:rPr>
        <w:t xml:space="preserve"> patients hospitalized with </w:t>
      </w:r>
      <w:r w:rsidRPr="00B20A19">
        <w:rPr>
          <w:rStyle w:val="Emphasis"/>
          <w:highlight w:val="green"/>
        </w:rPr>
        <w:t>COVID-19</w:t>
      </w:r>
      <w:r w:rsidRPr="00C3199C">
        <w:rPr>
          <w:sz w:val="12"/>
        </w:rPr>
        <w:t>, according to a Gilead press release. Remdesivir is indicated for hospitalized adults and pediatric patients 12 years of age and older and weighing at least 40 kg for the treatment of COVID-19.</w:t>
      </w:r>
    </w:p>
    <w:p w14:paraId="638E17B0" w14:textId="77777777" w:rsidR="0068299B" w:rsidRPr="00C3199C" w:rsidRDefault="0068299B" w:rsidP="0068299B">
      <w:pPr>
        <w:rPr>
          <w:sz w:val="12"/>
        </w:rPr>
      </w:pPr>
      <w:r w:rsidRPr="00C3199C">
        <w:rPr>
          <w:rStyle w:val="StyleUnderline"/>
        </w:rPr>
        <w:t>The 3 data analyses include 98,654 patients who were hospitalized with COVID-19. Two of the studies observed treatment trends and outcomes in the United States</w:t>
      </w:r>
      <w:r w:rsidRPr="00C3199C">
        <w:rPr>
          <w:sz w:val="12"/>
        </w:rPr>
        <w:t xml:space="preserve"> using the HealthVerity and Premier Healthcare databases, whereas </w:t>
      </w:r>
      <w:r w:rsidRPr="00C3199C">
        <w:rPr>
          <w:rStyle w:val="StyleUnderline"/>
        </w:rPr>
        <w:t>the third analysis compared clinical outcomes in patients receiving a 10-day treatment course of remdesivir</w:t>
      </w:r>
      <w:r w:rsidRPr="00C3199C">
        <w:rPr>
          <w:sz w:val="12"/>
        </w:rPr>
        <w:t xml:space="preserve"> in the extension phase of the SIMPLE-Severe study.</w:t>
      </w:r>
    </w:p>
    <w:p w14:paraId="5D2FAF3A" w14:textId="77777777" w:rsidR="0068299B" w:rsidRPr="00C3199C" w:rsidRDefault="0068299B" w:rsidP="0068299B">
      <w:pPr>
        <w:rPr>
          <w:sz w:val="12"/>
        </w:rPr>
      </w:pPr>
      <w:r w:rsidRPr="00C3199C">
        <w:rPr>
          <w:sz w:val="12"/>
        </w:rPr>
        <w:t>“Clinical trials help us understand the efficacy and safety profile of a treatment, but their size can limit our ability to assess all potential aspects of a treatment’s effect due to low event rates in the trials,” said Robert L. Gottlieb, MD, PhD, a cardiologist at the Baylor University Medical Center, in a press release. “</w:t>
      </w:r>
      <w:r w:rsidRPr="00C3199C">
        <w:rPr>
          <w:rStyle w:val="StyleUnderline"/>
        </w:rPr>
        <w:t>Large real-world datasets with greater sample sizes and robust methodologies can be helpful to assess treatment effects in both the overall patient population</w:t>
      </w:r>
      <w:r w:rsidRPr="00C3199C">
        <w:rPr>
          <w:sz w:val="12"/>
        </w:rPr>
        <w:t xml:space="preserve"> and in clinically relevant subsets of patients.”</w:t>
      </w:r>
    </w:p>
    <w:p w14:paraId="09621A51" w14:textId="77777777" w:rsidR="0068299B" w:rsidRPr="00C3199C" w:rsidRDefault="0068299B" w:rsidP="0068299B">
      <w:pPr>
        <w:rPr>
          <w:sz w:val="12"/>
        </w:rPr>
      </w:pPr>
      <w:r w:rsidRPr="00C3199C">
        <w:rPr>
          <w:rStyle w:val="StyleUnderline"/>
        </w:rPr>
        <w:t>This reduction in mortality was observed across a spectrum of baseline oxygen requirements, and the results were consistent at different timeframes over the course of the pandemic and across geographies</w:t>
      </w:r>
      <w:r w:rsidRPr="00C3199C">
        <w:rPr>
          <w:sz w:val="12"/>
        </w:rPr>
        <w:t xml:space="preserve">, according to the researchers. </w:t>
      </w:r>
      <w:r w:rsidRPr="00C3199C">
        <w:rPr>
          <w:rStyle w:val="StyleUnderline"/>
        </w:rPr>
        <w:t>Two of the studies also found that patients who received remdesivir had a significantly increased chance of discharge from the hospital by day 28</w:t>
      </w:r>
      <w:r w:rsidRPr="00C3199C">
        <w:rPr>
          <w:sz w:val="12"/>
        </w:rPr>
        <w:t>.</w:t>
      </w:r>
    </w:p>
    <w:p w14:paraId="13984B87" w14:textId="77777777" w:rsidR="0068299B" w:rsidRPr="00C3199C" w:rsidRDefault="0068299B" w:rsidP="0068299B">
      <w:pPr>
        <w:rPr>
          <w:sz w:val="12"/>
        </w:rPr>
      </w:pPr>
      <w:r w:rsidRPr="00C3199C">
        <w:rPr>
          <w:sz w:val="12"/>
        </w:rPr>
        <w:t xml:space="preserve">The analysis of data from HealthVerity matched 24,856 patients treated with remdesivir 1:1 with matched controls between May 1, 2020, and May 3, 2021. Researchers found that in the overall population, </w:t>
      </w:r>
      <w:r w:rsidRPr="00B20A19">
        <w:rPr>
          <w:rStyle w:val="Emphasis"/>
          <w:highlight w:val="green"/>
        </w:rPr>
        <w:t>patients receiving remdesivir had a</w:t>
      </w:r>
      <w:r w:rsidRPr="00C3199C">
        <w:rPr>
          <w:rStyle w:val="Emphasis"/>
        </w:rPr>
        <w:t xml:space="preserve"> statistically significant </w:t>
      </w:r>
      <w:r w:rsidRPr="00B20A19">
        <w:rPr>
          <w:rStyle w:val="Emphasis"/>
          <w:highlight w:val="green"/>
        </w:rPr>
        <w:t>23% lower mortality risk</w:t>
      </w:r>
      <w:r w:rsidRPr="00C3199C">
        <w:rPr>
          <w:rStyle w:val="StyleUnderline"/>
        </w:rPr>
        <w:t xml:space="preserve"> compared with patients in the control arm</w:t>
      </w:r>
      <w:r w:rsidRPr="00C3199C">
        <w:rPr>
          <w:sz w:val="12"/>
        </w:rPr>
        <w:t>, regardless of baseline oxygen requirement.</w:t>
      </w:r>
    </w:p>
    <w:p w14:paraId="54963310" w14:textId="77777777" w:rsidR="0068299B" w:rsidRPr="00C3199C" w:rsidRDefault="0068299B" w:rsidP="0068299B">
      <w:pPr>
        <w:rPr>
          <w:sz w:val="12"/>
        </w:rPr>
      </w:pPr>
      <w:r w:rsidRPr="00C3199C">
        <w:rPr>
          <w:rStyle w:val="StyleUnderline"/>
        </w:rPr>
        <w:t xml:space="preserve">Investigators also observed a significantly </w:t>
      </w:r>
      <w:r w:rsidRPr="00B20A19">
        <w:rPr>
          <w:rStyle w:val="Emphasis"/>
          <w:highlight w:val="green"/>
        </w:rPr>
        <w:t>greater likelihood of discharge by day 28</w:t>
      </w:r>
      <w:r w:rsidRPr="00C3199C">
        <w:rPr>
          <w:rStyle w:val="StyleUnderline"/>
        </w:rPr>
        <w:t xml:space="preserve"> in patients who completed a full 5-day course of remdesivir compared with patients in the control arm</w:t>
      </w:r>
      <w:r w:rsidRPr="00C3199C">
        <w:rPr>
          <w:sz w:val="12"/>
        </w:rPr>
        <w:t>. This result was most pronounced in patients with lower oxygen requirements at baseline.</w:t>
      </w:r>
    </w:p>
    <w:p w14:paraId="2131CF6C" w14:textId="77777777" w:rsidR="0068299B" w:rsidRPr="00C3199C" w:rsidRDefault="0068299B" w:rsidP="0068299B">
      <w:pPr>
        <w:rPr>
          <w:sz w:val="12"/>
        </w:rPr>
      </w:pPr>
      <w:r w:rsidRPr="00C3199C">
        <w:rPr>
          <w:sz w:val="12"/>
        </w:rPr>
        <w:lastRenderedPageBreak/>
        <w:t xml:space="preserve">Similarly, an analysis of data from the Premier Healthcare Database found that </w:t>
      </w:r>
      <w:r w:rsidRPr="00C3199C">
        <w:rPr>
          <w:rStyle w:val="StyleUnderline"/>
        </w:rPr>
        <w:t>patients treated with remdesivir had a significantly lower risk of mortality at days 14 and 28 compared with patients who did not receive remdesivir. Patients who received remdesivir</w:t>
      </w:r>
      <w:r w:rsidRPr="00C3199C">
        <w:rPr>
          <w:sz w:val="12"/>
        </w:rPr>
        <w:t xml:space="preserve"> and either no oxygen, low-flow oxygen, invasive mechanical ventilation, or extracorporeal membrane oxygenation (ECMO) at baseline </w:t>
      </w:r>
      <w:r w:rsidRPr="00C3199C">
        <w:rPr>
          <w:rStyle w:val="StyleUnderline"/>
        </w:rPr>
        <w:t>had a significantly lower risk of 14-day mortality</w:t>
      </w:r>
      <w:r w:rsidRPr="00C3199C">
        <w:rPr>
          <w:sz w:val="12"/>
        </w:rPr>
        <w:t>.</w:t>
      </w:r>
    </w:p>
    <w:p w14:paraId="0EEF1736" w14:textId="77777777" w:rsidR="0068299B" w:rsidRPr="00C3199C" w:rsidRDefault="0068299B" w:rsidP="0068299B">
      <w:pPr>
        <w:rPr>
          <w:sz w:val="12"/>
        </w:rPr>
      </w:pPr>
      <w:r w:rsidRPr="00C3199C">
        <w:rPr>
          <w:rStyle w:val="StyleUnderline"/>
        </w:rPr>
        <w:t>A significant reduction in mortality was also seen at day 28 for these same groups of patients</w:t>
      </w:r>
      <w:r w:rsidRPr="00C3199C">
        <w:rPr>
          <w:sz w:val="12"/>
        </w:rPr>
        <w:t xml:space="preserve">, and </w:t>
      </w:r>
      <w:r w:rsidRPr="00B20A19">
        <w:rPr>
          <w:rStyle w:val="StyleUnderline"/>
        </w:rPr>
        <w:t>patients</w:t>
      </w:r>
      <w:r w:rsidRPr="00C3199C">
        <w:rPr>
          <w:rStyle w:val="StyleUnderline"/>
        </w:rPr>
        <w:t xml:space="preserve"> on high-flow oxygen at baseline who received remdesivir also </w:t>
      </w:r>
      <w:r w:rsidRPr="00B20A19">
        <w:rPr>
          <w:rStyle w:val="StyleUnderline"/>
        </w:rPr>
        <w:t>had significantly lower 14-day mortality</w:t>
      </w:r>
      <w:r w:rsidRPr="00C3199C">
        <w:rPr>
          <w:sz w:val="12"/>
        </w:rPr>
        <w:t>. At 28 days, the difference in mortality in patients receiving high-flow oxygen at baseline was not statistically significant.</w:t>
      </w:r>
    </w:p>
    <w:p w14:paraId="055A3635" w14:textId="77777777" w:rsidR="0068299B" w:rsidRPr="00C3199C" w:rsidRDefault="0068299B" w:rsidP="0068299B">
      <w:pPr>
        <w:rPr>
          <w:sz w:val="12"/>
        </w:rPr>
      </w:pPr>
      <w:r w:rsidRPr="00C3199C">
        <w:rPr>
          <w:sz w:val="12"/>
        </w:rPr>
        <w:t xml:space="preserve">The SIMPLE-Severe study evaluated hospitalized adult patients with severe COVID-19. Investigators found that in the overall population, </w:t>
      </w:r>
      <w:r w:rsidRPr="00B20A19">
        <w:rPr>
          <w:rStyle w:val="Emphasis"/>
          <w:highlight w:val="green"/>
        </w:rPr>
        <w:t>treatment with remdesivir was associated with a</w:t>
      </w:r>
      <w:r w:rsidRPr="00C3199C">
        <w:rPr>
          <w:rStyle w:val="Emphasis"/>
        </w:rPr>
        <w:t xml:space="preserve"> statistically significant </w:t>
      </w:r>
      <w:r w:rsidRPr="00B20A19">
        <w:rPr>
          <w:rStyle w:val="Emphasis"/>
          <w:highlight w:val="green"/>
        </w:rPr>
        <w:t>54% lower mortality risk at 28 days</w:t>
      </w:r>
      <w:r w:rsidRPr="00C3199C">
        <w:rPr>
          <w:rStyle w:val="Emphasis"/>
        </w:rPr>
        <w:t xml:space="preserve"> compared to patients who were not treated with remdesivir</w:t>
      </w:r>
      <w:r w:rsidRPr="00C3199C">
        <w:rPr>
          <w:sz w:val="12"/>
        </w:rPr>
        <w:t>, regardless of baseline oxygen requirements.</w:t>
      </w:r>
    </w:p>
    <w:p w14:paraId="70DE3C95" w14:textId="77777777" w:rsidR="0068299B" w:rsidRPr="00C3199C" w:rsidRDefault="0068299B" w:rsidP="0068299B">
      <w:pPr>
        <w:rPr>
          <w:sz w:val="12"/>
        </w:rPr>
      </w:pPr>
      <w:r w:rsidRPr="00C3199C">
        <w:rPr>
          <w:sz w:val="12"/>
        </w:rPr>
        <w:t xml:space="preserve">Furthermore, </w:t>
      </w:r>
      <w:r w:rsidRPr="00C3199C">
        <w:rPr>
          <w:rStyle w:val="StyleUnderline"/>
        </w:rPr>
        <w:t>patients who completed a full 10-day course of treatment had a significantly shorter time to discharge within 28 days</w:t>
      </w:r>
      <w:r w:rsidRPr="00C3199C">
        <w:rPr>
          <w:sz w:val="12"/>
        </w:rPr>
        <w:t>, compared to patients who did not receive remdesivir. The result for time to discharge was not significant for patients receiving mechanical ventilation or ECMO at baseline.</w:t>
      </w:r>
    </w:p>
    <w:p w14:paraId="18C71C36" w14:textId="77777777" w:rsidR="0068299B" w:rsidRPr="00C3199C" w:rsidRDefault="0068299B" w:rsidP="0068299B">
      <w:pPr>
        <w:rPr>
          <w:sz w:val="12"/>
        </w:rPr>
      </w:pPr>
      <w:r w:rsidRPr="00C3199C">
        <w:rPr>
          <w:sz w:val="12"/>
        </w:rPr>
        <w:t xml:space="preserve">Finally, </w:t>
      </w:r>
      <w:r w:rsidRPr="00C3199C">
        <w:rPr>
          <w:rStyle w:val="StyleUnderline"/>
        </w:rPr>
        <w:t xml:space="preserve">in the double-blind, placebo-controlled ACTT-1 clinical trial, </w:t>
      </w:r>
      <w:r w:rsidRPr="00385D04">
        <w:rPr>
          <w:rStyle w:val="StyleUnderline"/>
        </w:rPr>
        <w:t>investigators noted a trend toward reduced mortality at day 29</w:t>
      </w:r>
      <w:r w:rsidRPr="00C3199C">
        <w:rPr>
          <w:rStyle w:val="StyleUnderline"/>
        </w:rPr>
        <w:t xml:space="preserve"> among patients who were treated with remdesivir compared with placebo</w:t>
      </w:r>
      <w:r w:rsidRPr="00C3199C">
        <w:rPr>
          <w:sz w:val="12"/>
        </w:rPr>
        <w:t>, although this result was not statistically significant.</w:t>
      </w:r>
    </w:p>
    <w:p w14:paraId="299215AA" w14:textId="77777777" w:rsidR="0068299B" w:rsidRPr="00C3199C" w:rsidRDefault="0068299B" w:rsidP="0068299B">
      <w:pPr>
        <w:rPr>
          <w:sz w:val="12"/>
        </w:rPr>
      </w:pPr>
      <w:r w:rsidRPr="00C3199C">
        <w:rPr>
          <w:sz w:val="12"/>
        </w:rPr>
        <w:t xml:space="preserve">Researchers also conducted a post-hoc analysis with no adjustment for multiple testing and determined that </w:t>
      </w:r>
      <w:r w:rsidRPr="00385D04">
        <w:rPr>
          <w:rStyle w:val="StyleUnderline"/>
          <w:highlight w:val="green"/>
        </w:rPr>
        <w:t>patients who</w:t>
      </w:r>
      <w:r w:rsidRPr="00C3199C">
        <w:rPr>
          <w:rStyle w:val="StyleUnderline"/>
        </w:rPr>
        <w:t xml:space="preserve"> required low-flow oxygen at baseline and who </w:t>
      </w:r>
      <w:r w:rsidRPr="00385D04">
        <w:rPr>
          <w:rStyle w:val="StyleUnderline"/>
          <w:highlight w:val="green"/>
        </w:rPr>
        <w:t>received remdesivir achieved a</w:t>
      </w:r>
      <w:r w:rsidRPr="00C3199C">
        <w:rPr>
          <w:rStyle w:val="StyleUnderline"/>
        </w:rPr>
        <w:t xml:space="preserve"> statistically </w:t>
      </w:r>
      <w:r w:rsidRPr="00385D04">
        <w:rPr>
          <w:rStyle w:val="StyleUnderline"/>
          <w:highlight w:val="green"/>
        </w:rPr>
        <w:t xml:space="preserve">significant </w:t>
      </w:r>
      <w:r w:rsidRPr="00385D04">
        <w:rPr>
          <w:rStyle w:val="Emphasis"/>
          <w:highlight w:val="green"/>
        </w:rPr>
        <w:t>70% reduction in mortality</w:t>
      </w:r>
      <w:r w:rsidRPr="00385D04">
        <w:rPr>
          <w:rStyle w:val="StyleUnderline"/>
          <w:highlight w:val="green"/>
        </w:rPr>
        <w:t xml:space="preserve"> at day 29</w:t>
      </w:r>
      <w:r w:rsidRPr="00C3199C">
        <w:rPr>
          <w:sz w:val="12"/>
        </w:rPr>
        <w:t>, although this reduction was not statistically significant in the other groups.</w:t>
      </w:r>
    </w:p>
    <w:p w14:paraId="19637F37" w14:textId="7D389052" w:rsidR="0068299B" w:rsidRDefault="0068299B" w:rsidP="00F601E6"/>
    <w:p w14:paraId="7E05A53A" w14:textId="39A0A39F" w:rsidR="000B61E3" w:rsidRDefault="000B61E3" w:rsidP="00F601E6"/>
    <w:p w14:paraId="62B1E6D9" w14:textId="0C8BC289" w:rsidR="000B61E3" w:rsidRDefault="000B61E3" w:rsidP="000B61E3">
      <w:pPr>
        <w:pStyle w:val="Heading2"/>
      </w:pPr>
      <w:r>
        <w:lastRenderedPageBreak/>
        <w:t>1NC – Case</w:t>
      </w:r>
    </w:p>
    <w:p w14:paraId="68B2CB6C" w14:textId="24439AA6" w:rsidR="001E5431" w:rsidRDefault="001E5431" w:rsidP="001E5431">
      <w:pPr>
        <w:pStyle w:val="Heading3"/>
      </w:pPr>
      <w:r>
        <w:lastRenderedPageBreak/>
        <w:t>Framing</w:t>
      </w:r>
    </w:p>
    <w:p w14:paraId="565FF92F" w14:textId="77777777" w:rsidR="002F00EF" w:rsidRPr="00A355C6" w:rsidRDefault="002F00EF" w:rsidP="002F00EF">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0909990" w14:textId="77777777" w:rsidR="002F00EF" w:rsidRPr="002F00EF" w:rsidRDefault="002F00EF" w:rsidP="002F00EF"/>
    <w:p w14:paraId="6AB35E2F" w14:textId="77777777" w:rsidR="001E5431" w:rsidRPr="002E7F13" w:rsidRDefault="001E5431" w:rsidP="001E5431">
      <w:pPr>
        <w:keepNext/>
        <w:keepLines/>
        <w:spacing w:before="40"/>
        <w:outlineLvl w:val="3"/>
        <w:rPr>
          <w:rFonts w:eastAsiaTheme="majorEastAsia"/>
          <w:b/>
          <w:bCs/>
          <w:color w:val="1E1E1E"/>
          <w:sz w:val="26"/>
          <w:szCs w:val="26"/>
        </w:rPr>
      </w:pPr>
      <w:r w:rsidRPr="002E7F13">
        <w:rPr>
          <w:rFonts w:eastAsiaTheme="majorEastAsia"/>
          <w:b/>
          <w:bCs/>
          <w:color w:val="1E1E1E"/>
          <w:sz w:val="26"/>
          <w:szCs w:val="26"/>
        </w:rPr>
        <w:t>Reducing the risk of extinction is always priority number one. </w:t>
      </w:r>
      <w:r w:rsidRPr="002E7F13">
        <w:rPr>
          <w:rFonts w:eastAsiaTheme="majorEastAsia"/>
          <w:b/>
          <w:bCs/>
          <w:color w:val="1E1E1E"/>
          <w:sz w:val="26"/>
          <w:szCs w:val="26"/>
        </w:rPr>
        <w:br/>
      </w:r>
      <w:r w:rsidRPr="002E7F1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20" w:history="1">
        <w:r w:rsidRPr="002E7F13">
          <w:t>http://www.existenti...org/concept.pdf</w:t>
        </w:r>
      </w:hyperlink>
      <w:r w:rsidRPr="002E7F1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2E7F13">
        <w:rPr>
          <w:color w:val="1E1E1E"/>
          <w:sz w:val="26"/>
          <w:szCs w:val="26"/>
        </w:rPr>
        <w:t xml:space="preserve"> </w:t>
      </w:r>
      <w:r w:rsidRPr="002E7F13">
        <w:rPr>
          <w:b/>
          <w:bCs/>
          <w:color w:val="1E1E1E"/>
          <w:sz w:val="24"/>
          <w:u w:val="single"/>
        </w:rPr>
        <w:t xml:space="preserve">we find that the expected loss of an </w:t>
      </w:r>
      <w:r w:rsidRPr="002E7F13">
        <w:rPr>
          <w:b/>
          <w:bCs/>
          <w:color w:val="1E1E1E"/>
          <w:sz w:val="24"/>
          <w:highlight w:val="green"/>
          <w:u w:val="single"/>
        </w:rPr>
        <w:t>existential   catastrophe is greater than</w:t>
      </w:r>
      <w:r w:rsidRPr="002E7F13">
        <w:rPr>
          <w:b/>
          <w:bCs/>
          <w:color w:val="1E1E1E"/>
          <w:sz w:val="24"/>
          <w:u w:val="single"/>
        </w:rPr>
        <w:t xml:space="preserve"> the value of </w:t>
      </w:r>
      <w:r w:rsidRPr="002E7F13">
        <w:rPr>
          <w:b/>
          <w:bCs/>
          <w:color w:val="1E1E1E"/>
          <w:sz w:val="24"/>
          <w:highlight w:val="green"/>
          <w:u w:val="single"/>
        </w:rPr>
        <w:t>10^16 human lives</w:t>
      </w:r>
      <w:r w:rsidRPr="002E7F13">
        <w:rPr>
          <w:color w:val="1E1E1E"/>
          <w:sz w:val="24"/>
          <w:highlight w:val="green"/>
        </w:rPr>
        <w:t>.</w:t>
      </w:r>
      <w:r w:rsidRPr="002E7F13">
        <w:rPr>
          <w:color w:val="1E1E1E"/>
          <w:sz w:val="24"/>
        </w:rPr>
        <w:t xml:space="preserve">  </w:t>
      </w:r>
      <w:r w:rsidRPr="002E7F13">
        <w:rPr>
          <w:b/>
          <w:bCs/>
          <w:color w:val="1E1E1E"/>
          <w:sz w:val="24"/>
          <w:u w:val="single"/>
        </w:rPr>
        <w:t xml:space="preserve">This implies that </w:t>
      </w:r>
      <w:r w:rsidRPr="002E7F13">
        <w:rPr>
          <w:b/>
          <w:bCs/>
          <w:color w:val="1E1E1E"/>
          <w:sz w:val="24"/>
          <w:highlight w:val="green"/>
          <w:u w:val="single"/>
        </w:rPr>
        <w:t xml:space="preserve">the </w:t>
      </w:r>
      <w:r w:rsidRPr="002E7F13">
        <w:rPr>
          <w:b/>
          <w:bCs/>
          <w:color w:val="1E1E1E"/>
          <w:sz w:val="24"/>
          <w:u w:val="single"/>
        </w:rPr>
        <w:t xml:space="preserve">expected </w:t>
      </w:r>
      <w:r w:rsidRPr="002E7F13">
        <w:rPr>
          <w:b/>
          <w:bCs/>
          <w:color w:val="1E1E1E"/>
          <w:sz w:val="24"/>
          <w:highlight w:val="green"/>
          <w:u w:val="single"/>
        </w:rPr>
        <w:t xml:space="preserve">value of   reducing existential risk by </w:t>
      </w:r>
      <w:r w:rsidRPr="002E7F13">
        <w:rPr>
          <w:b/>
          <w:bCs/>
          <w:color w:val="1E1E1E"/>
          <w:sz w:val="24"/>
          <w:u w:val="single"/>
        </w:rPr>
        <w:t xml:space="preserve">a mere </w:t>
      </w:r>
      <w:r w:rsidRPr="002E7F13">
        <w:rPr>
          <w:b/>
          <w:bCs/>
          <w:color w:val="1E1E1E"/>
          <w:sz w:val="24"/>
          <w:highlight w:val="green"/>
          <w:u w:val="single"/>
        </w:rPr>
        <w:t>one millionth of one percentage point is</w:t>
      </w:r>
      <w:r w:rsidRPr="002E7F13">
        <w:rPr>
          <w:b/>
          <w:bCs/>
          <w:color w:val="1E1E1E"/>
          <w:sz w:val="24"/>
          <w:u w:val="single"/>
        </w:rPr>
        <w:t xml:space="preserve"> at least </w:t>
      </w:r>
      <w:r w:rsidRPr="002E7F13">
        <w:rPr>
          <w:b/>
          <w:bCs/>
          <w:color w:val="1E1E1E"/>
          <w:sz w:val="24"/>
          <w:highlight w:val="green"/>
          <w:u w:val="single"/>
        </w:rPr>
        <w:t>a hundred times the   value of a million human lives</w:t>
      </w:r>
      <w:r w:rsidRPr="002E7F13">
        <w:rPr>
          <w:b/>
          <w:bCs/>
          <w:color w:val="1E1E1E"/>
          <w:sz w:val="24"/>
          <w:u w:val="single"/>
        </w:rPr>
        <w:t>.</w:t>
      </w:r>
      <w:r w:rsidRPr="002E7F13">
        <w:rPr>
          <w:color w:val="1E1E1E"/>
          <w:sz w:val="24"/>
        </w:rPr>
        <w:t> </w:t>
      </w:r>
      <w:r w:rsidRPr="002E7F13">
        <w:rPr>
          <w:color w:val="1E1E1E"/>
          <w:sz w:val="26"/>
          <w:szCs w:val="26"/>
        </w:rPr>
        <w:t xml:space="preserve"> </w:t>
      </w:r>
      <w:r w:rsidRPr="002E7F13">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2E7F13">
        <w:rPr>
          <w:b/>
          <w:bCs/>
          <w:color w:val="1E1E1E"/>
          <w:sz w:val="24"/>
          <w:u w:val="single" w:color="1E1E1E"/>
        </w:rPr>
        <w:t xml:space="preserve">One might consequently argue that </w:t>
      </w:r>
      <w:r w:rsidRPr="002E7F13">
        <w:rPr>
          <w:b/>
          <w:bCs/>
          <w:color w:val="1E1E1E"/>
          <w:sz w:val="24"/>
          <w:highlight w:val="green"/>
          <w:u w:val="single" w:color="1E1E1E"/>
        </w:rPr>
        <w:t>even the tiniest reduction of existential risk has a</w:t>
      </w:r>
      <w:r w:rsidRPr="002E7F13">
        <w:rPr>
          <w:b/>
          <w:bCs/>
          <w:color w:val="1E1E1E"/>
          <w:sz w:val="24"/>
          <w:u w:val="single" w:color="1E1E1E"/>
        </w:rPr>
        <w:t xml:space="preserve">n   expected </w:t>
      </w:r>
      <w:r w:rsidRPr="002E7F13">
        <w:rPr>
          <w:b/>
          <w:bCs/>
          <w:color w:val="1E1E1E"/>
          <w:sz w:val="24"/>
          <w:highlight w:val="green"/>
          <w:u w:val="single" w:color="1E1E1E"/>
        </w:rPr>
        <w:t>value greater than</w:t>
      </w:r>
      <w:r w:rsidRPr="002E7F13">
        <w:rPr>
          <w:b/>
          <w:bCs/>
          <w:color w:val="1E1E1E"/>
          <w:sz w:val="24"/>
          <w:u w:val="single" w:color="1E1E1E"/>
        </w:rPr>
        <w:t xml:space="preserve"> that of</w:t>
      </w:r>
      <w:r w:rsidRPr="002E7F13">
        <w:rPr>
          <w:b/>
          <w:bCs/>
          <w:color w:val="1E1E1E"/>
          <w:sz w:val="24"/>
          <w:highlight w:val="green"/>
          <w:u w:val="single" w:color="1E1E1E"/>
        </w:rPr>
        <w:t xml:space="preserve"> the definite provision of </w:t>
      </w:r>
      <w:r w:rsidRPr="002E7F13">
        <w:rPr>
          <w:b/>
          <w:bCs/>
          <w:color w:val="1E1E1E"/>
          <w:sz w:val="24"/>
          <w:u w:val="single" w:color="1E1E1E"/>
        </w:rPr>
        <w:t xml:space="preserve">any ordinary good, such as the direct   benefit of </w:t>
      </w:r>
      <w:r w:rsidRPr="002E7F13">
        <w:rPr>
          <w:b/>
          <w:bCs/>
          <w:color w:val="1E1E1E"/>
          <w:sz w:val="24"/>
          <w:highlight w:val="green"/>
          <w:u w:val="single" w:color="1E1E1E"/>
        </w:rPr>
        <w:t>saving 1 billion lives</w:t>
      </w:r>
      <w:r w:rsidRPr="002E7F13">
        <w:rPr>
          <w:b/>
          <w:bCs/>
          <w:color w:val="1E1E1E"/>
          <w:sz w:val="26"/>
          <w:szCs w:val="26"/>
          <w:highlight w:val="green"/>
          <w:u w:val="single" w:color="1E1E1E"/>
        </w:rPr>
        <w:t>.</w:t>
      </w:r>
      <w:r w:rsidRPr="002E7F13">
        <w:rPr>
          <w:color w:val="1E1E1E"/>
          <w:sz w:val="26"/>
          <w:szCs w:val="26"/>
          <w:u w:color="1E1E1E"/>
        </w:rPr>
        <w:t xml:space="preserve">  </w:t>
      </w:r>
      <w:r w:rsidRPr="002E7F13">
        <w:t>And, further, that the absolute value of the indirect effect of saving 1  billion lives on the total cumulative amount of existential riskâ€”positive or negativeâ€”is almost   certainly larger than the positive value of the direct benefit of such an action.</w:t>
      </w:r>
      <w:r w:rsidRPr="002E7F13">
        <w:rPr>
          <w:color w:val="1E1E1E"/>
          <w:sz w:val="26"/>
          <w:szCs w:val="26"/>
          <w:u w:color="1E1E1E"/>
        </w:rPr>
        <w:t xml:space="preserve">  </w:t>
      </w:r>
    </w:p>
    <w:p w14:paraId="0D5E130E" w14:textId="77662E06" w:rsidR="001E5431" w:rsidRDefault="001E5431" w:rsidP="001E5431"/>
    <w:p w14:paraId="26009AF6" w14:textId="77777777" w:rsidR="001E5431" w:rsidRPr="001E5431" w:rsidRDefault="001E5431" w:rsidP="001E5431"/>
    <w:p w14:paraId="2D8B5881" w14:textId="3540A878" w:rsidR="001E5431" w:rsidRPr="001E5431" w:rsidRDefault="001E5431" w:rsidP="001E5431">
      <w:pPr>
        <w:pStyle w:val="Heading3"/>
      </w:pPr>
      <w:r>
        <w:lastRenderedPageBreak/>
        <w:t>Advantage</w:t>
      </w:r>
    </w:p>
    <w:p w14:paraId="6FEEC8C7" w14:textId="77777777" w:rsidR="000B61E3" w:rsidRDefault="000B61E3" w:rsidP="000B61E3">
      <w:pPr>
        <w:pStyle w:val="Heading4"/>
      </w:pPr>
      <w:r>
        <w:t>COVID inevitable even with vaccines – antibodies fade and high transmissibility</w:t>
      </w:r>
    </w:p>
    <w:p w14:paraId="36995F39" w14:textId="77777777" w:rsidR="000B61E3" w:rsidRPr="004F724D" w:rsidRDefault="000B61E3" w:rsidP="000B61E3">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Atlantic, winner of a 2018 AAAS Kavli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34E6DAF6" w14:textId="77777777" w:rsidR="000B61E3" w:rsidRPr="004F724D" w:rsidRDefault="000B61E3" w:rsidP="000B61E3">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176ACD43" w14:textId="77777777" w:rsidR="000B61E3" w:rsidRPr="004F724D" w:rsidRDefault="000B61E3" w:rsidP="000B61E3">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77513829" w14:textId="77777777" w:rsidR="000B61E3" w:rsidRPr="004F724D" w:rsidRDefault="000B61E3" w:rsidP="000B61E3">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01E47F46" w14:textId="77777777" w:rsidR="000B61E3" w:rsidRPr="004F724D" w:rsidRDefault="000B61E3" w:rsidP="000B61E3">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35F35601" w14:textId="77777777" w:rsidR="000B61E3" w:rsidRPr="004F724D" w:rsidRDefault="000B61E3" w:rsidP="000B61E3">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53373955" w14:textId="77777777" w:rsidR="000B61E3" w:rsidRPr="004F724D" w:rsidRDefault="000B61E3" w:rsidP="000B61E3">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089F61FA" w14:textId="77777777" w:rsidR="000B61E3" w:rsidRPr="004F724D" w:rsidRDefault="000B61E3" w:rsidP="000B61E3">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6589BB99" w14:textId="5830B5D6" w:rsidR="000B61E3" w:rsidRDefault="000B61E3" w:rsidP="000B61E3"/>
    <w:p w14:paraId="63EAE529" w14:textId="77777777" w:rsidR="000B61E3" w:rsidRDefault="000B61E3" w:rsidP="000B61E3">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45664DB4" w14:textId="77777777" w:rsidR="000B61E3" w:rsidRPr="006D5674" w:rsidRDefault="000B61E3" w:rsidP="000B61E3">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Experts Say Patent Waivers Aren't Enough To Increase Global Vaccination,” Verywell Health, 5/25/2021] JL</w:t>
      </w:r>
    </w:p>
    <w:p w14:paraId="00BFDD3E" w14:textId="77777777" w:rsidR="000B61E3" w:rsidRPr="00CE75C7" w:rsidRDefault="000B61E3" w:rsidP="000B61E3">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William Moss, MD, executive director of the International Vaccine Access Center at the Johns Hopkins Bloomberg School of Public Health, tells Verywell.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5B9747BF" w14:textId="77777777" w:rsidR="000B61E3" w:rsidRPr="00CE75C7" w:rsidRDefault="000B61E3" w:rsidP="000B61E3">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55A85B61" w14:textId="77777777" w:rsidR="000B61E3" w:rsidRPr="00CE75C7" w:rsidRDefault="000B61E3" w:rsidP="000B61E3">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Richard Marlink, MD, director of the Rutgers Global Health Institute, tells Verywell.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36C67A3F" w14:textId="77777777" w:rsidR="000B61E3" w:rsidRPr="007D128D" w:rsidRDefault="000B61E3" w:rsidP="000B61E3">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774C8CD7" w14:textId="77777777" w:rsidR="000B61E3" w:rsidRPr="00CE75C7" w:rsidRDefault="000B61E3" w:rsidP="000B61E3">
      <w:pPr>
        <w:rPr>
          <w:sz w:val="12"/>
          <w:szCs w:val="12"/>
        </w:rPr>
      </w:pPr>
      <w:r w:rsidRPr="00CE75C7">
        <w:rPr>
          <w:sz w:val="12"/>
          <w:szCs w:val="12"/>
        </w:rPr>
        <w:t>The factory was not maintained in a clean and sanitary condition.</w:t>
      </w:r>
    </w:p>
    <w:p w14:paraId="4EC3F8A9" w14:textId="77777777" w:rsidR="000B61E3" w:rsidRPr="00CE75C7" w:rsidRDefault="000B61E3" w:rsidP="000B61E3">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4F273C3E" w14:textId="77777777" w:rsidR="000B61E3" w:rsidRPr="00CE75C7" w:rsidRDefault="000B61E3" w:rsidP="000B61E3">
      <w:pPr>
        <w:rPr>
          <w:sz w:val="12"/>
          <w:szCs w:val="12"/>
        </w:rPr>
      </w:pPr>
      <w:r w:rsidRPr="00CE75C7">
        <w:rPr>
          <w:sz w:val="12"/>
          <w:szCs w:val="12"/>
        </w:rPr>
        <w:t>Employees were seen dragging unsealed bags of medical waste from the manufacturing area across the warehouse.</w:t>
      </w:r>
    </w:p>
    <w:p w14:paraId="2F3EEFFD" w14:textId="77777777" w:rsidR="000B61E3" w:rsidRPr="00CE75C7" w:rsidRDefault="000B61E3" w:rsidP="000B61E3">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1C89921B" w14:textId="77777777" w:rsidR="000B61E3" w:rsidRPr="00CE75C7" w:rsidRDefault="000B61E3" w:rsidP="000B61E3">
      <w:pPr>
        <w:rPr>
          <w:sz w:val="12"/>
          <w:szCs w:val="12"/>
        </w:rPr>
      </w:pPr>
      <w:r w:rsidRPr="00CE75C7">
        <w:rPr>
          <w:sz w:val="12"/>
          <w:szCs w:val="12"/>
        </w:rPr>
        <w:t>Employees were seen removing their protective garments where raw materials were staged for manufacturing.</w:t>
      </w:r>
    </w:p>
    <w:p w14:paraId="64B6DD70" w14:textId="77777777" w:rsidR="000B61E3" w:rsidRPr="00CE75C7" w:rsidRDefault="000B61E3" w:rsidP="000B61E3">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565A0467" w14:textId="77777777" w:rsidR="000B61E3" w:rsidRPr="00CE75C7" w:rsidRDefault="000B61E3" w:rsidP="000B61E3">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5667C0C7" w14:textId="77777777" w:rsidR="000B61E3" w:rsidRPr="00CE75C7" w:rsidRDefault="000B61E3" w:rsidP="000B61E3">
      <w:pPr>
        <w:rPr>
          <w:sz w:val="12"/>
        </w:rPr>
      </w:pPr>
      <w:r w:rsidRPr="00CE75C7">
        <w:rPr>
          <w:sz w:val="12"/>
        </w:rPr>
        <w:t>In a statement last October, Moderna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655B7891" w14:textId="77777777" w:rsidR="000B61E3" w:rsidRPr="00CE75C7" w:rsidRDefault="000B61E3" w:rsidP="000B61E3">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012D508F" w14:textId="77777777" w:rsidR="000B61E3" w:rsidRPr="00CE75C7" w:rsidRDefault="000B61E3" w:rsidP="000B61E3">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4278376B" w14:textId="77777777" w:rsidR="000B61E3" w:rsidRPr="00CE75C7" w:rsidRDefault="000B61E3" w:rsidP="000B61E3">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18F2E9ED" w14:textId="77777777" w:rsidR="000B61E3" w:rsidRPr="00CE75C7" w:rsidRDefault="000B61E3" w:rsidP="000B61E3">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3A04F72C" w14:textId="77777777" w:rsidR="000B61E3" w:rsidRPr="00CE75C7" w:rsidRDefault="000B61E3" w:rsidP="000B61E3">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6B8B3729" w14:textId="77777777" w:rsidR="000B61E3" w:rsidRPr="00CE75C7" w:rsidRDefault="000B61E3" w:rsidP="000B61E3">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Marlink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56D01A7A" w14:textId="77777777" w:rsidR="000B61E3" w:rsidRDefault="000B61E3" w:rsidP="000B61E3"/>
    <w:p w14:paraId="08949A75" w14:textId="77777777" w:rsidR="000B61E3" w:rsidRDefault="000B61E3" w:rsidP="000B61E3">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47F62FB4" w14:textId="77777777" w:rsidR="000B61E3" w:rsidRPr="00AD2F11" w:rsidRDefault="000B61E3" w:rsidP="000B61E3">
      <w:pPr>
        <w:rPr>
          <w:rStyle w:val="Style13ptBold"/>
          <w:b w:val="0"/>
          <w:bCs/>
        </w:rPr>
      </w:pPr>
      <w:r>
        <w:rPr>
          <w:rStyle w:val="Style13ptBold"/>
        </w:rPr>
        <w:t xml:space="preserve">Ikenson 6/25 </w:t>
      </w:r>
      <w:r w:rsidRPr="00C2059F">
        <w:rPr>
          <w:rStyle w:val="Style13ptBold"/>
          <w:b w:val="0"/>
          <w:bCs/>
          <w:sz w:val="16"/>
          <w:szCs w:val="16"/>
        </w:rPr>
        <w:t xml:space="preserve">[(Dan, </w:t>
      </w:r>
      <w:r w:rsidRPr="00C2059F">
        <w:rPr>
          <w:bCs/>
          <w:szCs w:val="16"/>
        </w:rPr>
        <w:t>former director of the Cato Institute's Herbert A. Stiefel Center for Trade Policy Studies, MA in economics from George Washington University</w:t>
      </w:r>
      <w:r w:rsidRPr="00C2059F">
        <w:rPr>
          <w:rStyle w:val="Style13ptBold"/>
          <w:b w:val="0"/>
          <w:bCs/>
          <w:sz w:val="16"/>
          <w:szCs w:val="16"/>
        </w:rPr>
        <w:t>) “</w:t>
      </w:r>
      <w:r w:rsidRPr="00C2059F">
        <w:rPr>
          <w:szCs w:val="16"/>
        </w:rPr>
        <w:t>Stop Blaming Patents For The World’s Low Vaccination Rates,” Forbes, 6/25/2021] JL</w:t>
      </w:r>
    </w:p>
    <w:p w14:paraId="4A90E4E1" w14:textId="77777777" w:rsidR="000B61E3" w:rsidRPr="00AD2F11" w:rsidRDefault="000B61E3" w:rsidP="000B61E3">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33A9796F" w14:textId="77777777" w:rsidR="000B61E3" w:rsidRPr="00AD2F11" w:rsidRDefault="000B61E3" w:rsidP="000B61E3">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07A46E2B" w14:textId="77777777" w:rsidR="000B61E3" w:rsidRDefault="000B61E3" w:rsidP="000B61E3">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4A232F1A" w14:textId="77777777" w:rsidR="000B61E3" w:rsidRPr="0050407D" w:rsidRDefault="000B61E3" w:rsidP="000B61E3">
      <w:pPr>
        <w:rPr>
          <w:sz w:val="12"/>
        </w:rPr>
      </w:pPr>
    </w:p>
    <w:p w14:paraId="42D2DD39" w14:textId="77777777" w:rsidR="000B61E3" w:rsidRDefault="000B61E3" w:rsidP="000B61E3">
      <w:pPr>
        <w:pStyle w:val="Heading4"/>
      </w:pPr>
      <w:r>
        <w:t>Waivers antagonize drug-makers and manufacturers which reduces vaccine production</w:t>
      </w:r>
    </w:p>
    <w:p w14:paraId="2E7DB950" w14:textId="77777777" w:rsidR="000B61E3" w:rsidRPr="0050407D" w:rsidRDefault="000B61E3" w:rsidP="000B61E3">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283AF13B" w14:textId="77777777" w:rsidR="000B61E3" w:rsidRPr="0050407D" w:rsidRDefault="000B61E3" w:rsidP="000B61E3">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Hoen. For example, during the pandemic, both Hungary and Russia have issued compulsory licenses for remdesivir,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78451CA0" w14:textId="77777777" w:rsidR="000B61E3" w:rsidRPr="0050407D" w:rsidRDefault="000B61E3" w:rsidP="000B61E3">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So </w:t>
      </w:r>
      <w:r w:rsidRPr="0050407D">
        <w:rPr>
          <w:rStyle w:val="StyleUnderline"/>
        </w:rPr>
        <w:t>when drugmakers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0E682F2C" w14:textId="77777777" w:rsidR="000B61E3" w:rsidRPr="0050407D" w:rsidRDefault="000B61E3" w:rsidP="000B61E3">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actually </w:t>
      </w:r>
      <w:r w:rsidRPr="0050407D">
        <w:rPr>
          <w:rStyle w:val="StyleUnderline"/>
          <w:highlight w:val="green"/>
        </w:rPr>
        <w:t>be</w:t>
      </w:r>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removes trust</w:t>
      </w:r>
      <w:r w:rsidRPr="0050407D">
        <w:rPr>
          <w:rStyle w:val="StyleUnderline"/>
          <w:highlight w:val="green"/>
        </w:rPr>
        <w:t xml:space="preserve">, and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4DE66700" w14:textId="77777777" w:rsidR="000B61E3" w:rsidRPr="0050407D" w:rsidRDefault="000B61E3" w:rsidP="000B61E3"/>
    <w:p w14:paraId="1B0A57CC" w14:textId="77777777" w:rsidR="000B61E3" w:rsidRDefault="000B61E3" w:rsidP="000B61E3"/>
    <w:p w14:paraId="76D6FD0E" w14:textId="77777777" w:rsidR="000B61E3" w:rsidRPr="00E6331C" w:rsidRDefault="000B61E3" w:rsidP="000B61E3">
      <w:pPr>
        <w:pStyle w:val="Heading4"/>
        <w:rPr>
          <w:u w:val="single"/>
        </w:rPr>
      </w:pPr>
      <w:r>
        <w:t xml:space="preserve">The plan alienates pharma companies and doesn’t solve </w:t>
      </w:r>
      <w:r w:rsidRPr="00E6331C">
        <w:rPr>
          <w:u w:val="single"/>
        </w:rPr>
        <w:t xml:space="preserve">lack of vaccine purchasing </w:t>
      </w:r>
    </w:p>
    <w:p w14:paraId="30B6FB05" w14:textId="77777777" w:rsidR="000B61E3" w:rsidRPr="00E6331C" w:rsidRDefault="000B61E3" w:rsidP="000B61E3">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Big Pharma Is Not the Tobacco Industry,” Barrons, 5/6/2021] JL</w:t>
      </w:r>
    </w:p>
    <w:p w14:paraId="76C8CF3F" w14:textId="77777777" w:rsidR="000B61E3" w:rsidRPr="00E6331C" w:rsidRDefault="000B61E3" w:rsidP="000B61E3">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10C39B53" w14:textId="77777777" w:rsidR="000B61E3" w:rsidRPr="00E6331C" w:rsidRDefault="000B61E3" w:rsidP="000B61E3">
      <w:pPr>
        <w:rPr>
          <w:sz w:val="12"/>
        </w:rPr>
      </w:pPr>
      <w:r w:rsidRPr="00E6331C">
        <w:rPr>
          <w:sz w:val="12"/>
        </w:rPr>
        <w:lastRenderedPageBreak/>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3B2A874F" w14:textId="77777777" w:rsidR="000B61E3" w:rsidRPr="00E6331C" w:rsidRDefault="000B61E3" w:rsidP="000B61E3">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6995B877" w14:textId="77777777" w:rsidR="000B61E3" w:rsidRPr="00E6331C" w:rsidRDefault="000B61E3" w:rsidP="000B61E3">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2FD2941C" w14:textId="77777777" w:rsidR="000B61E3" w:rsidRPr="00E6331C" w:rsidRDefault="000B61E3" w:rsidP="000B61E3">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3C88B8B5" w14:textId="77777777" w:rsidR="000B61E3" w:rsidRPr="00E6331C" w:rsidRDefault="000B61E3" w:rsidP="000B61E3">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r w:rsidRPr="00E6331C">
        <w:rPr>
          <w:rStyle w:val="StyleUnderline"/>
          <w:highlight w:val="green"/>
        </w:rPr>
        <w:t>Covax</w:t>
      </w:r>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r w:rsidRPr="00E6331C">
        <w:rPr>
          <w:rStyle w:val="StyleUnderline"/>
          <w:highlight w:val="green"/>
        </w:rPr>
        <w:t>Africa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r w:rsidRPr="00E6331C">
        <w:rPr>
          <w:rStyle w:val="StyleUnderline"/>
          <w:highlight w:val="green"/>
        </w:rPr>
        <w:t>prepurchasing</w:t>
      </w:r>
      <w:r w:rsidRPr="00E6331C">
        <w:rPr>
          <w:sz w:val="12"/>
        </w:rPr>
        <w:t>.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Covax, and the multilateral development banks.</w:t>
      </w:r>
    </w:p>
    <w:p w14:paraId="5FBCAAA2" w14:textId="77777777" w:rsidR="000B61E3" w:rsidRPr="000B61E3" w:rsidRDefault="000B61E3" w:rsidP="000B61E3"/>
    <w:sectPr w:rsidR="000B61E3" w:rsidRPr="000B61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3E7A34"/>
    <w:multiLevelType w:val="hybridMultilevel"/>
    <w:tmpl w:val="0696F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5BD9"/>
    <w:rsid w:val="000029E3"/>
    <w:rsid w:val="000029E8"/>
    <w:rsid w:val="00004225"/>
    <w:rsid w:val="000066CA"/>
    <w:rsid w:val="00007264"/>
    <w:rsid w:val="000076A9"/>
    <w:rsid w:val="00014FAD"/>
    <w:rsid w:val="00015D2A"/>
    <w:rsid w:val="0002490B"/>
    <w:rsid w:val="00026465"/>
    <w:rsid w:val="000274CA"/>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BD9"/>
    <w:rsid w:val="000A2D8A"/>
    <w:rsid w:val="000B61E3"/>
    <w:rsid w:val="000D26A6"/>
    <w:rsid w:val="000D2B90"/>
    <w:rsid w:val="000D6ED8"/>
    <w:rsid w:val="000D717B"/>
    <w:rsid w:val="000E4DF0"/>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431"/>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0EF"/>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E43"/>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99B"/>
    <w:rsid w:val="00696A16"/>
    <w:rsid w:val="006A4840"/>
    <w:rsid w:val="006A52A0"/>
    <w:rsid w:val="006A7E1D"/>
    <w:rsid w:val="006C3A56"/>
    <w:rsid w:val="006D13F4"/>
    <w:rsid w:val="006D6AED"/>
    <w:rsid w:val="006E6D0B"/>
    <w:rsid w:val="006F126E"/>
    <w:rsid w:val="006F32C9"/>
    <w:rsid w:val="006F3834"/>
    <w:rsid w:val="006F5693"/>
    <w:rsid w:val="006F5D4C"/>
    <w:rsid w:val="007127BF"/>
    <w:rsid w:val="00717B01"/>
    <w:rsid w:val="007227D9"/>
    <w:rsid w:val="0072491F"/>
    <w:rsid w:val="00725598"/>
    <w:rsid w:val="007374A1"/>
    <w:rsid w:val="00752712"/>
    <w:rsid w:val="00753A84"/>
    <w:rsid w:val="007611F5"/>
    <w:rsid w:val="007619E4"/>
    <w:rsid w:val="00761E75"/>
    <w:rsid w:val="0076495E"/>
    <w:rsid w:val="00765FC8"/>
    <w:rsid w:val="00775694"/>
    <w:rsid w:val="00790A40"/>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556"/>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1DC7D6"/>
  <w14:defaultImageDpi w14:val="300"/>
  <w15:docId w15:val="{F3EA0164-42CB-7342-A2E6-37DA68FB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055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95B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5B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5B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095B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5B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BD9"/>
  </w:style>
  <w:style w:type="character" w:customStyle="1" w:styleId="Heading1Char">
    <w:name w:val="Heading 1 Char"/>
    <w:aliases w:val="Pocket Char"/>
    <w:basedOn w:val="DefaultParagraphFont"/>
    <w:link w:val="Heading1"/>
    <w:uiPriority w:val="9"/>
    <w:rsid w:val="00095B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5B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5BD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95B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95BD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95BD9"/>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095BD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95BD9"/>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095BD9"/>
    <w:rPr>
      <w:color w:val="auto"/>
      <w:u w:val="none"/>
    </w:rPr>
  </w:style>
  <w:style w:type="paragraph" w:styleId="DocumentMap">
    <w:name w:val="Document Map"/>
    <w:basedOn w:val="Normal"/>
    <w:link w:val="DocumentMapChar"/>
    <w:uiPriority w:val="99"/>
    <w:semiHidden/>
    <w:unhideWhenUsed/>
    <w:rsid w:val="00095B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5BD9"/>
    <w:rPr>
      <w:rFonts w:ascii="Lucida Grande" w:hAnsi="Lucida Grande" w:cs="Lucida Grande"/>
    </w:rPr>
  </w:style>
  <w:style w:type="paragraph" w:customStyle="1" w:styleId="Emphasis1">
    <w:name w:val="Emphasis1"/>
    <w:basedOn w:val="Normal"/>
    <w:link w:val="Emphasis"/>
    <w:autoRedefine/>
    <w:uiPriority w:val="20"/>
    <w:qFormat/>
    <w:rsid w:val="00C8055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autoRedefine/>
    <w:uiPriority w:val="20"/>
    <w:qFormat/>
    <w:rsid w:val="007127BF"/>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box1=106&amp;box2=U.S.&amp;box3=36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CiteID=20287"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802&amp;box2=P.2D&amp;box3=813" TargetMode="External"/><Relationship Id="rId20" Type="http://schemas.openxmlformats.org/officeDocument/2006/relationships/hyperlink" Target="http://www.existential-risk.org/concep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learnersdictionary.com/definition/ought" TargetMode="External"/><Relationship Id="rId19" Type="http://schemas.openxmlformats.org/officeDocument/2006/relationships/hyperlink" Target="https://www.ilga.gov/senate/journals/97/2012/SJ097092R.pdf"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22</Pages>
  <Words>12123</Words>
  <Characters>66800</Characters>
  <Application>Microsoft Office Word</Application>
  <DocSecurity>0</DocSecurity>
  <Lines>856</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11</cp:revision>
  <dcterms:created xsi:type="dcterms:W3CDTF">2021-10-11T17:02:00Z</dcterms:created>
  <dcterms:modified xsi:type="dcterms:W3CDTF">2021-10-11T17:51:00Z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