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6C91D" w14:textId="77777777" w:rsidR="002455C4" w:rsidRDefault="002455C4" w:rsidP="002455C4">
      <w:pPr>
        <w:pStyle w:val="Heading2"/>
      </w:pPr>
      <w:r>
        <w:t>NC – T</w:t>
      </w:r>
    </w:p>
    <w:p w14:paraId="715E4CE0" w14:textId="77777777" w:rsidR="002455C4" w:rsidRPr="009811A7" w:rsidRDefault="002455C4" w:rsidP="002455C4">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aff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49B82A94" w14:textId="77777777" w:rsidR="002455C4" w:rsidRPr="009811A7" w:rsidRDefault="002455C4" w:rsidP="002455C4">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39465DB0" w14:textId="77777777" w:rsidR="002455C4" w:rsidRPr="009811A7" w:rsidRDefault="002455C4" w:rsidP="002455C4">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w:t>
      </w:r>
      <w:r w:rsidRPr="009811A7">
        <w:rPr>
          <w:sz w:val="12"/>
        </w:rPr>
        <w:lastRenderedPageBreak/>
        <w:t xml:space="preserve">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5B84EE52" w14:textId="77777777" w:rsidR="002455C4" w:rsidRPr="009811A7" w:rsidRDefault="002455C4" w:rsidP="002455C4">
      <w:pPr>
        <w:rPr>
          <w:sz w:val="12"/>
        </w:rPr>
      </w:pPr>
    </w:p>
    <w:p w14:paraId="15B7A146" w14:textId="77777777" w:rsidR="002455C4" w:rsidRPr="009811A7" w:rsidRDefault="002455C4" w:rsidP="002455C4">
      <w:pPr>
        <w:pStyle w:val="Heading4"/>
        <w:rPr>
          <w:rFonts w:cs="Calibri"/>
        </w:rPr>
      </w:pPr>
      <w:r w:rsidRPr="009811A7">
        <w:rPr>
          <w:rFonts w:cs="Calibri"/>
        </w:rPr>
        <w:t xml:space="preserve">It applies to </w:t>
      </w:r>
      <w:r>
        <w:rPr>
          <w:rFonts w:cs="Calibri"/>
        </w:rPr>
        <w:t>IP protections</w:t>
      </w:r>
      <w:r w:rsidRPr="009811A7">
        <w:rPr>
          <w:rFonts w:cs="Calibri"/>
        </w:rPr>
        <w:t>:</w:t>
      </w:r>
    </w:p>
    <w:p w14:paraId="40B2B9F8" w14:textId="77777777" w:rsidR="002455C4" w:rsidRPr="009811A7" w:rsidRDefault="002455C4" w:rsidP="002455C4">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23953A22" w14:textId="77777777" w:rsidR="002455C4" w:rsidRDefault="002455C4" w:rsidP="002455C4">
      <w:pPr>
        <w:pStyle w:val="Heading4"/>
        <w:numPr>
          <w:ilvl w:val="0"/>
          <w:numId w:val="12"/>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2EE3F86E" w14:textId="77777777" w:rsidR="002455C4" w:rsidRPr="009811A7" w:rsidRDefault="002455C4" w:rsidP="002455C4"/>
    <w:p w14:paraId="7ABE51C6" w14:textId="77777777" w:rsidR="002455C4" w:rsidRPr="009811A7" w:rsidRDefault="002455C4" w:rsidP="002455C4">
      <w:pPr>
        <w:pStyle w:val="Heading4"/>
        <w:rPr>
          <w:rFonts w:cs="Calibri"/>
        </w:rPr>
      </w:pPr>
      <w:r w:rsidRPr="009811A7">
        <w:rPr>
          <w:rFonts w:cs="Calibri"/>
        </w:rPr>
        <w:t>Vote neg:</w:t>
      </w:r>
    </w:p>
    <w:p w14:paraId="72541382" w14:textId="77777777" w:rsidR="002455C4" w:rsidRPr="009811A7" w:rsidRDefault="002455C4" w:rsidP="002455C4">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p>
    <w:p w14:paraId="1E7D68BA" w14:textId="77777777" w:rsidR="002455C4" w:rsidRPr="009811A7" w:rsidRDefault="002455C4" w:rsidP="002455C4">
      <w:pPr>
        <w:pStyle w:val="Heading4"/>
        <w:numPr>
          <w:ilvl w:val="1"/>
          <w:numId w:val="13"/>
        </w:numPr>
        <w:tabs>
          <w:tab w:val="num" w:pos="720"/>
        </w:tabs>
        <w:ind w:left="720"/>
        <w:rPr>
          <w:rFonts w:cs="Calibri"/>
        </w:rPr>
      </w:pPr>
      <w:r w:rsidRPr="009811A7">
        <w:rPr>
          <w:rFonts w:cs="Calibri"/>
        </w:rPr>
        <w:t>T is a constitutive rule of the activity and a basic aff burden – they agreed to debate the topic when they came here</w:t>
      </w:r>
    </w:p>
    <w:p w14:paraId="4C275CD8" w14:textId="77777777" w:rsidR="002455C4" w:rsidRPr="009811A7" w:rsidRDefault="002455C4" w:rsidP="002455C4">
      <w:pPr>
        <w:pStyle w:val="Heading4"/>
        <w:numPr>
          <w:ilvl w:val="1"/>
          <w:numId w:val="13"/>
        </w:numPr>
        <w:tabs>
          <w:tab w:val="num" w:pos="720"/>
        </w:tabs>
        <w:ind w:left="720"/>
        <w:rPr>
          <w:rFonts w:cs="Calibri"/>
        </w:rPr>
      </w:pPr>
      <w:r w:rsidRPr="009811A7">
        <w:rPr>
          <w:rFonts w:cs="Calibri"/>
        </w:rPr>
        <w:t>Jurisdiction – you can’t vote aff if they haven’t affirmed the resolution</w:t>
      </w:r>
    </w:p>
    <w:p w14:paraId="1D21A9EE" w14:textId="77777777" w:rsidR="002455C4" w:rsidRDefault="002455C4" w:rsidP="002455C4">
      <w:pPr>
        <w:pStyle w:val="Heading4"/>
        <w:numPr>
          <w:ilvl w:val="1"/>
          <w:numId w:val="13"/>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2F80D2AC" w14:textId="77777777" w:rsidR="002455C4" w:rsidRPr="009811A7" w:rsidRDefault="002455C4" w:rsidP="002455C4"/>
    <w:p w14:paraId="7C1EE7B3" w14:textId="77777777" w:rsidR="002455C4" w:rsidRPr="00122B32" w:rsidRDefault="002455C4" w:rsidP="002455C4">
      <w:pPr>
        <w:pStyle w:val="Heading4"/>
        <w:numPr>
          <w:ilvl w:val="0"/>
          <w:numId w:val="13"/>
        </w:numPr>
        <w:tabs>
          <w:tab w:val="num" w:pos="720"/>
        </w:tabs>
        <w:rPr>
          <w:rFonts w:cs="Calibri"/>
        </w:rPr>
      </w:pPr>
      <w:r w:rsidRPr="009811A7">
        <w:rPr>
          <w:rFonts w:cs="Calibri"/>
        </w:rPr>
        <w:t xml:space="preserve">Limits – there are countless affs accounting for </w:t>
      </w:r>
      <w:r>
        <w:rPr>
          <w:rFonts w:cs="Calibri"/>
        </w:rPr>
        <w:t xml:space="preserve">every kind of intellectual property protections, like tertiary patents, provisional patents, and design patents </w:t>
      </w:r>
      <w:r w:rsidRPr="009811A7">
        <w:rPr>
          <w:rFonts w:cs="Calibri"/>
        </w:rPr>
        <w:t>– unlimited topics incentivize obscure affs that negs won’t have prep on – limits are key to reciprocal prep burden – potential abuse doesn’t justify foregoing the topic and 1AR theory checks PICs</w:t>
      </w:r>
    </w:p>
    <w:p w14:paraId="48ABA85A" w14:textId="77777777" w:rsidR="002455C4" w:rsidRPr="009811A7" w:rsidRDefault="002455C4" w:rsidP="002455C4"/>
    <w:p w14:paraId="7C6654F1" w14:textId="77777777" w:rsidR="002455C4" w:rsidRPr="005060BA" w:rsidRDefault="002455C4" w:rsidP="002455C4">
      <w:pPr>
        <w:pStyle w:val="Heading4"/>
        <w:numPr>
          <w:ilvl w:val="0"/>
          <w:numId w:val="13"/>
        </w:numPr>
        <w:tabs>
          <w:tab w:val="num" w:pos="720"/>
        </w:tabs>
        <w:rPr>
          <w:rFonts w:cs="Calibri"/>
        </w:rPr>
      </w:pPr>
      <w:r w:rsidRPr="009811A7">
        <w:rPr>
          <w:rFonts w:cs="Calibri"/>
        </w:rPr>
        <w:lastRenderedPageBreak/>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also means there is no universal DA to spec affs</w:t>
      </w:r>
    </w:p>
    <w:p w14:paraId="7CD58FFE" w14:textId="77777777" w:rsidR="002455C4" w:rsidRPr="009811A7" w:rsidRDefault="002455C4" w:rsidP="002455C4">
      <w:pPr>
        <w:pStyle w:val="Heading4"/>
        <w:numPr>
          <w:ilvl w:val="0"/>
          <w:numId w:val="13"/>
        </w:numPr>
        <w:tabs>
          <w:tab w:val="num" w:pos="720"/>
        </w:tabs>
        <w:rPr>
          <w:rFonts w:cs="Calibri"/>
        </w:rPr>
      </w:pPr>
      <w:r w:rsidRPr="009811A7">
        <w:rPr>
          <w:rFonts w:cs="Calibri"/>
        </w:rPr>
        <w:t>TVA solves – read as an advantage to whole rez</w:t>
      </w:r>
    </w:p>
    <w:p w14:paraId="2801F996" w14:textId="77777777" w:rsidR="002455C4" w:rsidRPr="009811A7" w:rsidRDefault="002455C4" w:rsidP="002455C4"/>
    <w:p w14:paraId="6ED0C223" w14:textId="77777777" w:rsidR="002455C4" w:rsidRPr="009811A7" w:rsidRDefault="002455C4" w:rsidP="002455C4">
      <w:pPr>
        <w:pStyle w:val="Heading4"/>
        <w:rPr>
          <w:rFonts w:cs="Calibri"/>
        </w:rPr>
      </w:pPr>
      <w:r w:rsidRPr="009811A7">
        <w:rPr>
          <w:rFonts w:cs="Calibri"/>
        </w:rPr>
        <w:t>Paradigm issues:</w:t>
      </w:r>
    </w:p>
    <w:p w14:paraId="59B49FF7" w14:textId="77777777" w:rsidR="002455C4" w:rsidRPr="009811A7" w:rsidRDefault="002455C4" w:rsidP="002455C4">
      <w:pPr>
        <w:pStyle w:val="Heading4"/>
        <w:numPr>
          <w:ilvl w:val="0"/>
          <w:numId w:val="14"/>
        </w:numPr>
        <w:tabs>
          <w:tab w:val="num" w:pos="1080"/>
        </w:tabs>
        <w:ind w:left="1080"/>
        <w:rPr>
          <w:rFonts w:cs="Calibri"/>
        </w:rPr>
      </w:pPr>
      <w:r w:rsidRPr="009811A7">
        <w:rPr>
          <w:rFonts w:cs="Calibri"/>
        </w:rPr>
        <w:t xml:space="preserve">Drop the debater – their abusive advocacy skewed the debate from the start </w:t>
      </w:r>
    </w:p>
    <w:p w14:paraId="0169AC43" w14:textId="77777777" w:rsidR="002455C4" w:rsidRPr="009811A7" w:rsidRDefault="002455C4" w:rsidP="002455C4">
      <w:pPr>
        <w:pStyle w:val="Heading4"/>
        <w:numPr>
          <w:ilvl w:val="0"/>
          <w:numId w:val="14"/>
        </w:numPr>
        <w:tabs>
          <w:tab w:val="num" w:pos="1080"/>
        </w:tabs>
        <w:ind w:left="1080"/>
        <w:rPr>
          <w:rFonts w:cs="Calibri"/>
        </w:rPr>
      </w:pPr>
      <w:r w:rsidRPr="009811A7">
        <w:rPr>
          <w:rFonts w:cs="Calibri"/>
        </w:rPr>
        <w:t>Comes before 1AR theory – NC abuse is responsive to them not being topical</w:t>
      </w:r>
    </w:p>
    <w:p w14:paraId="4E023E89" w14:textId="77777777" w:rsidR="002455C4" w:rsidRPr="009811A7" w:rsidRDefault="002455C4" w:rsidP="002455C4">
      <w:pPr>
        <w:pStyle w:val="Heading4"/>
        <w:numPr>
          <w:ilvl w:val="0"/>
          <w:numId w:val="14"/>
        </w:numPr>
        <w:tabs>
          <w:tab w:val="num" w:pos="1080"/>
        </w:tabs>
        <w:ind w:left="1080"/>
        <w:rPr>
          <w:rFonts w:cs="Calibri"/>
        </w:rPr>
      </w:pPr>
      <w:r w:rsidRPr="009811A7">
        <w:rPr>
          <w:rFonts w:cs="Calibri"/>
        </w:rPr>
        <w:t xml:space="preserve">No RVIs – fairness and education are a priori burdens – and encourages baiting – outweighs because if T is frivolous, they can beat it quickly </w:t>
      </w:r>
    </w:p>
    <w:p w14:paraId="4725F073" w14:textId="77777777" w:rsidR="002455C4" w:rsidRPr="009811A7" w:rsidRDefault="002455C4" w:rsidP="002455C4">
      <w:pPr>
        <w:pStyle w:val="Heading4"/>
        <w:numPr>
          <w:ilvl w:val="0"/>
          <w:numId w:val="14"/>
        </w:numPr>
        <w:tabs>
          <w:tab w:val="num" w:pos="1080"/>
        </w:tabs>
        <w:ind w:left="1080"/>
        <w:rPr>
          <w:rFonts w:cs="Calibri"/>
        </w:rPr>
      </w:pPr>
      <w:r w:rsidRPr="009811A7">
        <w:rPr>
          <w:rFonts w:cs="Calibri"/>
        </w:rPr>
        <w:t xml:space="preserve">Fairness is a voter </w:t>
      </w:r>
      <w:r w:rsidRPr="009811A7">
        <w:rPr>
          <w:rFonts w:cs="Calibri"/>
        </w:rPr>
        <w:softHyphen/>
        <w:t>– necessary to determine the better debater</w:t>
      </w:r>
    </w:p>
    <w:p w14:paraId="1586598D" w14:textId="77777777" w:rsidR="002455C4" w:rsidRDefault="002455C4" w:rsidP="002455C4">
      <w:pPr>
        <w:pStyle w:val="Heading4"/>
        <w:numPr>
          <w:ilvl w:val="0"/>
          <w:numId w:val="14"/>
        </w:numPr>
        <w:tabs>
          <w:tab w:val="num" w:pos="1080"/>
        </w:tabs>
        <w:ind w:left="1080"/>
        <w:rPr>
          <w:rFonts w:cs="Calibri"/>
        </w:rPr>
      </w:pPr>
      <w:r w:rsidRPr="009811A7">
        <w:rPr>
          <w:rFonts w:cs="Calibri"/>
        </w:rPr>
        <w:t>Education is a voter – why schools fund debate</w:t>
      </w:r>
    </w:p>
    <w:p w14:paraId="5E262DAB" w14:textId="77777777" w:rsidR="002455C4" w:rsidRDefault="002455C4" w:rsidP="002455C4"/>
    <w:p w14:paraId="79B2E2D7" w14:textId="77777777" w:rsidR="002455C4" w:rsidRDefault="002455C4" w:rsidP="002455C4">
      <w:pPr>
        <w:pStyle w:val="Heading2"/>
      </w:pPr>
      <w:r>
        <w:lastRenderedPageBreak/>
        <w:t>1NC – CP</w:t>
      </w:r>
    </w:p>
    <w:p w14:paraId="5EB55D9F" w14:textId="77777777" w:rsidR="002455C4" w:rsidRDefault="002455C4" w:rsidP="002455C4">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Member nations will support the proposal and adopt the results of consultation. </w:t>
      </w:r>
    </w:p>
    <w:p w14:paraId="6ED57EFD" w14:textId="77777777" w:rsidR="002455C4" w:rsidRPr="00AE32FC" w:rsidRDefault="002455C4" w:rsidP="002455C4"/>
    <w:p w14:paraId="0F75B523" w14:textId="77777777" w:rsidR="002455C4" w:rsidRDefault="002455C4" w:rsidP="002455C4">
      <w:pPr>
        <w:pStyle w:val="Heading4"/>
      </w:pPr>
      <w:r>
        <w:t>WHO says yes – it supports increasing the availability of generics and limiting TRIPS</w:t>
      </w:r>
    </w:p>
    <w:p w14:paraId="31B2B1B1" w14:textId="77777777" w:rsidR="002455C4" w:rsidRPr="007F404A" w:rsidRDefault="002455C4" w:rsidP="002455C4">
      <w:pPr>
        <w:rPr>
          <w:rStyle w:val="Style13ptBold"/>
          <w:b w:val="0"/>
          <w:bCs/>
        </w:rPr>
      </w:pPr>
      <w:r>
        <w:rPr>
          <w:rStyle w:val="Style13ptBold"/>
        </w:rPr>
        <w:t xml:space="preserve">Hoen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2F57B30F" w14:textId="77777777" w:rsidR="002455C4" w:rsidRPr="007F404A" w:rsidRDefault="002455C4" w:rsidP="002455C4">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527D2588" w14:textId="77777777" w:rsidR="002455C4" w:rsidRPr="007F404A" w:rsidRDefault="002455C4" w:rsidP="002455C4">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2615BF81" w14:textId="77777777" w:rsidR="002455C4" w:rsidRDefault="002455C4" w:rsidP="002455C4">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2B607D53" w14:textId="77777777" w:rsidR="002455C4" w:rsidRDefault="002455C4" w:rsidP="002455C4">
      <w:pPr>
        <w:rPr>
          <w:rStyle w:val="Emphasis"/>
        </w:rPr>
      </w:pPr>
    </w:p>
    <w:p w14:paraId="2FB49B3E" w14:textId="77777777" w:rsidR="002455C4" w:rsidRDefault="002455C4" w:rsidP="002455C4">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3EB454F1" w14:textId="77777777" w:rsidR="002455C4" w:rsidRPr="009F03D9" w:rsidRDefault="002455C4" w:rsidP="002455C4">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272B7CF7" w14:textId="77777777" w:rsidR="002455C4" w:rsidRPr="009F03D9" w:rsidRDefault="002455C4" w:rsidP="002455C4">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4A65DA49" w14:textId="77777777" w:rsidR="002455C4" w:rsidRPr="009F03D9" w:rsidRDefault="002455C4" w:rsidP="002455C4">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4073F218" w14:textId="77777777" w:rsidR="002455C4" w:rsidRPr="009F03D9" w:rsidRDefault="002455C4" w:rsidP="002455C4">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3B1B58D0" w14:textId="77777777" w:rsidR="002455C4" w:rsidRDefault="002455C4" w:rsidP="002455C4"/>
    <w:p w14:paraId="232AF217" w14:textId="77777777" w:rsidR="002455C4" w:rsidRDefault="002455C4" w:rsidP="002455C4">
      <w:pPr>
        <w:pStyle w:val="Heading4"/>
      </w:pPr>
      <w:r>
        <w:t>WHO is critical to disease prevention – it is the only international institution that can disperse information, standardize global public health, and facilitate public-private cooperation</w:t>
      </w:r>
    </w:p>
    <w:p w14:paraId="41961D9E" w14:textId="77777777" w:rsidR="002455C4" w:rsidRPr="005472CA" w:rsidRDefault="002455C4" w:rsidP="002455C4">
      <w:pPr>
        <w:rPr>
          <w:rStyle w:val="Style13ptBold"/>
          <w:bCs/>
        </w:rPr>
      </w:pPr>
      <w:r>
        <w:rPr>
          <w:rStyle w:val="Style13ptBold"/>
        </w:rPr>
        <w:t xml:space="preserve">Murtugudde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36FB1841" w14:textId="77777777" w:rsidR="002455C4" w:rsidRPr="005472CA" w:rsidRDefault="002455C4" w:rsidP="002455C4">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59DE57FE" w14:textId="77777777" w:rsidR="002455C4" w:rsidRPr="005472CA" w:rsidRDefault="002455C4" w:rsidP="002455C4">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41E29812" w14:textId="77777777" w:rsidR="002455C4" w:rsidRPr="005472CA" w:rsidRDefault="002455C4" w:rsidP="002455C4">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2CF0BA7D" w14:textId="77777777" w:rsidR="002455C4" w:rsidRPr="005472CA" w:rsidRDefault="002455C4" w:rsidP="002455C4">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2A2F1FFC" w14:textId="77777777" w:rsidR="002455C4" w:rsidRPr="005472CA" w:rsidRDefault="002455C4" w:rsidP="002455C4">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6CEAC077" w14:textId="77777777" w:rsidR="002455C4" w:rsidRDefault="002455C4" w:rsidP="002455C4"/>
    <w:p w14:paraId="04E67EBC" w14:textId="77777777" w:rsidR="002455C4" w:rsidRDefault="002455C4" w:rsidP="002455C4">
      <w:pPr>
        <w:pStyle w:val="Heading4"/>
      </w:pPr>
      <w:r>
        <w:t>WHO diplomacy solves great power conflict</w:t>
      </w:r>
    </w:p>
    <w:p w14:paraId="19989C2F" w14:textId="77777777" w:rsidR="002455C4" w:rsidRPr="00487F05" w:rsidRDefault="002455C4" w:rsidP="002455C4">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0EAC7F29" w14:textId="77777777" w:rsidR="002455C4" w:rsidRPr="00054633" w:rsidRDefault="002455C4" w:rsidP="002455C4">
      <w:pPr>
        <w:rPr>
          <w:sz w:val="12"/>
        </w:rPr>
      </w:pPr>
      <w:r w:rsidRPr="00A823C9">
        <w:rPr>
          <w:rStyle w:val="StyleUnderline"/>
          <w:highlight w:val="green"/>
        </w:rPr>
        <w:lastRenderedPageBreak/>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0A96F155" w14:textId="77777777" w:rsidR="002455C4" w:rsidRPr="00054633" w:rsidRDefault="002455C4" w:rsidP="002455C4">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5BB50E83" w14:textId="77777777" w:rsidR="002455C4" w:rsidRPr="00054633" w:rsidRDefault="002455C4" w:rsidP="002455C4">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4BFAA01D" w14:textId="658AD1D0" w:rsidR="002455C4" w:rsidRDefault="002455C4" w:rsidP="002455C4">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199FFAA5" w14:textId="295F5CDE" w:rsidR="00F80A51" w:rsidRDefault="00F80A51" w:rsidP="002455C4">
      <w:pPr>
        <w:rPr>
          <w:sz w:val="12"/>
        </w:rPr>
      </w:pPr>
    </w:p>
    <w:p w14:paraId="555CE5EA" w14:textId="188DBAC3" w:rsidR="00F80A51" w:rsidRPr="00221625" w:rsidRDefault="00F80A51" w:rsidP="00F80A51">
      <w:pPr>
        <w:pStyle w:val="Heading4"/>
        <w:rPr>
          <w:rFonts w:asciiTheme="majorHAnsi" w:hAnsiTheme="majorHAnsi" w:cstheme="majorHAnsi"/>
        </w:rPr>
      </w:pPr>
      <w:r>
        <w:rPr>
          <w:rFonts w:asciiTheme="majorHAnsi" w:hAnsiTheme="majorHAnsi" w:cstheme="majorHAnsi"/>
        </w:rPr>
        <w:t>Ought</w:t>
      </w:r>
      <w:r w:rsidRPr="00221625">
        <w:rPr>
          <w:rFonts w:asciiTheme="majorHAnsi" w:hAnsiTheme="majorHAnsi" w:cstheme="majorHAnsi"/>
        </w:rPr>
        <w:t xml:space="preserve"> means should </w:t>
      </w:r>
    </w:p>
    <w:p w14:paraId="67ED3060" w14:textId="77777777" w:rsidR="00F80A51" w:rsidRDefault="00F80A51" w:rsidP="00F80A51">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E47A4">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E47A4">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E47A4">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1165C212" w14:textId="77777777" w:rsidR="00F80A51" w:rsidRPr="006337B8" w:rsidRDefault="00F80A51" w:rsidP="00F80A51">
      <w:pPr>
        <w:rPr>
          <w:rFonts w:asciiTheme="majorHAnsi" w:hAnsiTheme="majorHAnsi" w:cstheme="majorHAnsi"/>
        </w:rPr>
      </w:pPr>
    </w:p>
    <w:p w14:paraId="07D2F54C" w14:textId="77777777" w:rsidR="00F80A51" w:rsidRPr="00A66FEA" w:rsidRDefault="00F80A51" w:rsidP="00F80A51">
      <w:pPr>
        <w:pStyle w:val="Heading4"/>
        <w:rPr>
          <w:rFonts w:cs="Times New Roman"/>
        </w:rPr>
      </w:pPr>
      <w:r>
        <w:rPr>
          <w:rFonts w:cs="Times New Roman"/>
        </w:rPr>
        <w:t xml:space="preserve">Should means </w:t>
      </w:r>
      <w:r w:rsidRPr="00A66FEA">
        <w:rPr>
          <w:rFonts w:cs="Times New Roman"/>
          <w:u w:val="single"/>
        </w:rPr>
        <w:t>must</w:t>
      </w:r>
      <w:r>
        <w:rPr>
          <w:rFonts w:cs="Times New Roman"/>
        </w:rPr>
        <w:t xml:space="preserve"> and </w:t>
      </w:r>
      <w:r w:rsidRPr="00A66FEA">
        <w:rPr>
          <w:rFonts w:cs="Times New Roman"/>
        </w:rPr>
        <w:t>is</w:t>
      </w:r>
      <w:r>
        <w:rPr>
          <w:rFonts w:cs="Times New Roman"/>
        </w:rPr>
        <w:t xml:space="preserve"> </w:t>
      </w:r>
      <w:r w:rsidRPr="00A66FEA">
        <w:rPr>
          <w:rFonts w:cs="Times New Roman"/>
          <w:u w:val="single"/>
        </w:rPr>
        <w:t>immediate</w:t>
      </w:r>
    </w:p>
    <w:p w14:paraId="43192666" w14:textId="77777777" w:rsidR="00F80A51" w:rsidRPr="00917C90" w:rsidRDefault="00F80A51" w:rsidP="00F80A51">
      <w:r w:rsidRPr="00917C90">
        <w:rPr>
          <w:rStyle w:val="Style13ptBold"/>
        </w:rPr>
        <w:t>Summers 94</w:t>
      </w:r>
      <w:r w:rsidRPr="00917C90">
        <w:t xml:space="preserve"> (Justice – Oklahoma Supreme Court, “Kelsey v. Dollarsaver Food Warehouse of Durant”, 1994 OK 123, 11-8, http://www.oscn.net/applications/oscn/DeliverDocument.asp?CiteID=20287#marker3fn13)</w:t>
      </w:r>
    </w:p>
    <w:p w14:paraId="36E2DCF7" w14:textId="77777777" w:rsidR="00F80A51" w:rsidRDefault="00F80A51" w:rsidP="00F80A51">
      <w:r w:rsidRPr="00917C90">
        <w:t xml:space="preserve">¶4 </w:t>
      </w:r>
      <w:r w:rsidRPr="00A66FEA">
        <w:rPr>
          <w:rStyle w:val="StyleUnderline"/>
        </w:rPr>
        <w:t xml:space="preserve">The legal question to be resolved by the court is whether the word </w:t>
      </w:r>
      <w:r w:rsidRPr="002E47A4">
        <w:rPr>
          <w:rStyle w:val="StyleUnderline"/>
          <w:highlight w:val="green"/>
        </w:rPr>
        <w:t>"should</w:t>
      </w:r>
      <w:r w:rsidRPr="00A66FEA">
        <w:t>"</w:t>
      </w:r>
      <w:hyperlink r:id="rId10" w:anchor="marker3fn13" w:history="1">
        <w:r w:rsidRPr="00917C90">
          <w:rPr>
            <w:rStyle w:val="Hyperlink"/>
          </w:rPr>
          <w:t>13</w:t>
        </w:r>
      </w:hyperlink>
      <w:r w:rsidRPr="00917C90">
        <w:t xml:space="preserve"> in the May 18 order connotes futurity or </w:t>
      </w:r>
      <w:r w:rsidRPr="002E47A4">
        <w:rPr>
          <w:rStyle w:val="StyleUnderline"/>
          <w:highlight w:val="green"/>
        </w:rPr>
        <w:t>may be deemed</w:t>
      </w:r>
      <w:r w:rsidRPr="00A66FEA">
        <w:rPr>
          <w:rStyle w:val="StyleUnderline"/>
        </w:rPr>
        <w:t xml:space="preserve"> a ruling </w:t>
      </w:r>
      <w:r w:rsidRPr="002E47A4">
        <w:rPr>
          <w:rStyle w:val="StyleUnderline"/>
          <w:highlight w:val="green"/>
        </w:rPr>
        <w:t>in praesenti</w:t>
      </w:r>
      <w:r w:rsidRPr="00917C90">
        <w:t>.</w:t>
      </w:r>
      <w:hyperlink r:id="rId11" w:anchor="marker3fn14" w:history="1">
        <w:r w:rsidRPr="00917C90">
          <w:rPr>
            <w:rStyle w:val="Hyperlink"/>
          </w:rPr>
          <w:t>14</w:t>
        </w:r>
      </w:hyperlink>
      <w:r w:rsidRPr="00917C90">
        <w:t xml:space="preserve"> The answer to this query is not to be divined from rules of grammar;</w:t>
      </w:r>
      <w:hyperlink r:id="rId12" w:anchor="marker3fn15" w:history="1">
        <w:r w:rsidRPr="00917C90">
          <w:rPr>
            <w:rStyle w:val="Hyperlink"/>
          </w:rPr>
          <w:t>15</w:t>
        </w:r>
      </w:hyperlink>
      <w:r w:rsidRPr="00917C90">
        <w:t xml:space="preserve"> it must be governed by the age-old practice culture of legal professionals and its immemorial language usage. To determine if the omission (from the critical May 18 entry) of the turgid phrase, "and the same hereby is", (1) makes it an in futuro </w:t>
      </w:r>
      <w:r w:rsidRPr="00917C90">
        <w:lastRenderedPageBreak/>
        <w:t>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917C90">
          <w:rPr>
            <w:rStyle w:val="Hyperlink"/>
          </w:rPr>
          <w:t xml:space="preserve">16 </w:t>
        </w:r>
      </w:hyperlink>
      <w:r w:rsidRPr="00917C90">
        <w:t>[CONTINUES – TO FOOTNOTE]</w:t>
      </w:r>
      <w:r>
        <w:t xml:space="preserve"> </w:t>
      </w:r>
      <w:hyperlink r:id="rId14" w:anchor="marker2fn13" w:history="1">
        <w:r w:rsidRPr="00917C90">
          <w:rPr>
            <w:rStyle w:val="Hyperlink"/>
          </w:rPr>
          <w:t>13</w:t>
        </w:r>
      </w:hyperlink>
      <w:r w:rsidRPr="00917C90">
        <w:t xml:space="preserve"> "</w:t>
      </w:r>
      <w:r w:rsidRPr="00917C90">
        <w:rPr>
          <w:i/>
          <w:iCs/>
        </w:rPr>
        <w:t>Should</w:t>
      </w:r>
      <w:r w:rsidRPr="00917C90">
        <w:t xml:space="preserve">" not only is used as a "present indicative" synonymous with </w:t>
      </w:r>
      <w:r w:rsidRPr="00917C90">
        <w:rPr>
          <w:i/>
          <w:iCs/>
        </w:rPr>
        <w:t>ought</w:t>
      </w:r>
      <w:r w:rsidRPr="00917C90">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A66FEA">
        <w:rPr>
          <w:rStyle w:val="StyleUnderline"/>
        </w:rPr>
        <w:t xml:space="preserve">Certain </w:t>
      </w:r>
      <w:r w:rsidRPr="002E47A4">
        <w:rPr>
          <w:rStyle w:val="StyleUnderline"/>
          <w:highlight w:val="green"/>
        </w:rPr>
        <w:t>contexts mandate a construction of</w:t>
      </w:r>
      <w:r w:rsidRPr="00A66FEA">
        <w:rPr>
          <w:rStyle w:val="StyleUnderline"/>
        </w:rPr>
        <w:t xml:space="preserve"> the term "</w:t>
      </w:r>
      <w:r w:rsidRPr="002E47A4">
        <w:rPr>
          <w:rStyle w:val="StyleUnderline"/>
          <w:highlight w:val="green"/>
        </w:rPr>
        <w:t xml:space="preserve">should" as </w:t>
      </w:r>
      <w:r w:rsidRPr="002E47A4">
        <w:rPr>
          <w:rStyle w:val="Emphasis"/>
          <w:highlight w:val="green"/>
        </w:rPr>
        <w:t>more than</w:t>
      </w:r>
      <w:r w:rsidRPr="00A66FEA">
        <w:rPr>
          <w:rStyle w:val="StyleUnderline"/>
        </w:rPr>
        <w:t xml:space="preserve"> merely indicating preference or </w:t>
      </w:r>
      <w:r w:rsidRPr="002E47A4">
        <w:rPr>
          <w:rStyle w:val="Emphasis"/>
          <w:highlight w:val="green"/>
        </w:rPr>
        <w:t>desirability</w:t>
      </w:r>
      <w:r w:rsidRPr="00A66FEA">
        <w:rPr>
          <w:rStyle w:val="StyleUnderline"/>
        </w:rPr>
        <w:t>.</w:t>
      </w:r>
      <w:r w:rsidRPr="00917C90">
        <w:t xml:space="preserve"> Brown, supra at 1080-81 (jury instructions stating that jurors "should" reduce the amount of damages in proportion to the amount of contributory negligence of the plaintiff was held to imply an </w:t>
      </w:r>
      <w:r w:rsidRPr="00917C90">
        <w:rPr>
          <w:i/>
          <w:iCs/>
        </w:rPr>
        <w:t>obligation</w:t>
      </w:r>
      <w:r w:rsidRPr="00917C90">
        <w:t xml:space="preserve"> </w:t>
      </w:r>
      <w:r w:rsidRPr="00917C90">
        <w:rPr>
          <w:i/>
          <w:iCs/>
        </w:rPr>
        <w:t>and to be more than advisory</w:t>
      </w:r>
      <w:r w:rsidRPr="00917C90">
        <w:t xml:space="preserve">); Carrigan v. California Horse Racing Board, 60 Wash. App. 79, </w:t>
      </w:r>
      <w:hyperlink r:id="rId15" w:history="1">
        <w:r w:rsidRPr="00917C90">
          <w:rPr>
            <w:rStyle w:val="Hyperlink"/>
          </w:rPr>
          <w:t>802 P.2d 813</w:t>
        </w:r>
      </w:hyperlink>
      <w:r w:rsidRPr="00917C90">
        <w:t xml:space="preserve"> (1990) (one of the Rules of Appellate Procedure requiring that a party "should devote a section of the brief to the request for the fee or expenses" was interpreted to mean that a party is under an </w:t>
      </w:r>
      <w:r w:rsidRPr="00917C90">
        <w:rPr>
          <w:i/>
          <w:iCs/>
        </w:rPr>
        <w:t>obligation</w:t>
      </w:r>
      <w:r w:rsidRPr="00917C90">
        <w:t xml:space="preserve"> to include the requested segment); State v. Rack, 318 S.W.2d 211, 215 (Mo. 1958) </w:t>
      </w:r>
      <w:r w:rsidRPr="00917C90">
        <w:rPr>
          <w:u w:val="single"/>
        </w:rPr>
        <w:t>("should" would mean the same as</w:t>
      </w:r>
      <w:r w:rsidRPr="00917C90">
        <w:t xml:space="preserve"> "shall" or </w:t>
      </w:r>
      <w:r w:rsidRPr="00917C90">
        <w:rPr>
          <w:u w:val="single"/>
        </w:rPr>
        <w:t xml:space="preserve">"must" </w:t>
      </w:r>
      <w:r w:rsidRPr="00917C90">
        <w:t xml:space="preserve">when used in an instruction to the jury which tells the triers they "should disregard false testimony"). </w:t>
      </w:r>
      <w:hyperlink r:id="rId16" w:anchor="marker2fn14" w:history="1">
        <w:r w:rsidRPr="00917C90">
          <w:rPr>
            <w:rStyle w:val="Hyperlink"/>
          </w:rPr>
          <w:t>14</w:t>
        </w:r>
      </w:hyperlink>
      <w:r w:rsidRPr="00917C90">
        <w:t xml:space="preserve"> </w:t>
      </w:r>
      <w:r w:rsidRPr="00A66FEA">
        <w:rPr>
          <w:rStyle w:val="StyleUnderline"/>
        </w:rPr>
        <w:t>In praesenti means literally "at the present time."</w:t>
      </w:r>
      <w:r w:rsidRPr="00917C90">
        <w:t xml:space="preserve"> BLACK'S LAW DICTIONARY 792 (6th Ed. 1990). In legal </w:t>
      </w:r>
      <w:r w:rsidRPr="00A66FEA">
        <w:rPr>
          <w:rStyle w:val="StyleUnderline"/>
        </w:rPr>
        <w:t xml:space="preserve">parlance </w:t>
      </w:r>
      <w:r w:rsidRPr="002E47A4">
        <w:rPr>
          <w:rStyle w:val="StyleUnderline"/>
          <w:highlight w:val="green"/>
        </w:rPr>
        <w:t>the phrase denotes that</w:t>
      </w:r>
      <w:r w:rsidRPr="00A66FEA">
        <w:rPr>
          <w:rStyle w:val="StyleUnderline"/>
        </w:rPr>
        <w:t xml:space="preserve"> which in </w:t>
      </w:r>
      <w:r w:rsidRPr="002E47A4">
        <w:rPr>
          <w:rStyle w:val="StyleUnderline"/>
          <w:highlight w:val="green"/>
        </w:rPr>
        <w:t>law is</w:t>
      </w:r>
      <w:r w:rsidRPr="00A66FEA">
        <w:rPr>
          <w:rStyle w:val="StyleUnderline"/>
        </w:rPr>
        <w:t xml:space="preserve"> presently or </w:t>
      </w:r>
      <w:r w:rsidRPr="002E47A4">
        <w:rPr>
          <w:rStyle w:val="Emphasis"/>
          <w:highlight w:val="green"/>
        </w:rPr>
        <w:t>immediately effective</w:t>
      </w:r>
      <w:r w:rsidRPr="002E47A4">
        <w:rPr>
          <w:rStyle w:val="StyleUnderline"/>
          <w:highlight w:val="green"/>
        </w:rPr>
        <w:t>, as opposed to</w:t>
      </w:r>
      <w:r w:rsidRPr="00A66FEA">
        <w:rPr>
          <w:rStyle w:val="StyleUnderline"/>
        </w:rPr>
        <w:t xml:space="preserve"> something that will or would become effective </w:t>
      </w:r>
      <w:r w:rsidRPr="002E47A4">
        <w:rPr>
          <w:rStyle w:val="StyleUnderline"/>
          <w:highlight w:val="green"/>
        </w:rPr>
        <w:t>in the future</w:t>
      </w:r>
      <w:r w:rsidRPr="00917C90">
        <w:rPr>
          <w:i/>
          <w:iCs/>
        </w:rPr>
        <w:t xml:space="preserve"> [in futurol</w:t>
      </w:r>
      <w:r w:rsidRPr="00917C90">
        <w:t xml:space="preserve">]. See Van Wyck v. Knevals, </w:t>
      </w:r>
      <w:hyperlink r:id="rId17" w:history="1">
        <w:r w:rsidRPr="00917C90">
          <w:rPr>
            <w:rStyle w:val="Hyperlink"/>
          </w:rPr>
          <w:t>106 U.S. 360</w:t>
        </w:r>
      </w:hyperlink>
      <w:r w:rsidRPr="00917C90">
        <w:t>, 365, 1 S.Ct. 336, 337, 27 L.Ed. 201 (1882).</w:t>
      </w:r>
    </w:p>
    <w:p w14:paraId="4A7A6AB8" w14:textId="77777777" w:rsidR="00F80A51" w:rsidRPr="00054633" w:rsidRDefault="00F80A51" w:rsidP="002455C4">
      <w:pPr>
        <w:rPr>
          <w:sz w:val="12"/>
        </w:rPr>
      </w:pPr>
    </w:p>
    <w:p w14:paraId="68DD6148" w14:textId="77777777" w:rsidR="002455C4" w:rsidRDefault="002455C4" w:rsidP="002455C4">
      <w:r>
        <w:t>Condo is good:</w:t>
      </w:r>
    </w:p>
    <w:p w14:paraId="0FEA04D0" w14:textId="77777777" w:rsidR="002455C4" w:rsidRPr="00D15916" w:rsidRDefault="002455C4" w:rsidP="002455C4">
      <w:pPr>
        <w:pStyle w:val="ListParagraph"/>
        <w:numPr>
          <w:ilvl w:val="0"/>
          <w:numId w:val="16"/>
        </w:numPr>
      </w:pPr>
      <w:r w:rsidRPr="00D15916">
        <w:t xml:space="preserve">Neg flex – condo is key to allowing the neg to test the aff from multiple perspectives – </w:t>
      </w:r>
      <w:r>
        <w:t xml:space="preserve">that </w:t>
      </w:r>
      <w:r w:rsidRPr="00D15916">
        <w:t>outweighs aff strat</w:t>
      </w:r>
      <w:r>
        <w:t>egy</w:t>
      </w:r>
      <w:r w:rsidRPr="00D15916">
        <w:t xml:space="preserve"> – </w:t>
      </w:r>
      <w:r>
        <w:t>the aff gets</w:t>
      </w:r>
      <w:r w:rsidRPr="00D15916">
        <w:t xml:space="preserve"> </w:t>
      </w:r>
      <w:r w:rsidRPr="00234C55">
        <w:rPr>
          <w:u w:val="single"/>
        </w:rPr>
        <w:t xml:space="preserve">infinite prep, </w:t>
      </w:r>
      <w:r>
        <w:t>but</w:t>
      </w:r>
      <w:r w:rsidRPr="00D15916">
        <w:t xml:space="preserve"> the neg is </w:t>
      </w:r>
      <w:r w:rsidRPr="00234C55">
        <w:rPr>
          <w:u w:val="single"/>
        </w:rPr>
        <w:t>purely</w:t>
      </w:r>
      <w:r w:rsidRPr="00D15916">
        <w:t xml:space="preserve"> reactionary </w:t>
      </w:r>
      <w:r w:rsidRPr="00D15916">
        <w:br/>
      </w:r>
    </w:p>
    <w:p w14:paraId="1FC76A7E" w14:textId="77777777" w:rsidR="002455C4" w:rsidRPr="00D15916" w:rsidRDefault="002455C4" w:rsidP="002455C4">
      <w:pPr>
        <w:pStyle w:val="ListParagraph"/>
        <w:numPr>
          <w:ilvl w:val="0"/>
          <w:numId w:val="16"/>
        </w:numPr>
      </w:pPr>
      <w:r w:rsidRPr="00D15916">
        <w:t xml:space="preserve">Info processing – condo teaches us to </w:t>
      </w:r>
      <w:r w:rsidRPr="00234C55">
        <w:rPr>
          <w:u w:val="single"/>
        </w:rPr>
        <w:t>think quickly</w:t>
      </w:r>
      <w:r w:rsidRPr="00D15916">
        <w:t xml:space="preserve"> and deal with </w:t>
      </w:r>
      <w:r w:rsidRPr="00234C55">
        <w:rPr>
          <w:u w:val="single"/>
        </w:rPr>
        <w:t>overwhelming</w:t>
      </w:r>
      <w:r w:rsidRPr="00D15916">
        <w:t xml:space="preserve"> amounts of info – most </w:t>
      </w:r>
      <w:r w:rsidRPr="00234C55">
        <w:rPr>
          <w:u w:val="single"/>
        </w:rPr>
        <w:t>real world</w:t>
      </w:r>
      <w:r w:rsidRPr="00D15916">
        <w:t xml:space="preserve">. </w:t>
      </w:r>
      <w:r w:rsidRPr="00234C55">
        <w:rPr>
          <w:u w:val="single"/>
        </w:rPr>
        <w:t>Simulating information overload</w:t>
      </w:r>
      <w:r w:rsidRPr="00D15916">
        <w:t xml:space="preserve"> best prepares students to </w:t>
      </w:r>
      <w:r w:rsidRPr="00234C55">
        <w:rPr>
          <w:u w:val="single"/>
        </w:rPr>
        <w:t>cope</w:t>
      </w:r>
      <w:r w:rsidRPr="00D15916">
        <w:t>—</w:t>
      </w:r>
      <w:r w:rsidRPr="00234C55">
        <w:rPr>
          <w:u w:val="single"/>
        </w:rPr>
        <w:t>most valuable skill</w:t>
      </w:r>
      <w:r w:rsidRPr="00D15916">
        <w:t>.</w:t>
      </w:r>
      <w:r w:rsidRPr="00D15916">
        <w:br/>
      </w:r>
    </w:p>
    <w:p w14:paraId="29B5DADA" w14:textId="77777777" w:rsidR="002455C4" w:rsidRPr="000C116C" w:rsidRDefault="002455C4" w:rsidP="002455C4"/>
    <w:p w14:paraId="40999E75" w14:textId="77777777" w:rsidR="002455C4" w:rsidRPr="005862CF" w:rsidRDefault="002455C4" w:rsidP="002455C4"/>
    <w:p w14:paraId="6060D05C" w14:textId="227F1407" w:rsidR="002455C4" w:rsidRDefault="002455C4" w:rsidP="002455C4">
      <w:pPr>
        <w:pStyle w:val="Heading2"/>
      </w:pPr>
      <w:r>
        <w:lastRenderedPageBreak/>
        <w:t>1NC – </w:t>
      </w:r>
      <w:r w:rsidR="00CB23A8">
        <w:t>K</w:t>
      </w:r>
    </w:p>
    <w:p w14:paraId="00C5F2B2" w14:textId="65E518D7" w:rsidR="00CB23A8" w:rsidRPr="007142A4" w:rsidRDefault="00CB23A8" w:rsidP="00CB23A8">
      <w:pPr>
        <w:pStyle w:val="Heading4"/>
        <w:rPr>
          <w:rStyle w:val="Style13ptBold"/>
          <w:rFonts w:ascii="AppleSystemUIFont" w:hAnsi="AppleSystemUIFont" w:cs="AppleSystemUIFont"/>
        </w:rPr>
      </w:pPr>
      <w:r w:rsidRPr="007142A4">
        <w:t xml:space="preserve">The </w:t>
      </w:r>
      <w:r w:rsidR="00B63943">
        <w:t>a</w:t>
      </w:r>
      <w:r w:rsidRPr="007142A4">
        <w:t xml:space="preserve">ff’s portrayal of a world with reduced IP protections as an “information commons” where medical inequality is solved by deregulation perpetuates the neoliberal myth of 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8" w:history="1">
        <w:r w:rsidRPr="007142A4">
          <w:rPr>
            <w:rStyle w:val="Hyperlink"/>
            <w:b w:val="0"/>
          </w:rPr>
          <w:t>https://scholarship.law.duke.edu/cgi/viewcontent.cgi?article=4710&amp;context=lcp</w:t>
        </w:r>
      </w:hyperlink>
      <w:r w:rsidRPr="007142A4">
        <w:rPr>
          <w:b w:val="0"/>
        </w:rPr>
        <w:t>] BC</w:t>
      </w:r>
    </w:p>
    <w:p w14:paraId="44FC5647" w14:textId="77777777" w:rsidR="00CB23A8" w:rsidRPr="00B02763" w:rsidRDefault="00CB23A8" w:rsidP="00CB23A8">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1F86C3CD" w14:textId="77777777" w:rsidR="00CB23A8" w:rsidRPr="00FD414A" w:rsidRDefault="00CB23A8" w:rsidP="00CB23A8">
      <w:pPr>
        <w:rPr>
          <w:rStyle w:val="StyleUnderline"/>
        </w:rPr>
      </w:pPr>
      <w:r w:rsidRPr="00FD414A">
        <w:t xml:space="preserve">Lessig has written a series of influential books that have made him a “rock star of the information age,”15 particularly for young Internet and free-culture activists. </w:t>
      </w:r>
      <w:r w:rsidRPr="00FD414A">
        <w:rPr>
          <w:rStyle w:val="StyleUnderline"/>
        </w:rPr>
        <w:t xml:space="preserve">He has argued powerfully, for example, that existing copyright law is in deep </w:t>
      </w:r>
      <w:r w:rsidRPr="00FD414A">
        <w:rPr>
          <w:rStyle w:val="Emphasis"/>
        </w:rPr>
        <w:t>conflict with the radical new possibilities for creativity</w:t>
      </w:r>
      <w:r w:rsidRPr="00FD414A">
        <w:rPr>
          <w:rStyle w:val="StyleUnderline"/>
        </w:rPr>
        <w:t xml:space="preserve"> in the digital age.</w:t>
      </w:r>
      <w:r w:rsidRPr="00FD414A">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FD414A">
        <w:rPr>
          <w:rStyle w:val="StyleUnderline"/>
        </w:rPr>
        <w:t xml:space="preserve">the Internet has unleashed an extraordinary possibility for many to participate in the process of building and cultivating a culture that reaches far beyond local boundaries,” creating the possibility of markets that “include a much wider and more diverse range of creators,” if not </w:t>
      </w:r>
      <w:r w:rsidRPr="00FD414A">
        <w:rPr>
          <w:rStyle w:val="Emphasis"/>
        </w:rPr>
        <w:t>stifled by incumbents who use IP law to “protect themselves against this competition</w:t>
      </w:r>
      <w:r w:rsidRPr="00FD414A">
        <w:rPr>
          <w:rStyle w:val="StyleUnderline"/>
        </w:rPr>
        <w:t>.”18</w:t>
      </w:r>
    </w:p>
    <w:p w14:paraId="101264E5" w14:textId="77777777" w:rsidR="00CB23A8" w:rsidRPr="00316FE1" w:rsidRDefault="00CB23A8" w:rsidP="00CB23A8">
      <w:pPr>
        <w:rPr>
          <w:sz w:val="12"/>
          <w:szCs w:val="12"/>
        </w:rPr>
      </w:pPr>
      <w:r w:rsidRPr="00FD414A">
        <w:rPr>
          <w:sz w:val="12"/>
          <w:szCs w:val="12"/>
        </w:rPr>
        <w:t>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2CB55B5E" w14:textId="77777777" w:rsidR="00CB23A8" w:rsidRPr="001E7B4B" w:rsidRDefault="00CB23A8" w:rsidP="00CB23A8">
      <w:r w:rsidRPr="001E7B4B">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w:t>
      </w:r>
      <w:r w:rsidRPr="001E7B4B">
        <w:lastRenderedPageBreak/>
        <w:t>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447EE523" w14:textId="77777777" w:rsidR="00CB23A8" w:rsidRPr="001E7B4B" w:rsidRDefault="00CB23A8" w:rsidP="00CB23A8">
      <w:r w:rsidRPr="001E7B4B">
        <w:t>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w:t>
      </w:r>
    </w:p>
    <w:p w14:paraId="53294E33" w14:textId="77777777" w:rsidR="00CB23A8" w:rsidRPr="001E7B4B" w:rsidRDefault="00CB23A8" w:rsidP="00CB23A8">
      <w:r w:rsidRPr="001E7B4B">
        <w:t xml:space="preserve">III </w:t>
      </w:r>
    </w:p>
    <w:p w14:paraId="72A9D63D" w14:textId="77777777" w:rsidR="00CB23A8" w:rsidRPr="00B02763" w:rsidRDefault="00CB23A8" w:rsidP="00CB23A8">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788CC896" w14:textId="77777777" w:rsidR="00CB23A8" w:rsidRPr="00B02763" w:rsidRDefault="00CB23A8" w:rsidP="00CB23A8">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4BF80805" w14:textId="77777777" w:rsidR="00CB23A8" w:rsidRPr="00B02763" w:rsidRDefault="00CB23A8" w:rsidP="00CB23A8">
      <w:r w:rsidRPr="00B10C30">
        <w:rPr>
          <w:rStyle w:val="StyleUnderline"/>
        </w:rPr>
        <w:t>The commons, they suggest, is a concept that seeks not only to liberate us from predatory and dysfunctional markets, but also from predatory and dysfunctional states</w:t>
      </w:r>
      <w:r w:rsidRPr="00B10C30">
        <w:t xml:space="preserve">. Something immediately seems incongruous here. </w:t>
      </w:r>
      <w:r w:rsidRPr="00B10C30">
        <w:rPr>
          <w:rStyle w:val="Emphasis"/>
        </w:rPr>
        <w:t>If people are inherently cooperative reciprocators, why are states irredeemably corrupt?</w:t>
      </w:r>
      <w:r w:rsidRPr="00B10C30">
        <w:t xml:space="preserve"> After all, as Harold Demsetz famously wrote in his 1967 attack on Arrow’s optimism about state production of information, “[g]overnment is a group of people.”32</w:t>
      </w:r>
    </w:p>
    <w:p w14:paraId="05588674" w14:textId="77777777" w:rsidR="00CB23A8" w:rsidRPr="00B02763" w:rsidRDefault="00CB23A8" w:rsidP="00CB23A8">
      <w:r w:rsidRPr="00B02763">
        <w:t>Lessig, one of the progenitors of the language of the commons in the informational domain, often leads with a similar view of the state:</w:t>
      </w:r>
    </w:p>
    <w:p w14:paraId="302AD36D" w14:textId="77777777" w:rsidR="00CB23A8" w:rsidRPr="00B02763" w:rsidRDefault="00CB23A8" w:rsidP="00CB23A8">
      <w:r w:rsidRPr="00B02763">
        <w:t>[I]f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75FDDAC8" w14:textId="77777777" w:rsidR="00CB23A8" w:rsidRPr="00B02763" w:rsidRDefault="00CB23A8" w:rsidP="00CB23A8">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t>
      </w:r>
      <w:r w:rsidRPr="00FD414A">
        <w:rPr>
          <w:rStyle w:val="StyleUnderline"/>
        </w:rPr>
        <w:t>with the same brush;</w:t>
      </w:r>
      <w:r w:rsidRPr="001E7B4B">
        <w:rPr>
          <w:rStyle w:val="StyleUnderline"/>
          <w:highlight w:val="green"/>
        </w:rPr>
        <w:t xml:space="preserve">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26BF10DC" w14:textId="77777777" w:rsidR="00CB23A8" w:rsidRPr="00B10C30" w:rsidRDefault="00CB23A8" w:rsidP="00CB23A8">
      <w:r w:rsidRPr="00B02763">
        <w:t xml:space="preserve">Benkler is more measured but admits as well to viewing the state as “a relatively suspect actor.”35 We should worry, he suggests, that direct governmental intervention “leads to centralization in the hands of government agencies and powerful political </w:t>
      </w:r>
      <w:r w:rsidRPr="00B10C30">
        <w:t xml:space="preserve">lobbies,”36 a view that echoes the neoliberal account described above. </w:t>
      </w:r>
    </w:p>
    <w:p w14:paraId="0AF69879" w14:textId="77777777" w:rsidR="00CB23A8" w:rsidRPr="00B02763" w:rsidRDefault="00CB23A8" w:rsidP="00CB23A8">
      <w:r w:rsidRPr="00B10C30">
        <w:t xml:space="preserve">It should perhaps not surprise us that leading </w:t>
      </w:r>
      <w:r w:rsidRPr="00B10C30">
        <w:rPr>
          <w:rStyle w:val="Emphasis"/>
        </w:rPr>
        <w:t>critics of neoliberal information policy embrace a neoliberal conception of the state</w:t>
      </w:r>
      <w:r w:rsidRPr="00B10C30">
        <w:t xml:space="preserve">. After all, </w:t>
      </w:r>
      <w:r w:rsidRPr="00B10C30">
        <w:rPr>
          <w:rStyle w:val="StyleUnderline"/>
        </w:rPr>
        <w:t>neoliberalism is not merely an ideology, but also a set of policy prescriptions that may have helped to call forth the state that it has described.</w:t>
      </w:r>
      <w:r w:rsidRPr="00B10C30">
        <w:t xml:space="preserve"> As David Harvey puts it, </w:t>
      </w:r>
      <w:r w:rsidRPr="00B10C30">
        <w:rPr>
          <w:rStyle w:val="Emphasis"/>
        </w:rPr>
        <w:t>“[t]he neoliberal fear that special-interest groups would pervert and subvert the state is nowhere better realized than in Washington, where armies of corporate lobbyists . . .</w:t>
      </w:r>
      <w:r w:rsidRPr="001E7B4B">
        <w:rPr>
          <w:rStyle w:val="Emphasis"/>
        </w:rPr>
        <w:t xml:space="preserve"> effectively dictate legislation to match their special interests</w:t>
      </w:r>
      <w:r w:rsidRPr="001E7B4B">
        <w:t>.”37</w:t>
      </w:r>
    </w:p>
    <w:p w14:paraId="3144178D" w14:textId="77777777" w:rsidR="00CB23A8" w:rsidRPr="003C2743" w:rsidRDefault="00CB23A8" w:rsidP="00CB23A8">
      <w:r w:rsidRPr="001E7B4B">
        <w:rPr>
          <w:rStyle w:val="StyleUnderline"/>
        </w:rPr>
        <w:t>There are, it must be said, few areas of law that better exemplify this problem than IP law</w:t>
      </w:r>
      <w:r w:rsidRPr="001E7B4B">
        <w:t xml:space="preserve">.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w:t>
      </w:r>
      <w:r w:rsidRPr="001E7B4B">
        <w:lastRenderedPageBreak/>
        <w:t>Property Rights (</w:t>
      </w:r>
      <w:r w:rsidRPr="001E7B4B">
        <w:rPr>
          <w:rStyle w:val="StyleUnderline"/>
        </w:rPr>
        <w:t>TRIPS</w:t>
      </w:r>
      <w:r w:rsidRPr="001E7B4B">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54FB8D0F" w14:textId="77777777" w:rsidR="00CB23A8" w:rsidRPr="00891558" w:rsidRDefault="00CB23A8" w:rsidP="00CB23A8">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515F6E16" w14:textId="77777777" w:rsidR="00CB23A8" w:rsidRPr="00891558" w:rsidRDefault="00CB23A8" w:rsidP="00CB23A8">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550F2293" w14:textId="77777777" w:rsidR="00CB23A8" w:rsidRPr="00891558" w:rsidRDefault="00CB23A8" w:rsidP="00CB23A8">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40AE4069" w14:textId="77777777" w:rsidR="00CB23A8" w:rsidRPr="00891558" w:rsidRDefault="00CB23A8" w:rsidP="00CB23A8">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77E9E245" w14:textId="77777777" w:rsidR="00CB23A8" w:rsidRPr="00891558" w:rsidRDefault="00CB23A8" w:rsidP="00CB23A8">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 xml:space="preserve">severe </w:t>
      </w:r>
      <w:r w:rsidRPr="005B78F6">
        <w:rPr>
          <w:rStyle w:val="Emphasis"/>
          <w:highlight w:val="green"/>
        </w:rPr>
        <w:lastRenderedPageBreak/>
        <w:t>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629A6102" w14:textId="77777777" w:rsidR="00CB23A8" w:rsidRDefault="00CB23A8" w:rsidP="00CB23A8">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r w:rsidRPr="005B78F6">
        <w:rPr>
          <w:rStyle w:val="StyleUnderline"/>
          <w:highlight w:val="green"/>
        </w:rPr>
        <w:t>agrifood</w:t>
      </w:r>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agrifood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578871F3" w14:textId="77777777" w:rsidR="00CB23A8" w:rsidRPr="00891558" w:rsidRDefault="00CB23A8" w:rsidP="00CB23A8">
      <w:pPr>
        <w:rPr>
          <w:u w:val="single"/>
        </w:rPr>
      </w:pPr>
    </w:p>
    <w:p w14:paraId="28886A85" w14:textId="77777777" w:rsidR="00CB23A8" w:rsidRDefault="00CB23A8" w:rsidP="00CB23A8">
      <w:pPr>
        <w:pStyle w:val="Heading4"/>
      </w:pPr>
      <w:r>
        <w:t xml:space="preserve">The alternative is a global socialist movement that ends globalization </w:t>
      </w:r>
    </w:p>
    <w:p w14:paraId="146B31BB" w14:textId="77777777" w:rsidR="00CB23A8" w:rsidRPr="001D112E" w:rsidRDefault="00CB23A8" w:rsidP="00CB23A8">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9" w:history="1">
        <w:r w:rsidRPr="001D112E">
          <w:rPr>
            <w:rStyle w:val="Hyperlink"/>
          </w:rPr>
          <w:t>https://www.opendemocracy.net/en/oureconomy/battle-seattle-20-years-later-its-time-revival/</w:t>
        </w:r>
      </w:hyperlink>
      <w:r w:rsidRPr="001D112E">
        <w:t>] BC</w:t>
      </w:r>
    </w:p>
    <w:p w14:paraId="6F5F9C5C" w14:textId="77777777" w:rsidR="00CB23A8" w:rsidRPr="001E7F4F" w:rsidRDefault="00CB23A8" w:rsidP="00CB23A8">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41FE75ED" w14:textId="77777777" w:rsidR="00CB23A8" w:rsidRPr="001E7F4F" w:rsidRDefault="00CB23A8" w:rsidP="00CB23A8">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59FECC5A" w14:textId="77777777" w:rsidR="00CB23A8" w:rsidRPr="007C4FD7" w:rsidRDefault="00CB23A8" w:rsidP="00CB23A8">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1EF28EEF" w14:textId="77777777" w:rsidR="00CB23A8" w:rsidRPr="007C4FD7" w:rsidRDefault="00CB23A8" w:rsidP="00CB23A8">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5A62326D" w14:textId="77777777" w:rsidR="00CB23A8" w:rsidRPr="007C4FD7" w:rsidRDefault="00CB23A8" w:rsidP="00CB23A8">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w:t>
      </w:r>
      <w:r w:rsidRPr="007C4FD7">
        <w:rPr>
          <w:rStyle w:val="StyleUnderline"/>
        </w:rPr>
        <w:lastRenderedPageBreak/>
        <w:t xml:space="preserve">surface. </w:t>
      </w:r>
      <w:r w:rsidRPr="007C4FD7">
        <w:rPr>
          <w:rStyle w:val="Emphasis"/>
        </w:rPr>
        <w:t xml:space="preserve">With an opportunity to finish what was started, </w:t>
      </w:r>
      <w:r w:rsidRPr="005B78F6">
        <w:rPr>
          <w:rStyle w:val="Emphasis"/>
          <w:highlight w:val="green"/>
        </w:rPr>
        <w:t>it’s time to revive the spirit of Seattle.</w:t>
      </w:r>
    </w:p>
    <w:p w14:paraId="04356401" w14:textId="77777777" w:rsidR="00CB23A8" w:rsidRDefault="00CB23A8" w:rsidP="00CB23A8">
      <w:r>
        <w:t>Globalization and its dissent</w:t>
      </w:r>
    </w:p>
    <w:p w14:paraId="0F4A3D21" w14:textId="77777777" w:rsidR="00CB23A8" w:rsidRPr="001007F9" w:rsidRDefault="00CB23A8" w:rsidP="00CB23A8">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2E17C865" w14:textId="77777777" w:rsidR="00CB23A8" w:rsidRPr="001007F9" w:rsidRDefault="00CB23A8" w:rsidP="00CB23A8">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616FA760" w14:textId="77777777" w:rsidR="00CB23A8" w:rsidRDefault="00CB23A8" w:rsidP="00CB23A8">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1375022B" w14:textId="77777777" w:rsidR="00CB23A8" w:rsidRDefault="00CB23A8" w:rsidP="00CB23A8">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0AE0DB81" w14:textId="77777777" w:rsidR="00CB23A8" w:rsidRPr="001007F9" w:rsidRDefault="00CB23A8" w:rsidP="00CB23A8">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6F5199F5" w14:textId="77777777" w:rsidR="00CB23A8" w:rsidRDefault="00CB23A8" w:rsidP="00CB23A8">
      <w:r>
        <w:t xml:space="preserve">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w:t>
      </w:r>
      <w:r>
        <w:lastRenderedPageBreak/>
        <w:t>embodied in Thatcher’s “There Is No Alternative”, slowed neoliberal globalization’s seemingly inexorable onslaught, and kept alive the flame of resistance during an otherwise nadir of Leftist politics.</w:t>
      </w:r>
    </w:p>
    <w:p w14:paraId="288C51C1" w14:textId="77777777" w:rsidR="00CB23A8" w:rsidRDefault="00CB23A8" w:rsidP="00CB23A8">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Big-tentism led to a dilution of demands and paved the way for the NGO-ization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2A29156F" w14:textId="77777777" w:rsidR="00CB23A8" w:rsidRDefault="00CB23A8" w:rsidP="00CB23A8">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0527FF45" w14:textId="77777777" w:rsidR="00CB23A8" w:rsidRPr="00FD414A" w:rsidRDefault="00CB23A8" w:rsidP="00CB23A8">
      <w:pPr>
        <w:rPr>
          <w:rStyle w:val="Emphasis"/>
        </w:rPr>
      </w:pPr>
      <w:r w:rsidRPr="00FD414A">
        <w:rPr>
          <w:rStyle w:val="Emphasis"/>
        </w:rPr>
        <w:t>A call for revival</w:t>
      </w:r>
    </w:p>
    <w:p w14:paraId="6A78B987" w14:textId="77777777" w:rsidR="00CB23A8" w:rsidRPr="00FD414A" w:rsidRDefault="00CB23A8" w:rsidP="00CB23A8">
      <w:pPr>
        <w:rPr>
          <w:rStyle w:val="Emphasis"/>
        </w:rPr>
      </w:pPr>
      <w:r w:rsidRPr="00FD414A">
        <w:rPr>
          <w:rStyle w:val="Emphasis"/>
        </w:rPr>
        <w:t>It’s time to rekindle the flame.</w:t>
      </w:r>
    </w:p>
    <w:p w14:paraId="34726A7A" w14:textId="77777777" w:rsidR="00CB23A8" w:rsidRPr="00FD414A" w:rsidRDefault="00CB23A8" w:rsidP="00CB23A8">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246B9C85" w14:textId="77777777" w:rsidR="00CB23A8" w:rsidRPr="00FD414A" w:rsidRDefault="00CB23A8" w:rsidP="00CB23A8">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cishet, native-born Americans – have lost out to “them” – People of Color, immigrants, entire foreign countries, feminists, LGBTQ+ folks, and all those who threaten our supremacy in their struggles for liberation.</w:t>
      </w:r>
    </w:p>
    <w:p w14:paraId="4F6057C2" w14:textId="77777777" w:rsidR="00CB23A8" w:rsidRPr="001D112E" w:rsidRDefault="00CB23A8" w:rsidP="00CB23A8">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14:paraId="3E138538" w14:textId="77777777" w:rsidR="00CB23A8" w:rsidRPr="00FD414A" w:rsidRDefault="00CB23A8" w:rsidP="00CB23A8">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0DEA83B9" w14:textId="77777777" w:rsidR="00CB23A8" w:rsidRPr="00FD414A" w:rsidRDefault="00CB23A8" w:rsidP="00CB23A8">
      <w:pPr>
        <w:rPr>
          <w:rStyle w:val="Emphasis"/>
        </w:rPr>
      </w:pPr>
      <w:r w:rsidRPr="00FD414A">
        <w:rPr>
          <w:rStyle w:val="StyleUnderline"/>
        </w:rPr>
        <w:lastRenderedPageBreak/>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Bernie Sanders and Yanis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78CC0388" w14:textId="77777777" w:rsidR="00CB23A8" w:rsidRPr="00FD414A" w:rsidRDefault="00CB23A8" w:rsidP="00CB23A8">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45B06281" w14:textId="77777777" w:rsidR="00CB23A8" w:rsidRPr="001D112E" w:rsidRDefault="00CB23A8" w:rsidP="00CB23A8">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1ABFD07F" w14:textId="77777777" w:rsidR="00CB23A8" w:rsidRPr="001D112E" w:rsidRDefault="00CB23A8" w:rsidP="00CB23A8">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4BAE659D" w14:textId="77777777" w:rsidR="00CB23A8" w:rsidRDefault="00CB23A8" w:rsidP="00CB23A8">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5F78292E" w14:textId="77777777" w:rsidR="002455C4" w:rsidRPr="00B36BF7" w:rsidRDefault="002455C4" w:rsidP="002455C4"/>
    <w:p w14:paraId="0C23E641" w14:textId="62786B1E" w:rsidR="00E42E4C" w:rsidRDefault="002455C4" w:rsidP="002455C4">
      <w:pPr>
        <w:pStyle w:val="Heading2"/>
      </w:pPr>
      <w:r>
        <w:lastRenderedPageBreak/>
        <w:t>1NC – Case</w:t>
      </w:r>
    </w:p>
    <w:p w14:paraId="43F40625" w14:textId="77777777" w:rsidR="002455C4" w:rsidRPr="00F601E6" w:rsidRDefault="002455C4" w:rsidP="00F601E6"/>
    <w:sectPr w:rsidR="002455C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4665"/>
    <w:rsid w:val="000029E3"/>
    <w:rsid w:val="000029E8"/>
    <w:rsid w:val="00004225"/>
    <w:rsid w:val="000066CA"/>
    <w:rsid w:val="00007264"/>
    <w:rsid w:val="000076A9"/>
    <w:rsid w:val="00014FAD"/>
    <w:rsid w:val="00015D2A"/>
    <w:rsid w:val="0001751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FBF"/>
    <w:rsid w:val="002343FE"/>
    <w:rsid w:val="00235F7B"/>
    <w:rsid w:val="002455C4"/>
    <w:rsid w:val="002502CF"/>
    <w:rsid w:val="00267EBB"/>
    <w:rsid w:val="0027023B"/>
    <w:rsid w:val="00272F3F"/>
    <w:rsid w:val="00274EDB"/>
    <w:rsid w:val="0027729E"/>
    <w:rsid w:val="00281418"/>
    <w:rsid w:val="002843B2"/>
    <w:rsid w:val="00284ED6"/>
    <w:rsid w:val="00290C5A"/>
    <w:rsid w:val="00290C92"/>
    <w:rsid w:val="0029647A"/>
    <w:rsid w:val="00296504"/>
    <w:rsid w:val="002B5511"/>
    <w:rsid w:val="002B7ACF"/>
    <w:rsid w:val="002C142F"/>
    <w:rsid w:val="002E0643"/>
    <w:rsid w:val="002E392E"/>
    <w:rsid w:val="002E6BBC"/>
    <w:rsid w:val="002F1BA9"/>
    <w:rsid w:val="002F6E74"/>
    <w:rsid w:val="0030596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1F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4258"/>
    <w:rsid w:val="00607D6C"/>
    <w:rsid w:val="0061383D"/>
    <w:rsid w:val="00614D69"/>
    <w:rsid w:val="00617030"/>
    <w:rsid w:val="00621301"/>
    <w:rsid w:val="0062173F"/>
    <w:rsid w:val="006235FB"/>
    <w:rsid w:val="00626A15"/>
    <w:rsid w:val="0063758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528"/>
    <w:rsid w:val="006F5693"/>
    <w:rsid w:val="006F5D4C"/>
    <w:rsid w:val="00704D4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23B"/>
    <w:rsid w:val="008C0FA2"/>
    <w:rsid w:val="008C2342"/>
    <w:rsid w:val="008C77B6"/>
    <w:rsid w:val="008D1B91"/>
    <w:rsid w:val="008D724A"/>
    <w:rsid w:val="008E7A3E"/>
    <w:rsid w:val="008F41FD"/>
    <w:rsid w:val="008F4479"/>
    <w:rsid w:val="008F4AE3"/>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FC7"/>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995"/>
    <w:rsid w:val="00B5602D"/>
    <w:rsid w:val="00B60125"/>
    <w:rsid w:val="00B6394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B1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3A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B5F"/>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665"/>
    <w:rsid w:val="00F277AA"/>
    <w:rsid w:val="00F31955"/>
    <w:rsid w:val="00F34C06"/>
    <w:rsid w:val="00F43EA3"/>
    <w:rsid w:val="00F50C55"/>
    <w:rsid w:val="00F57FFB"/>
    <w:rsid w:val="00F601E6"/>
    <w:rsid w:val="00F60C7D"/>
    <w:rsid w:val="00F73954"/>
    <w:rsid w:val="00F80A5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81DAA"/>
  <w14:defaultImageDpi w14:val="300"/>
  <w15:docId w15:val="{69315FC6-1C2B-694F-8875-288B08FA9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751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175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75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175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
    <w:unhideWhenUsed/>
    <w:qFormat/>
    <w:rsid w:val="000175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75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517"/>
  </w:style>
  <w:style w:type="character" w:customStyle="1" w:styleId="Heading1Char">
    <w:name w:val="Heading 1 Char"/>
    <w:aliases w:val="Pocket Char"/>
    <w:basedOn w:val="DefaultParagraphFont"/>
    <w:link w:val="Heading1"/>
    <w:uiPriority w:val="9"/>
    <w:rsid w:val="000175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751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1751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175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7517"/>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1"/>
    <w:qFormat/>
    <w:rsid w:val="00017517"/>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20"/>
    <w:qFormat/>
    <w:rsid w:val="0001751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17517"/>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No Spacing2 Ch"/>
    <w:basedOn w:val="DefaultParagraphFont"/>
    <w:link w:val="NoSpacing"/>
    <w:uiPriority w:val="99"/>
    <w:unhideWhenUsed/>
    <w:rsid w:val="00017517"/>
    <w:rPr>
      <w:color w:val="auto"/>
      <w:u w:val="none"/>
    </w:rPr>
  </w:style>
  <w:style w:type="paragraph" w:styleId="DocumentMap">
    <w:name w:val="Document Map"/>
    <w:basedOn w:val="Normal"/>
    <w:link w:val="DocumentMapChar"/>
    <w:uiPriority w:val="99"/>
    <w:semiHidden/>
    <w:unhideWhenUsed/>
    <w:rsid w:val="000175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7517"/>
    <w:rPr>
      <w:rFonts w:ascii="Lucida Grande" w:hAnsi="Lucida Grande" w:cs="Lucida Grande"/>
    </w:rPr>
  </w:style>
  <w:style w:type="paragraph" w:customStyle="1" w:styleId="textbold">
    <w:name w:val="text bold"/>
    <w:basedOn w:val="Normal"/>
    <w:link w:val="Emphasis"/>
    <w:autoRedefine/>
    <w:uiPriority w:val="20"/>
    <w:qFormat/>
    <w:rsid w:val="002455C4"/>
    <w:pPr>
      <w:ind w:left="720"/>
      <w:jc w:val="both"/>
    </w:pPr>
    <w:rPr>
      <w:b/>
      <w:iCs/>
      <w:sz w:val="22"/>
      <w:u w:val="single"/>
      <w:bdr w:val="single" w:sz="8" w:space="0" w:color="auto"/>
    </w:rPr>
  </w:style>
  <w:style w:type="paragraph" w:styleId="ListParagraph">
    <w:name w:val="List Paragraph"/>
    <w:basedOn w:val="Normal"/>
    <w:uiPriority w:val="34"/>
    <w:qFormat/>
    <w:rsid w:val="002455C4"/>
    <w:pPr>
      <w:ind w:left="720"/>
      <w:contextualSpacing/>
    </w:pPr>
  </w:style>
  <w:style w:type="paragraph" w:styleId="NoSpacing">
    <w:name w:val="No Spacing"/>
    <w:aliases w:val="Note Level 2,Card Format,No Spacing31,ClearFormatting,Clear,DDI Tag,Tag Title,No Spacing51,No Spacing22,card,Medium Grid 21,Debate Text,No Spacing3,No Spacing2,Read stuff,Dont use,No Spacing6,No Spacing tnr,Card,No Spacing111111,No Spacing41"/>
    <w:basedOn w:val="Heading1"/>
    <w:link w:val="Hyperlink"/>
    <w:autoRedefine/>
    <w:uiPriority w:val="99"/>
    <w:qFormat/>
    <w:rsid w:val="002455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scholarship.law.duke.edu/cgi/viewcontent.cgi?article=4710&amp;context=lc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opendemocracy.net/en/oureconomy/battle-seattle-20-years-later-its-time-revival/"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15</Pages>
  <Words>7125</Words>
  <Characters>40618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21</cp:revision>
  <dcterms:created xsi:type="dcterms:W3CDTF">2021-09-07T01:41:00Z</dcterms:created>
  <dcterms:modified xsi:type="dcterms:W3CDTF">2021-09-07T03:10:00Z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