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9642E" w14:textId="16451540" w:rsidR="004F2D74" w:rsidRDefault="004F2D74" w:rsidP="00C47A74">
      <w:pPr>
        <w:pStyle w:val="Heading1"/>
      </w:pPr>
    </w:p>
    <w:p w14:paraId="2F1D715C" w14:textId="77777777" w:rsidR="004F2D74" w:rsidRDefault="004F2D74" w:rsidP="004F2D74">
      <w:pPr>
        <w:pStyle w:val="Heading4"/>
      </w:pPr>
      <w:r>
        <w:t>No terror threat – assumes their groups</w:t>
      </w:r>
    </w:p>
    <w:p w14:paraId="17929FA1" w14:textId="77777777" w:rsidR="004F2D74" w:rsidRDefault="004F2D74" w:rsidP="004F2D74">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6F02A8B8" w14:textId="77777777" w:rsidR="004F2D74" w:rsidRDefault="004F2D74" w:rsidP="004F2D74">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540F94C0" w14:textId="77777777" w:rsidR="004F2D74" w:rsidRDefault="004F2D74" w:rsidP="004F2D74">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74CA77F7" w14:textId="77777777" w:rsidR="004F2D74" w:rsidRDefault="004F2D74" w:rsidP="004F2D74">
      <w:r w:rsidRPr="003877A5">
        <w:rPr>
          <w:rStyle w:val="StyleUnderline"/>
        </w:rPr>
        <w:t>There was great alarm</w:t>
      </w:r>
      <w:r>
        <w:t xml:space="preserve">, of course, </w:t>
      </w:r>
      <w:r w:rsidRPr="003877A5">
        <w:rPr>
          <w:rStyle w:val="StyleUnderline"/>
        </w:rPr>
        <w:t>in the wake of 9/11</w:t>
      </w:r>
      <w:r>
        <w:t>, when the intelligence community was certain that an even more destructive “second-wave” attack was imminent and when it informed reporters that between 2,000 and 5,000 trained al-Qaeda operatives were on the loose in the United States.</w:t>
      </w:r>
    </w:p>
    <w:p w14:paraId="1669465B" w14:textId="77777777" w:rsidR="004F2D74" w:rsidRDefault="004F2D74" w:rsidP="004F2D74">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5FBCBBD7" w14:textId="77777777" w:rsidR="004F2D74" w:rsidRDefault="004F2D74" w:rsidP="004F2D74">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667F1C71" w14:textId="77777777" w:rsidR="004F2D74" w:rsidRDefault="004F2D74" w:rsidP="004F2D74">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35730620" w14:textId="77777777" w:rsidR="004F2D74" w:rsidRDefault="004F2D74" w:rsidP="004F2D74">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14:paraId="18BEC2C2" w14:textId="77777777" w:rsidR="004F2D74" w:rsidRDefault="004F2D74" w:rsidP="004F2D74">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69424ABD" w14:textId="77777777" w:rsidR="004F2D74" w:rsidRDefault="004F2D74" w:rsidP="004F2D74">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2F3A32B1" w14:textId="77777777" w:rsidR="004F2D74" w:rsidRDefault="004F2D74" w:rsidP="004F2D74">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66B777B5" w14:textId="77777777" w:rsidR="004F2D74" w:rsidRDefault="004F2D74" w:rsidP="004F2D74">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but this is likely to 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14:paraId="27783891" w14:textId="77777777" w:rsidR="004F2D74" w:rsidRDefault="004F2D74" w:rsidP="004F2D74">
      <w:r>
        <w:t xml:space="preserve">There has also been a trendy concern about the way ISIL recruits using social media. However, as several analysts have pointed out, </w:t>
      </w:r>
      <w:r w:rsidRPr="003E24EE">
        <w:rPr>
          <w:rStyle w:val="StyleUnderline"/>
        </w:rPr>
        <w:t>the foolish willingness of would-be terrorists to spill their aspirations and their often childish fantasies on social media has been, on balance, much to the advantage of the law enforcement officials seeking to track them.</w:t>
      </w:r>
    </w:p>
    <w:p w14:paraId="4A1ED609" w14:textId="77777777" w:rsidR="004F2D74" w:rsidRDefault="004F2D74" w:rsidP="004F2D74">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14:paraId="1C05FC6D" w14:textId="77777777" w:rsidR="004F2D74" w:rsidRDefault="004F2D74" w:rsidP="004F2D74">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14:paraId="2CB19D51" w14:textId="77777777" w:rsidR="004F2D74" w:rsidRDefault="004F2D74" w:rsidP="004F2D74">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14:paraId="34ECFD59" w14:textId="77777777" w:rsidR="004F2D74" w:rsidRPr="00C8340B" w:rsidRDefault="004F2D74" w:rsidP="004F2D74"/>
    <w:p w14:paraId="734CF83C" w14:textId="77777777" w:rsidR="004F2D74" w:rsidRPr="004F2D74" w:rsidRDefault="004F2D74" w:rsidP="004F2D74"/>
    <w:p w14:paraId="338483F0" w14:textId="6F9C06AF" w:rsidR="00C47A74" w:rsidRDefault="00C47A74" w:rsidP="00C47A74">
      <w:pPr>
        <w:pStyle w:val="Heading1"/>
      </w:pPr>
      <w:r>
        <w:t>1NC vs Harker S</w:t>
      </w:r>
      <w:r>
        <w:t>Y</w:t>
      </w:r>
    </w:p>
    <w:p w14:paraId="559AAE3D" w14:textId="564AA444" w:rsidR="00C47A74" w:rsidRDefault="00A3622E" w:rsidP="00C47A74">
      <w:pPr>
        <w:pStyle w:val="Heading3"/>
      </w:pPr>
      <w:r>
        <w:t>3</w:t>
      </w:r>
      <w:r w:rsidR="00C47A74">
        <w:t>1NC – Off</w:t>
      </w:r>
    </w:p>
    <w:p w14:paraId="2A1B45D5" w14:textId="77777777" w:rsidR="00C47A74" w:rsidRPr="009811A7" w:rsidRDefault="00C47A74" w:rsidP="00C47A74">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aff may not defend that </w:t>
      </w:r>
      <w:r>
        <w:rPr>
          <w:rFonts w:cs="Calibri"/>
        </w:rPr>
        <w:t xml:space="preserve">a subset of appropriation is unjust. </w:t>
      </w:r>
    </w:p>
    <w:p w14:paraId="7352D6E4" w14:textId="77777777" w:rsidR="00C47A74" w:rsidRPr="009811A7" w:rsidRDefault="00C47A74" w:rsidP="00C47A74">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4C0AD2DA" w14:textId="77777777" w:rsidR="00C47A74" w:rsidRPr="009811A7" w:rsidRDefault="00C47A74" w:rsidP="00C47A74">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647CFEF" w14:textId="77777777" w:rsidR="00C47A74" w:rsidRPr="009811A7" w:rsidRDefault="00C47A74" w:rsidP="00C47A74">
      <w:pPr>
        <w:rPr>
          <w:sz w:val="12"/>
        </w:rPr>
      </w:pPr>
    </w:p>
    <w:p w14:paraId="1C00DC64" w14:textId="77777777" w:rsidR="00C47A74" w:rsidRPr="009811A7" w:rsidRDefault="00C47A74" w:rsidP="00C47A74">
      <w:pPr>
        <w:pStyle w:val="Heading4"/>
        <w:rPr>
          <w:rFonts w:cs="Calibri"/>
        </w:rPr>
      </w:pPr>
      <w:r w:rsidRPr="009811A7">
        <w:rPr>
          <w:rFonts w:cs="Calibri"/>
        </w:rPr>
        <w:t xml:space="preserve">It applies to </w:t>
      </w:r>
      <w:r>
        <w:rPr>
          <w:rFonts w:cs="Calibri"/>
        </w:rPr>
        <w:t>appropriation</w:t>
      </w:r>
      <w:r w:rsidRPr="009811A7">
        <w:rPr>
          <w:rFonts w:cs="Calibri"/>
        </w:rPr>
        <w:t>:</w:t>
      </w:r>
    </w:p>
    <w:p w14:paraId="6813B6A0" w14:textId="77777777" w:rsidR="00C47A74" w:rsidRPr="009811A7" w:rsidRDefault="00C47A74" w:rsidP="00C47A74">
      <w:pPr>
        <w:pStyle w:val="Heading4"/>
        <w:numPr>
          <w:ilvl w:val="0"/>
          <w:numId w:val="15"/>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57521135" w14:textId="77777777" w:rsidR="00C47A74" w:rsidRDefault="00C47A74" w:rsidP="00C47A74">
      <w:pPr>
        <w:pStyle w:val="Heading4"/>
        <w:numPr>
          <w:ilvl w:val="0"/>
          <w:numId w:val="15"/>
        </w:numPr>
        <w:tabs>
          <w:tab w:val="num" w:pos="360"/>
        </w:tabs>
        <w:ind w:left="360"/>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026B0C7A" w14:textId="77777777" w:rsidR="00C47A74" w:rsidRPr="009811A7" w:rsidRDefault="00C47A74" w:rsidP="00C47A74"/>
    <w:p w14:paraId="5FCA5F36" w14:textId="77777777" w:rsidR="00C47A74" w:rsidRDefault="00C47A74" w:rsidP="00C47A74">
      <w:pPr>
        <w:pStyle w:val="Heading4"/>
        <w:rPr>
          <w:rFonts w:cs="Calibri"/>
        </w:rPr>
      </w:pPr>
      <w:r w:rsidRPr="009811A7">
        <w:rPr>
          <w:rFonts w:cs="Calibri"/>
        </w:rPr>
        <w:t>V</w:t>
      </w:r>
      <w:r>
        <w:rPr>
          <w:rFonts w:cs="Calibri"/>
        </w:rPr>
        <w:t>iolation: they defend appropriation in the PRC – host of other actors like the US, India, Russia, plus individual companies and permutations</w:t>
      </w:r>
    </w:p>
    <w:p w14:paraId="71B391FA" w14:textId="77777777" w:rsidR="00C47A74" w:rsidRPr="009811A7" w:rsidRDefault="00C47A74" w:rsidP="00C47A74">
      <w:pPr>
        <w:pStyle w:val="Heading4"/>
        <w:rPr>
          <w:rFonts w:cs="Calibri"/>
        </w:rPr>
      </w:pPr>
      <w:r>
        <w:rPr>
          <w:rFonts w:cs="Calibri"/>
        </w:rPr>
        <w:t>V</w:t>
      </w:r>
      <w:r w:rsidRPr="009811A7">
        <w:rPr>
          <w:rFonts w:cs="Calibri"/>
        </w:rPr>
        <w:t>ote neg:</w:t>
      </w:r>
    </w:p>
    <w:p w14:paraId="10F4223A" w14:textId="77777777" w:rsidR="00C47A74" w:rsidRPr="009811A7" w:rsidRDefault="00C47A74" w:rsidP="00C47A74">
      <w:pPr>
        <w:pStyle w:val="Heading4"/>
        <w:numPr>
          <w:ilvl w:val="0"/>
          <w:numId w:val="16"/>
        </w:numPr>
        <w:tabs>
          <w:tab w:val="num" w:pos="720"/>
        </w:tabs>
        <w:rPr>
          <w:rFonts w:cs="Calibri"/>
        </w:rPr>
      </w:pPr>
      <w:r w:rsidRPr="009811A7">
        <w:rPr>
          <w:rFonts w:cs="Calibri"/>
        </w:rPr>
        <w:t>Semantics o</w:t>
      </w:r>
      <w:r w:rsidRPr="009811A7">
        <w:rPr>
          <w:rFonts w:eastAsia="MS Gothic" w:cs="Calibri"/>
        </w:rPr>
        <w:t>utweigh:</w:t>
      </w:r>
    </w:p>
    <w:p w14:paraId="00D1CF09" w14:textId="33D30EB4" w:rsidR="00C47A74" w:rsidRPr="009811A7" w:rsidRDefault="00C47A74" w:rsidP="00C47A74">
      <w:pPr>
        <w:pStyle w:val="Heading4"/>
        <w:numPr>
          <w:ilvl w:val="1"/>
          <w:numId w:val="16"/>
        </w:numPr>
        <w:tabs>
          <w:tab w:val="num" w:pos="720"/>
        </w:tabs>
        <w:ind w:left="720"/>
        <w:rPr>
          <w:rFonts w:cs="Calibri"/>
        </w:rPr>
      </w:pPr>
      <w:r w:rsidRPr="009811A7">
        <w:rPr>
          <w:rFonts w:cs="Calibri"/>
        </w:rPr>
        <w:t>T is a rule of the activity and a basic aff burden – they agreed to debate the topic when they came here</w:t>
      </w:r>
    </w:p>
    <w:p w14:paraId="0C003615" w14:textId="77777777" w:rsidR="00C47A74" w:rsidRPr="009811A7" w:rsidRDefault="00C47A74" w:rsidP="00C47A74">
      <w:pPr>
        <w:pStyle w:val="Heading4"/>
        <w:numPr>
          <w:ilvl w:val="1"/>
          <w:numId w:val="16"/>
        </w:numPr>
        <w:tabs>
          <w:tab w:val="num" w:pos="720"/>
        </w:tabs>
        <w:ind w:left="720"/>
        <w:rPr>
          <w:rFonts w:cs="Calibri"/>
        </w:rPr>
      </w:pPr>
      <w:r w:rsidRPr="009811A7">
        <w:rPr>
          <w:rFonts w:cs="Calibri"/>
        </w:rPr>
        <w:t>Jurisdiction – you can’t vote aff if they haven’t affirmed the resolution</w:t>
      </w:r>
    </w:p>
    <w:p w14:paraId="7F2784BD" w14:textId="77777777" w:rsidR="00C47A74" w:rsidRDefault="00C47A74" w:rsidP="00C47A74">
      <w:pPr>
        <w:pStyle w:val="Heading4"/>
        <w:numPr>
          <w:ilvl w:val="1"/>
          <w:numId w:val="16"/>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2A1C4C72" w14:textId="77777777" w:rsidR="00C47A74" w:rsidRPr="009811A7" w:rsidRDefault="00C47A74" w:rsidP="00C47A74"/>
    <w:p w14:paraId="1AAD845D" w14:textId="77777777" w:rsidR="00C47A74" w:rsidRPr="00EC66C6" w:rsidRDefault="00C47A74" w:rsidP="00C47A74">
      <w:pPr>
        <w:pStyle w:val="Heading4"/>
        <w:numPr>
          <w:ilvl w:val="0"/>
          <w:numId w:val="16"/>
        </w:numPr>
        <w:tabs>
          <w:tab w:val="num" w:pos="720"/>
        </w:tabs>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14:paraId="0DBB9A30" w14:textId="77777777" w:rsidR="00C47A74" w:rsidRDefault="00C47A74" w:rsidP="00C47A74">
      <w:pPr>
        <w:pStyle w:val="Heading4"/>
        <w:numPr>
          <w:ilvl w:val="0"/>
          <w:numId w:val="16"/>
        </w:numPr>
        <w:tabs>
          <w:tab w:val="num" w:pos="720"/>
        </w:tabs>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across the board </w:t>
      </w:r>
      <w:r w:rsidRPr="009811A7">
        <w:rPr>
          <w:rFonts w:cs="Calibri"/>
        </w:rPr>
        <w:t>– also means there is no universal DA to spec affs</w:t>
      </w:r>
    </w:p>
    <w:p w14:paraId="7116D1F7" w14:textId="77777777" w:rsidR="00C47A74" w:rsidRPr="009811A7" w:rsidRDefault="00C47A74" w:rsidP="00C47A74"/>
    <w:p w14:paraId="1381E938" w14:textId="77777777" w:rsidR="00C47A74" w:rsidRPr="009811A7" w:rsidRDefault="00C47A74" w:rsidP="00C47A74">
      <w:pPr>
        <w:pStyle w:val="Heading4"/>
        <w:numPr>
          <w:ilvl w:val="0"/>
          <w:numId w:val="16"/>
        </w:numPr>
        <w:tabs>
          <w:tab w:val="num" w:pos="720"/>
        </w:tabs>
        <w:rPr>
          <w:rFonts w:cs="Calibri"/>
        </w:rPr>
      </w:pPr>
      <w:r w:rsidRPr="009811A7">
        <w:rPr>
          <w:rFonts w:cs="Calibri"/>
        </w:rPr>
        <w:t>TVA solves – read as an advantage to whole rez</w:t>
      </w:r>
    </w:p>
    <w:p w14:paraId="79DCBFD0" w14:textId="77777777" w:rsidR="00C47A74" w:rsidRPr="009811A7" w:rsidRDefault="00C47A74" w:rsidP="00C47A74"/>
    <w:p w14:paraId="24B790CA" w14:textId="77777777" w:rsidR="00C47A74" w:rsidRPr="009811A7" w:rsidRDefault="00C47A74" w:rsidP="00C47A74">
      <w:pPr>
        <w:pStyle w:val="Heading4"/>
        <w:rPr>
          <w:rFonts w:cs="Calibri"/>
        </w:rPr>
      </w:pPr>
      <w:r w:rsidRPr="009811A7">
        <w:rPr>
          <w:rFonts w:cs="Calibri"/>
        </w:rPr>
        <w:t>Paradigm issues:</w:t>
      </w:r>
    </w:p>
    <w:p w14:paraId="313A6389" w14:textId="77777777" w:rsidR="00C47A74" w:rsidRPr="009811A7" w:rsidRDefault="00C47A74" w:rsidP="00C47A74">
      <w:pPr>
        <w:pStyle w:val="Heading4"/>
        <w:numPr>
          <w:ilvl w:val="0"/>
          <w:numId w:val="17"/>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2809438E" w14:textId="77777777" w:rsidR="00C47A74" w:rsidRPr="009811A7" w:rsidRDefault="00C47A74" w:rsidP="00C47A74">
      <w:pPr>
        <w:pStyle w:val="Heading4"/>
        <w:numPr>
          <w:ilvl w:val="0"/>
          <w:numId w:val="17"/>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p>
    <w:p w14:paraId="06716EB0" w14:textId="77777777" w:rsidR="00C47A74" w:rsidRPr="009811A7" w:rsidRDefault="00C47A74" w:rsidP="00C47A74">
      <w:pPr>
        <w:pStyle w:val="Heading4"/>
        <w:numPr>
          <w:ilvl w:val="0"/>
          <w:numId w:val="17"/>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397E78B" w14:textId="72F2E16A" w:rsidR="00C47A74" w:rsidRPr="00C47A74" w:rsidRDefault="00C47A74" w:rsidP="00C47A74">
      <w:pPr>
        <w:pStyle w:val="Heading4"/>
        <w:numPr>
          <w:ilvl w:val="0"/>
          <w:numId w:val="17"/>
        </w:numPr>
        <w:tabs>
          <w:tab w:val="num" w:pos="360"/>
          <w:tab w:val="num" w:pos="1080"/>
        </w:tabs>
        <w:ind w:left="0" w:firstLine="0"/>
        <w:rPr>
          <w:rFonts w:cs="Calibri"/>
        </w:rPr>
      </w:pPr>
      <w:r w:rsidRPr="009811A7">
        <w:rPr>
          <w:rFonts w:cs="Calibri"/>
        </w:rPr>
        <w:t>Education is a voter – why schools fund debate</w:t>
      </w:r>
    </w:p>
    <w:p w14:paraId="7DC653A5" w14:textId="2AADAB78" w:rsidR="00C47A74" w:rsidRDefault="00C47A74" w:rsidP="00C47A74">
      <w:pPr>
        <w:pStyle w:val="Heading3"/>
      </w:pPr>
      <w:r w:rsidRPr="00392359">
        <w:t>1</w:t>
      </w:r>
      <w:r>
        <w:t>NC – Off</w:t>
      </w:r>
    </w:p>
    <w:p w14:paraId="3C83C964" w14:textId="77777777" w:rsidR="00C47A74" w:rsidRPr="00392359" w:rsidRDefault="00C47A74" w:rsidP="00C47A74">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26D1E343" w14:textId="77777777" w:rsidR="00C47A74" w:rsidRPr="00392359" w:rsidRDefault="00C47A74" w:rsidP="00C47A74">
      <w:pPr>
        <w:rPr>
          <w:bCs/>
        </w:rPr>
      </w:pPr>
      <w:r w:rsidRPr="00392359">
        <w:rPr>
          <w:bCs/>
        </w:rPr>
        <w:t>“I don’t know if it’s one, two or three weeks,” European Union foreign policy chief Josep Borrell said this week during a visit to Washington. But the latest round of meetings in Vienna, he said, are “certainly the last steps.”</w:t>
      </w:r>
    </w:p>
    <w:p w14:paraId="5D084453" w14:textId="77777777" w:rsidR="00C47A74" w:rsidRPr="00392359" w:rsidRDefault="00C47A74" w:rsidP="00C47A74">
      <w:r w:rsidRPr="00392359">
        <w:t>While there is general agreement that negotiations are reaching an end state, opinions differ widely on the likely outcome.</w:t>
      </w:r>
    </w:p>
    <w:p w14:paraId="21320CD4" w14:textId="77777777" w:rsidR="00C47A74" w:rsidRPr="00392359" w:rsidRDefault="00C47A74" w:rsidP="00C47A74">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Kommersant,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1822F157" w14:textId="77777777" w:rsidR="00C47A74" w:rsidRPr="00392359" w:rsidRDefault="00C47A74" w:rsidP="00C47A74">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0F9165A8" w14:textId="77777777" w:rsidR="00C47A74" w:rsidRPr="00392359" w:rsidRDefault="00C47A74" w:rsidP="00C47A74"/>
    <w:p w14:paraId="57F5A9B5" w14:textId="77777777" w:rsidR="00C47A74" w:rsidRPr="00392359" w:rsidRDefault="00C47A74" w:rsidP="00C47A74">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067C7021" w14:textId="77777777" w:rsidR="00C47A74" w:rsidRPr="00392359" w:rsidRDefault="00C47A74" w:rsidP="00C47A74">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6EE660A0" w14:textId="77777777" w:rsidR="00C47A74" w:rsidRPr="00392359" w:rsidRDefault="00C47A74" w:rsidP="00C47A74">
      <w:pPr>
        <w:rPr>
          <w:rStyle w:val="Style13ptBold"/>
          <w:b w:val="0"/>
          <w:sz w:val="16"/>
        </w:rPr>
      </w:pPr>
      <w:r w:rsidRPr="00392359">
        <w:t> *The plan is legislated in the AVC (same bureau of the State Department that’s concerned with the JCPOA)</w:t>
      </w:r>
    </w:p>
    <w:p w14:paraId="1715D4A3" w14:textId="77777777" w:rsidR="00C47A74" w:rsidRPr="00392359" w:rsidRDefault="00C47A74" w:rsidP="00C47A74">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3B8B2417" w14:textId="77777777" w:rsidR="00C47A74" w:rsidRPr="00392359" w:rsidRDefault="00C47A74" w:rsidP="00C47A74">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63F46D01" w14:textId="77777777" w:rsidR="00C47A74" w:rsidRPr="00392359" w:rsidRDefault="00C47A74" w:rsidP="00C47A74">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3306B9B9" w14:textId="77777777" w:rsidR="00C47A74" w:rsidRPr="00392359" w:rsidRDefault="00C47A74" w:rsidP="00C47A74">
      <w:r w:rsidRPr="00392359">
        <w:t xml:space="preserve">• </w:t>
      </w:r>
      <w:r w:rsidRPr="00392359">
        <w:rPr>
          <w:rStyle w:val="StyleUnderline"/>
        </w:rPr>
        <w:t>Develop policy and strategy for a domain that is increasingly congested, competitive, and contested</w:t>
      </w:r>
    </w:p>
    <w:p w14:paraId="240FB970" w14:textId="77777777" w:rsidR="00C47A74" w:rsidRPr="00392359" w:rsidRDefault="00C47A74" w:rsidP="00C47A74">
      <w:pPr>
        <w:rPr>
          <w:sz w:val="12"/>
          <w:szCs w:val="12"/>
        </w:rPr>
      </w:pPr>
      <w:r w:rsidRPr="00392359">
        <w:rPr>
          <w:sz w:val="12"/>
          <w:szCs w:val="12"/>
        </w:rPr>
        <w:t>• Implement across DoD — plans, programs, doctrine, operations — and with the IC and other agencies</w:t>
      </w:r>
    </w:p>
    <w:p w14:paraId="0A49BF41" w14:textId="77777777" w:rsidR="00C47A74" w:rsidRPr="00392359" w:rsidRDefault="00C47A74" w:rsidP="00C47A74">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4A3AD19E" w14:textId="77777777" w:rsidR="00C47A74" w:rsidRPr="00392359" w:rsidRDefault="00C47A74" w:rsidP="00C47A74">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4D886C4B" w14:textId="77777777" w:rsidR="00C47A74" w:rsidRPr="00392359" w:rsidRDefault="00C47A74" w:rsidP="00C47A74">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5AF678B" w14:textId="77777777" w:rsidR="00C47A74" w:rsidRPr="00392359" w:rsidRDefault="00C47A74" w:rsidP="00C47A74">
      <w:pPr>
        <w:pStyle w:val="Heading4"/>
        <w:rPr>
          <w:rFonts w:cs="Calibri"/>
        </w:rPr>
      </w:pPr>
      <w:r w:rsidRPr="00392359">
        <w:rPr>
          <w:rFonts w:cs="Calibri"/>
        </w:rPr>
        <w:t>Iranian proliferation goes nuclear – causes regional war and spurs proliferation cascades across the Middle East</w:t>
      </w:r>
    </w:p>
    <w:p w14:paraId="3524015C" w14:textId="77777777" w:rsidR="00C47A74" w:rsidRPr="00392359" w:rsidRDefault="00C47A74" w:rsidP="00C47A74">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4154F34C" w14:textId="77777777" w:rsidR="00C47A74" w:rsidRPr="00392359" w:rsidRDefault="00C47A74" w:rsidP="00C47A74">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73069262" w14:textId="77777777" w:rsidR="00C47A74" w:rsidRPr="00392359" w:rsidRDefault="00C47A74" w:rsidP="00C47A74">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5E2AA965" w14:textId="77777777" w:rsidR="00C47A74" w:rsidRPr="00392359" w:rsidRDefault="00C47A74" w:rsidP="00C47A74">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25B161D5" w14:textId="77777777" w:rsidR="00C47A74" w:rsidRPr="00392359" w:rsidRDefault="00C47A74" w:rsidP="00C47A74">
      <w:pPr>
        <w:rPr>
          <w:szCs w:val="16"/>
        </w:rPr>
      </w:pPr>
      <w:r w:rsidRPr="00392359">
        <w:rPr>
          <w:szCs w:val="16"/>
        </w:rPr>
        <w:t>A half-decade delay isn’t optimal, however, when the goal is achieving nuclear deterrence quickly. Thus, there is the so-called Islamabad option.</w:t>
      </w:r>
    </w:p>
    <w:p w14:paraId="2102EF90" w14:textId="77777777" w:rsidR="00C47A74" w:rsidRPr="00392359" w:rsidRDefault="00C47A74" w:rsidP="00C47A74">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08AD3039" w14:textId="77777777" w:rsidR="00C47A74" w:rsidRPr="00392359" w:rsidRDefault="00C47A74" w:rsidP="00C47A74">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71FA410" w14:textId="77777777" w:rsidR="00C47A74" w:rsidRPr="00392359" w:rsidRDefault="00C47A74" w:rsidP="00C47A74">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13E60435" w14:textId="77777777" w:rsidR="00C47A74" w:rsidRPr="00392359" w:rsidRDefault="00C47A74" w:rsidP="00C47A74"/>
    <w:p w14:paraId="7A3C2B9C" w14:textId="77777777" w:rsidR="00C47A74" w:rsidRPr="00392359" w:rsidRDefault="00C47A74" w:rsidP="00C47A74">
      <w:pPr>
        <w:pStyle w:val="Heading4"/>
        <w:rPr>
          <w:rFonts w:cs="Calibri"/>
        </w:rPr>
      </w:pPr>
      <w:r w:rsidRPr="00392359">
        <w:rPr>
          <w:rFonts w:cs="Calibri"/>
        </w:rPr>
        <w:t>Prolif cascades undermine deterrence and cause nuclear war – this is predictive of what a multi-nuclear Middle East would look like</w:t>
      </w:r>
    </w:p>
    <w:p w14:paraId="7161EF03" w14:textId="77777777" w:rsidR="00C47A74" w:rsidRPr="00392359" w:rsidRDefault="00C47A74" w:rsidP="00C47A74">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551B434B" w14:textId="77777777" w:rsidR="00C47A74" w:rsidRPr="00392359" w:rsidRDefault="00C47A74" w:rsidP="00C47A74">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11F1822B" w14:textId="77777777" w:rsidR="00C47A74" w:rsidRPr="00392359" w:rsidRDefault="00C47A74" w:rsidP="00C47A74">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791B7100" w14:textId="77777777" w:rsidR="00C47A74" w:rsidRPr="00392359" w:rsidRDefault="00C47A74" w:rsidP="00C47A74">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2CCB14D9" w14:textId="77777777" w:rsidR="00C47A74" w:rsidRPr="00392359" w:rsidRDefault="00C47A74" w:rsidP="00C47A74">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05EB8873" w14:textId="77777777" w:rsidR="00C47A74" w:rsidRPr="00392359" w:rsidRDefault="00C47A74" w:rsidP="00C47A74">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37DE5F6C" w14:textId="77777777" w:rsidR="00C47A74" w:rsidRPr="00392359" w:rsidRDefault="00C47A74" w:rsidP="00C47A74">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68FF7C30" w14:textId="77777777" w:rsidR="00C47A74" w:rsidRPr="00392359" w:rsidRDefault="00C47A74" w:rsidP="00C47A74">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2131E11B" w14:textId="238E79CD" w:rsidR="00C47A74" w:rsidRDefault="00C47A74" w:rsidP="00C47A74">
      <w:pPr>
        <w:pStyle w:val="Heading3"/>
      </w:pPr>
      <w:r>
        <w:t>1NC – </w:t>
      </w:r>
      <w:r w:rsidR="00E87E95">
        <w:t>Off</w:t>
      </w:r>
    </w:p>
    <w:p w14:paraId="119587D4" w14:textId="77777777" w:rsidR="00C47A74" w:rsidRPr="0074704C" w:rsidRDefault="00C47A74" w:rsidP="00C47A74">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0887A47" w14:textId="77777777" w:rsidR="00C47A74" w:rsidRPr="004D6836" w:rsidRDefault="00C47A74" w:rsidP="00C47A74">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7EC7BA59" w14:textId="77777777" w:rsidR="00C47A74" w:rsidRPr="00114552" w:rsidRDefault="00C47A74" w:rsidP="00C47A74">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4F44F040" w14:textId="77777777" w:rsidR="00C47A74" w:rsidRPr="00114552" w:rsidRDefault="00C47A74" w:rsidP="00C47A74">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22C1B446" w14:textId="77777777" w:rsidR="00C47A74" w:rsidRPr="00114552" w:rsidRDefault="00C47A74" w:rsidP="00C47A74">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C2D9FEB" w14:textId="77777777" w:rsidR="00C47A74" w:rsidRPr="00114552" w:rsidRDefault="00C47A74" w:rsidP="00C47A74">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7D5CE6F0" w14:textId="77777777" w:rsidR="00C47A74" w:rsidRPr="00114552" w:rsidRDefault="00C47A74" w:rsidP="00C47A74">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0148D08" w14:textId="77777777" w:rsidR="00C47A74" w:rsidRPr="00114552" w:rsidRDefault="00C47A74" w:rsidP="00C47A74">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5F7351E2" w14:textId="77777777" w:rsidR="00C47A74" w:rsidRPr="00114552" w:rsidRDefault="00C47A74" w:rsidP="00C47A74">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66192D2E" w14:textId="77777777" w:rsidR="00C47A74" w:rsidRPr="00114552" w:rsidRDefault="00C47A74" w:rsidP="00C47A74">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6EE734FF" w14:textId="77777777" w:rsidR="00C47A74" w:rsidRPr="00114552" w:rsidRDefault="00C47A74" w:rsidP="00C47A74">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6E8FB12" w14:textId="77777777" w:rsidR="00C47A74" w:rsidRPr="00114552" w:rsidRDefault="00C47A74" w:rsidP="00C47A74">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2F4B2B0" w14:textId="77777777" w:rsidR="00C47A74" w:rsidRPr="00114552" w:rsidRDefault="00C47A74" w:rsidP="00C47A74">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2077D8EA" w14:textId="77777777" w:rsidR="00C47A74" w:rsidRPr="00114552" w:rsidRDefault="00C47A74" w:rsidP="00C47A74">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0C94DB8" w14:textId="77777777" w:rsidR="00C47A74" w:rsidRPr="00114552" w:rsidRDefault="00C47A74" w:rsidP="00C47A74">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5B754FA" w14:textId="77777777" w:rsidR="00C47A74" w:rsidRPr="00114552" w:rsidRDefault="00C47A74" w:rsidP="00C47A74">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5543B916" w14:textId="77777777" w:rsidR="00C47A74" w:rsidRPr="00114552" w:rsidRDefault="00C47A74" w:rsidP="00C47A74">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22058A9" w14:textId="77777777" w:rsidR="00C47A74" w:rsidRPr="00114552" w:rsidRDefault="00C47A74" w:rsidP="00C47A74"/>
    <w:p w14:paraId="4DF612CD" w14:textId="77777777" w:rsidR="00C47A74" w:rsidRPr="00114552" w:rsidRDefault="00C47A74" w:rsidP="00C47A74"/>
    <w:p w14:paraId="743C2048" w14:textId="77777777" w:rsidR="00C47A74" w:rsidRDefault="00C47A74" w:rsidP="00C47A74">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41AF53E1" w14:textId="77777777" w:rsidR="00C47A74" w:rsidRPr="00C460B7" w:rsidRDefault="00C47A74" w:rsidP="00C47A74">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E31C3F7" w14:textId="77777777" w:rsidR="00C47A74" w:rsidRPr="00C460B7" w:rsidRDefault="00C47A74" w:rsidP="00C47A74">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637C3C7" w14:textId="77777777" w:rsidR="00C47A74" w:rsidRPr="00C460B7" w:rsidRDefault="00C47A74" w:rsidP="00C47A74">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345E9C9C" w14:textId="77777777" w:rsidR="00C47A74" w:rsidRPr="00C460B7" w:rsidRDefault="00C47A74" w:rsidP="00C47A74">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CAAD50E" w14:textId="77777777" w:rsidR="00C47A74" w:rsidRPr="00C460B7" w:rsidRDefault="00C47A74" w:rsidP="00C47A74">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0BC3F65" w14:textId="77777777" w:rsidR="00C47A74" w:rsidRPr="00C460B7" w:rsidRDefault="00C47A74" w:rsidP="00C47A74">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0D8E034" w14:textId="77777777" w:rsidR="00C47A74" w:rsidRPr="00C460B7" w:rsidRDefault="00C47A74" w:rsidP="00C47A74">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5B1E14EA" w14:textId="77777777" w:rsidR="00C47A74" w:rsidRPr="00C460B7" w:rsidRDefault="00C47A74" w:rsidP="00C47A74">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C152FAC" w14:textId="77777777" w:rsidR="00C47A74" w:rsidRPr="00C460B7" w:rsidRDefault="00C47A74" w:rsidP="00C47A74">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3D2AB15" w14:textId="77777777" w:rsidR="00C47A74" w:rsidRPr="00C460B7" w:rsidRDefault="00C47A74" w:rsidP="00C47A74">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3FA170E" w14:textId="77777777" w:rsidR="00C47A74" w:rsidRPr="00C460B7" w:rsidRDefault="00C47A74" w:rsidP="00C47A74">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2C532012" w14:textId="77777777" w:rsidR="00C47A74" w:rsidRPr="00C460B7" w:rsidRDefault="00C47A74" w:rsidP="00C47A74">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C021DEC" w14:textId="77777777" w:rsidR="00C47A74" w:rsidRPr="00C460B7" w:rsidRDefault="00C47A74" w:rsidP="00C47A74">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8428FDF" w14:textId="77777777" w:rsidR="00C47A74" w:rsidRPr="00C460B7" w:rsidRDefault="00C47A74" w:rsidP="00C47A74">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C962D23" w14:textId="77777777" w:rsidR="00C47A74" w:rsidRDefault="00C47A74" w:rsidP="00C47A74">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84E6A5C" w14:textId="77777777" w:rsidR="00C47A74" w:rsidRDefault="00C47A74" w:rsidP="00C47A74">
      <w:pPr>
        <w:pStyle w:val="Heading3"/>
      </w:pPr>
      <w:r>
        <w:t>1NC – Off</w:t>
      </w:r>
    </w:p>
    <w:p w14:paraId="235332AD" w14:textId="77777777" w:rsidR="00C47A74" w:rsidRDefault="00C47A74" w:rsidP="00C47A74">
      <w:pPr>
        <w:pStyle w:val="Heading4"/>
      </w:pPr>
      <w:r>
        <w:t>CP: Space-faring nations should</w:t>
      </w:r>
    </w:p>
    <w:p w14:paraId="49CBD5DD" w14:textId="77777777" w:rsidR="00C47A74" w:rsidRDefault="00C47A74" w:rsidP="00C47A74">
      <w:pPr>
        <w:pStyle w:val="Heading4"/>
        <w:numPr>
          <w:ilvl w:val="0"/>
          <w:numId w:val="14"/>
        </w:numPr>
      </w:pPr>
      <w:r>
        <w:t>Establish a unified system of space traffic management modeled after the International Telecommunication Union</w:t>
      </w:r>
    </w:p>
    <w:p w14:paraId="2BD84FE9" w14:textId="77777777" w:rsidR="00C47A74" w:rsidRDefault="00C47A74" w:rsidP="00C47A74">
      <w:pPr>
        <w:pStyle w:val="Heading4"/>
        <w:numPr>
          <w:ilvl w:val="0"/>
          <w:numId w:val="14"/>
        </w:numPr>
      </w:pPr>
      <w:r>
        <w:t>Collaborate on techniques to track and display the location of objects in real time and AI to automate debris-avoidance maneuvers</w:t>
      </w:r>
    </w:p>
    <w:p w14:paraId="247E6235" w14:textId="77777777" w:rsidR="00C47A74" w:rsidRDefault="00C47A74" w:rsidP="00C47A74">
      <w:pPr>
        <w:pStyle w:val="Heading4"/>
      </w:pPr>
      <w:r>
        <w:t>The United States Federal Government should:</w:t>
      </w:r>
    </w:p>
    <w:p w14:paraId="1F8A4673" w14:textId="77777777" w:rsidR="00C47A74" w:rsidRPr="0002601D" w:rsidRDefault="00C47A74" w:rsidP="00C47A74">
      <w:pPr>
        <w:pStyle w:val="Heading4"/>
        <w:numPr>
          <w:ilvl w:val="0"/>
          <w:numId w:val="14"/>
        </w:numPr>
      </w:pPr>
      <w:r>
        <w:t>Shift responsibility for the Space-Track catalogue to the civilian Department of Commerce, allocating necessary funds</w:t>
      </w:r>
    </w:p>
    <w:p w14:paraId="16BD704A" w14:textId="77777777" w:rsidR="00C47A74" w:rsidRPr="00FD3507" w:rsidRDefault="00C47A74" w:rsidP="00C47A74">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7C89776F" w14:textId="77777777" w:rsidR="00C47A74" w:rsidRPr="00FD3507" w:rsidRDefault="00C47A74" w:rsidP="00C47A74">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40B7D223" w14:textId="77777777" w:rsidR="00C47A74" w:rsidRPr="00FD3507" w:rsidRDefault="00C47A74" w:rsidP="00C47A74">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67056972" w14:textId="77777777" w:rsidR="00C47A74" w:rsidRPr="00FD3507" w:rsidRDefault="00C47A74" w:rsidP="00C47A74">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55AB275C" w14:textId="77777777" w:rsidR="00C47A74" w:rsidRPr="00FD3507" w:rsidRDefault="00C47A74" w:rsidP="00C47A74">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211D24F" w14:textId="77777777" w:rsidR="00C47A74" w:rsidRPr="00FD3507" w:rsidRDefault="00C47A74" w:rsidP="00C47A74">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0BDEB08" w14:textId="77777777" w:rsidR="00C47A74" w:rsidRPr="00FD3507" w:rsidRDefault="00C47A74" w:rsidP="00C47A74">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30EE4C94" w14:textId="161D0B0D" w:rsidR="00C47A74" w:rsidRDefault="00C47A74" w:rsidP="00C47A74">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30C3130" w14:textId="02649982" w:rsidR="00C47A74" w:rsidRPr="00100A2B" w:rsidRDefault="005574AB" w:rsidP="00C47A74">
      <w:pPr>
        <w:pStyle w:val="Heading3"/>
        <w:ind w:firstLine="720"/>
        <w:rPr>
          <w:rFonts w:cs="Calibri"/>
        </w:rPr>
      </w:pPr>
      <w:r>
        <w:rPr>
          <w:rFonts w:cs="Calibri"/>
        </w:rPr>
        <w:t>XXX</w:t>
      </w:r>
      <w:r w:rsidR="00C47A74" w:rsidRPr="00100A2B">
        <w:rPr>
          <w:rFonts w:cs="Calibri"/>
        </w:rPr>
        <w:t xml:space="preserve">1NC – </w:t>
      </w:r>
      <w:r w:rsidR="00C47A74">
        <w:rPr>
          <w:rFonts w:cs="Calibri"/>
        </w:rPr>
        <w:t>Off</w:t>
      </w:r>
    </w:p>
    <w:p w14:paraId="25C7CBFD" w14:textId="77777777" w:rsidR="00C47A74" w:rsidRDefault="00C47A74" w:rsidP="00C47A74">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CE982AC" w14:textId="77777777" w:rsidR="00C47A74" w:rsidRPr="00020241" w:rsidRDefault="00C47A74" w:rsidP="00C47A74">
      <w:pPr>
        <w:pStyle w:val="Heading4"/>
      </w:pPr>
      <w:r>
        <w:t>Asteroids have REMs</w:t>
      </w:r>
    </w:p>
    <w:p w14:paraId="2546F18E" w14:textId="77777777" w:rsidR="00C47A74" w:rsidRPr="00020241" w:rsidRDefault="00C47A74" w:rsidP="00C47A74">
      <w:r w:rsidRPr="00020241">
        <w:rPr>
          <w:rStyle w:val="StyleUnderline"/>
        </w:rPr>
        <w:t>AP 21</w:t>
      </w:r>
      <w:r>
        <w:t xml:space="preserve"> “</w:t>
      </w:r>
      <w:r w:rsidRPr="00020241">
        <w:t>Mining A $10,000 Quadrillion Asteroid</w:t>
      </w:r>
      <w:r>
        <w:t xml:space="preserve">.” AP News, Feb 1, 2021, </w:t>
      </w:r>
      <w:hyperlink r:id="rId11" w:history="1">
        <w:r w:rsidRPr="005A1227">
          <w:rPr>
            <w:rStyle w:val="Hyperlink"/>
          </w:rPr>
          <w:t>https://apnews.com/press-release/accesswire/technology-business-science-utilities-electric-utilities-7bb32ecaac33bebef6e4b97ade588c57</w:t>
        </w:r>
      </w:hyperlink>
      <w:r>
        <w:t xml:space="preserve"> TG</w:t>
      </w:r>
    </w:p>
    <w:p w14:paraId="2DAD8BCF" w14:textId="77777777" w:rsidR="00C47A74" w:rsidRPr="00EC4199" w:rsidRDefault="00C47A74" w:rsidP="00C47A74">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75D95904" w14:textId="77777777" w:rsidR="00C47A74" w:rsidRPr="00100A2B" w:rsidRDefault="00C47A74" w:rsidP="00C47A74">
      <w:pPr>
        <w:pStyle w:val="Heading4"/>
      </w:pPr>
      <w:r w:rsidRPr="00100A2B">
        <w:t>The PIC is key to beat China and protect against Chinese REM gatekeeping</w:t>
      </w:r>
    </w:p>
    <w:p w14:paraId="2E38DFF9" w14:textId="77777777" w:rsidR="00C47A74" w:rsidRPr="00100A2B" w:rsidRDefault="00C47A74" w:rsidP="00C47A74">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6F50E20" w14:textId="77777777" w:rsidR="00C47A74" w:rsidRPr="00100A2B" w:rsidRDefault="00C47A74" w:rsidP="00C47A74">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22BC415" w14:textId="77777777" w:rsidR="00C47A74" w:rsidRPr="00100A2B" w:rsidRDefault="00C47A74" w:rsidP="00C47A74">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340E2708" w14:textId="77777777" w:rsidR="00C47A74" w:rsidRPr="00100A2B" w:rsidRDefault="00C47A74" w:rsidP="00C47A74">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1DFC29BC" w14:textId="77777777" w:rsidR="00C47A74" w:rsidRPr="00100A2B" w:rsidRDefault="00C47A74" w:rsidP="00C47A74">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DD9E43D" w14:textId="77777777" w:rsidR="00C47A74" w:rsidRPr="00100A2B" w:rsidRDefault="00C47A74" w:rsidP="00C47A74">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5B15FB49" w14:textId="77777777" w:rsidR="00C47A74" w:rsidRPr="00100A2B" w:rsidRDefault="00C47A74" w:rsidP="00C47A74">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555F48F" w14:textId="77777777" w:rsidR="00C47A74" w:rsidRPr="00100A2B" w:rsidRDefault="00C47A74" w:rsidP="00C47A74">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D94185E" w14:textId="77777777" w:rsidR="00C47A74" w:rsidRPr="00100A2B" w:rsidRDefault="00C47A74" w:rsidP="00C47A74">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577C942" w14:textId="77777777" w:rsidR="00C47A74" w:rsidRPr="00100A2B" w:rsidRDefault="00C47A74" w:rsidP="00C47A74">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4F70AD3C" w14:textId="77777777" w:rsidR="00C47A74" w:rsidRPr="00100A2B" w:rsidRDefault="00C47A74" w:rsidP="00C47A74">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0B2C2D8" w14:textId="77777777" w:rsidR="00C47A74" w:rsidRPr="00100A2B" w:rsidRDefault="00C47A74" w:rsidP="00C47A74">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54E9AF76" w14:textId="77777777" w:rsidR="00C47A74" w:rsidRPr="00100A2B" w:rsidRDefault="00C47A74" w:rsidP="00C47A74">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23FD174A" w14:textId="77777777" w:rsidR="00C47A74" w:rsidRPr="00100A2B" w:rsidRDefault="00C47A74" w:rsidP="00C47A74"/>
    <w:p w14:paraId="3F73280E" w14:textId="77777777" w:rsidR="00C47A74" w:rsidRPr="00100A2B" w:rsidRDefault="00C47A74" w:rsidP="00C47A74">
      <w:pPr>
        <w:pStyle w:val="Heading4"/>
        <w:rPr>
          <w:rFonts w:cs="Calibri"/>
        </w:rPr>
      </w:pPr>
      <w:r w:rsidRPr="00100A2B">
        <w:rPr>
          <w:rFonts w:cs="Calibri"/>
        </w:rPr>
        <w:t>REM access key to military primacy and tech advancement – alternatives fail</w:t>
      </w:r>
    </w:p>
    <w:p w14:paraId="3FD48770" w14:textId="77777777" w:rsidR="00C47A74" w:rsidRPr="00100A2B" w:rsidRDefault="00C47A74" w:rsidP="00C47A74">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575CB22C" w14:textId="77777777" w:rsidR="00C47A74" w:rsidRPr="00100A2B" w:rsidRDefault="00C47A74" w:rsidP="00C47A74">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A2C1DB3" w14:textId="77777777" w:rsidR="00C47A74" w:rsidRPr="00100A2B" w:rsidRDefault="00C47A74" w:rsidP="00C47A74">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97C1C18" w14:textId="77777777" w:rsidR="00C47A74" w:rsidRPr="00100A2B" w:rsidRDefault="00C47A74" w:rsidP="00C47A74">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194E83D0" w14:textId="77777777" w:rsidR="00C47A74" w:rsidRPr="00100A2B" w:rsidRDefault="00C47A74" w:rsidP="00C47A74">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742373CA" w14:textId="77777777" w:rsidR="00C47A74" w:rsidRPr="00100A2B" w:rsidRDefault="00C47A74" w:rsidP="00C47A74">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0F1DF330" w14:textId="77777777" w:rsidR="00C47A74" w:rsidRPr="00100A2B" w:rsidRDefault="00C47A74" w:rsidP="00C47A74">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0B073402" w14:textId="77777777" w:rsidR="00C47A74" w:rsidRPr="00100A2B" w:rsidRDefault="00C47A74" w:rsidP="00C47A74">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E62F3B7" w14:textId="77777777" w:rsidR="00C47A74" w:rsidRPr="00100A2B" w:rsidRDefault="00C47A74" w:rsidP="00C47A74">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252C75CB" w14:textId="77777777" w:rsidR="00C47A74" w:rsidRPr="00100A2B" w:rsidRDefault="00C47A74" w:rsidP="00C47A74">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35AFBD12" w14:textId="77777777" w:rsidR="00C47A74" w:rsidRPr="00100A2B" w:rsidRDefault="00C47A74" w:rsidP="00C47A74">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31F52A97" w14:textId="77777777" w:rsidR="00C47A74" w:rsidRPr="00100A2B" w:rsidRDefault="00C47A74" w:rsidP="00C47A74"/>
    <w:p w14:paraId="256FAE89" w14:textId="77777777" w:rsidR="00C47A74" w:rsidRPr="001A42E6" w:rsidRDefault="00C47A74" w:rsidP="00C47A74">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488782C7" w14:textId="77777777" w:rsidR="00C47A74" w:rsidRPr="001A42E6" w:rsidRDefault="00C47A74" w:rsidP="00C47A74">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11B0F14D"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C25C4C1"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FF9F947" w14:textId="77777777" w:rsidR="00C47A74" w:rsidRPr="001A42E6" w:rsidRDefault="00C47A74" w:rsidP="00C47A74">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3DCF87B" w14:textId="77777777" w:rsidR="00C47A74" w:rsidRPr="001A42E6" w:rsidRDefault="00C47A74" w:rsidP="00C47A74">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F353870" w14:textId="77777777" w:rsidR="00C47A74" w:rsidRPr="001A42E6" w:rsidRDefault="00C47A74" w:rsidP="00C47A74">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7C2EB8A" w14:textId="77777777" w:rsidR="00C47A74" w:rsidRPr="00711B24" w:rsidRDefault="00C47A74" w:rsidP="00C47A74">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BD2F894"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79731BD"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E5BEFC3"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809C5FC" w14:textId="77777777" w:rsidR="00C47A74" w:rsidRPr="001A42E6" w:rsidRDefault="00C47A74" w:rsidP="00C47A74">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9FD2C97"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0A460BE" w14:textId="77777777" w:rsidR="00C47A74" w:rsidRPr="00711B24" w:rsidRDefault="00C47A74" w:rsidP="00C47A74">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D20223A"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4CDF6AB" w14:textId="77777777" w:rsidR="00C47A74" w:rsidRPr="001A42E6" w:rsidRDefault="00C47A74" w:rsidP="00C47A74">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C7CD1AA" w14:textId="77777777" w:rsidR="00C47A74" w:rsidRPr="00711B24" w:rsidRDefault="00C47A74" w:rsidP="00C47A74">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B8454E7"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EB9FC5A"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013121D"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6AAC178"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FCCF7C1"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54974D1" w14:textId="77777777" w:rsidR="00C47A74" w:rsidRPr="00711B24" w:rsidRDefault="00C47A74" w:rsidP="00C47A74">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E133743" w14:textId="77777777" w:rsidR="00C47A74" w:rsidRPr="00711B24" w:rsidRDefault="00C47A74" w:rsidP="00C47A74">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23BEE29" w14:textId="77777777" w:rsidR="00C47A74" w:rsidRPr="00711B24" w:rsidRDefault="00C47A74" w:rsidP="00C47A74">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02C9F99" w14:textId="77777777" w:rsidR="00C47A74" w:rsidRPr="001A42E6" w:rsidRDefault="00C47A74" w:rsidP="00C47A74">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AF35812" w14:textId="77777777" w:rsidR="00C47A74" w:rsidRPr="001A42E6" w:rsidRDefault="00C47A74" w:rsidP="00C47A74">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48679D0" w14:textId="77777777" w:rsidR="00C47A74" w:rsidRPr="00711B24" w:rsidRDefault="00C47A74" w:rsidP="00C47A74">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5FC0F88" w14:textId="77777777" w:rsidR="00C47A74" w:rsidRPr="001A42E6" w:rsidRDefault="00C47A74" w:rsidP="00C47A74">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1ECAEB3" w14:textId="77777777" w:rsidR="00C47A74" w:rsidRPr="00100A2B" w:rsidRDefault="00C47A74" w:rsidP="00C47A74">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3FF6B7C8" w14:textId="77777777" w:rsidR="00C47A74" w:rsidRDefault="00C47A74" w:rsidP="00C47A74"/>
    <w:p w14:paraId="733DC06E" w14:textId="77777777" w:rsidR="00C47A74" w:rsidRPr="00FD3507" w:rsidRDefault="00C47A74" w:rsidP="00C47A74"/>
    <w:p w14:paraId="40FC85DC" w14:textId="77777777" w:rsidR="00C47A74" w:rsidRPr="00C460B7" w:rsidRDefault="00C47A74" w:rsidP="00C47A74">
      <w:pPr>
        <w:rPr>
          <w:sz w:val="12"/>
        </w:rPr>
      </w:pPr>
    </w:p>
    <w:p w14:paraId="32A81653" w14:textId="77777777" w:rsidR="00C47A74" w:rsidRDefault="00C47A74" w:rsidP="00C47A74">
      <w:pPr>
        <w:pStyle w:val="Heading2"/>
      </w:pPr>
      <w:r>
        <w:t>1NC – Case</w:t>
      </w:r>
    </w:p>
    <w:p w14:paraId="5E693949" w14:textId="05F7D749" w:rsidR="00C47A74" w:rsidRPr="00C460B7" w:rsidRDefault="00C47A74" w:rsidP="00C47A74">
      <w:pPr>
        <w:pStyle w:val="Heading3"/>
      </w:pPr>
      <w:r>
        <w:t>Debris</w:t>
      </w:r>
    </w:p>
    <w:p w14:paraId="05C79132" w14:textId="77777777" w:rsidR="00C47A74" w:rsidRDefault="00C47A74" w:rsidP="00C47A74">
      <w:pPr>
        <w:pStyle w:val="Heading4"/>
        <w:numPr>
          <w:ilvl w:val="0"/>
          <w:numId w:val="13"/>
        </w:numPr>
        <w:tabs>
          <w:tab w:val="num" w:pos="360"/>
        </w:tabs>
      </w:pPr>
      <w:r w:rsidRPr="00C4045F">
        <w:t>Gent</w:t>
      </w:r>
      <w:r>
        <w:t xml:space="preserve"> is wrong – it assumes mining has spillover to other sectors – it doesn’t – no warrant for why allowance of space mining deregulates other sectors</w:t>
      </w:r>
    </w:p>
    <w:p w14:paraId="5419DF50" w14:textId="77777777" w:rsidR="00C47A74" w:rsidRPr="00100A2B" w:rsidRDefault="00C47A74" w:rsidP="00C47A74">
      <w:pPr>
        <w:pStyle w:val="Heading4"/>
        <w:numPr>
          <w:ilvl w:val="0"/>
          <w:numId w:val="13"/>
        </w:numPr>
        <w:tabs>
          <w:tab w:val="num" w:pos="360"/>
        </w:tabs>
      </w:pPr>
      <w:r w:rsidRPr="00100A2B">
        <w:t xml:space="preserve">Alt cause – broad space privatization and existing debris. </w:t>
      </w:r>
    </w:p>
    <w:p w14:paraId="7F98EA15" w14:textId="77777777" w:rsidR="00C47A74" w:rsidRPr="00100A2B" w:rsidRDefault="00C47A74" w:rsidP="00C47A74">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85928A8" w14:textId="77777777" w:rsidR="00C47A74" w:rsidRPr="00100A2B" w:rsidRDefault="00C47A74" w:rsidP="00C47A74">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7F7986C6" w14:textId="77777777" w:rsidR="00C47A74" w:rsidRPr="00100A2B" w:rsidRDefault="00C47A74" w:rsidP="00C47A74">
      <w:r w:rsidRPr="00100A2B">
        <w:t>2. Characterizing NewSpace: a step change in the space environment</w:t>
      </w:r>
    </w:p>
    <w:p w14:paraId="743460A6" w14:textId="77777777" w:rsidR="00C47A74" w:rsidRPr="00100A2B" w:rsidRDefault="00C47A74" w:rsidP="00C47A74">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186CB0ED" w14:textId="77777777" w:rsidR="00C47A74" w:rsidRPr="00100A2B" w:rsidRDefault="00C47A74" w:rsidP="00C47A74">
      <w:r w:rsidRPr="00100A2B">
        <w:t>[Table 1 Omitted]</w:t>
      </w:r>
    </w:p>
    <w:p w14:paraId="1CCC27E0" w14:textId="77777777" w:rsidR="00C47A74" w:rsidRPr="00100A2B" w:rsidRDefault="00C47A74" w:rsidP="00C47A74">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5F22838E" w14:textId="77777777" w:rsidR="00C47A74" w:rsidRPr="00100A2B" w:rsidRDefault="00C47A74" w:rsidP="00C47A74">
      <w:r w:rsidRPr="00100A2B">
        <w:t>Current space safety, space surveillance, collision avoidance (COLA) and debris mitigation processes have been designed for and have evolved with the current population profile, launch rates and density of LEO space.</w:t>
      </w:r>
    </w:p>
    <w:p w14:paraId="4A1DCDDB" w14:textId="77777777" w:rsidR="00C47A74" w:rsidRPr="00100A2B" w:rsidRDefault="00C47A74" w:rsidP="00C47A74">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746F1A48" w14:textId="77777777" w:rsidR="00C47A74" w:rsidRPr="00100A2B" w:rsidRDefault="00C47A74" w:rsidP="00C47A74">
      <w:r w:rsidRPr="00100A2B">
        <w:t>3. Compounding effects of better SSA, more satellites, and new operational concepts</w:t>
      </w:r>
    </w:p>
    <w:p w14:paraId="6550202F" w14:textId="77777777" w:rsidR="00C47A74" w:rsidRPr="00100A2B" w:rsidRDefault="00C47A74" w:rsidP="00C47A74">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DEF97CB" w14:textId="77777777" w:rsidR="00C47A74" w:rsidRPr="00100A2B" w:rsidRDefault="00C47A74" w:rsidP="00C47A74">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B9F3616" w14:textId="77777777" w:rsidR="00C47A74" w:rsidRPr="00100A2B" w:rsidRDefault="00C47A74" w:rsidP="00C47A74">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25EAE70D" w14:textId="77777777" w:rsidR="00C47A74" w:rsidRPr="00100A2B" w:rsidRDefault="00C47A74" w:rsidP="00C47A74">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FAE9758" w14:textId="77777777" w:rsidR="00C47A74" w:rsidRPr="00100A2B" w:rsidRDefault="00C47A74" w:rsidP="00C47A74">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7F0D899" w14:textId="77777777" w:rsidR="00C47A74" w:rsidRPr="00624789" w:rsidRDefault="00C47A74" w:rsidP="00C47A74">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DB21FF3" w14:textId="77777777" w:rsidR="00C47A74" w:rsidRPr="00F22B32" w:rsidRDefault="00C47A74" w:rsidP="00C47A74">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5809A3A" w14:textId="77777777" w:rsidR="00C47A74" w:rsidRPr="00100A2B" w:rsidRDefault="00C47A74" w:rsidP="00C47A7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1A95A99" w14:textId="77777777" w:rsidR="00C47A74" w:rsidRPr="00100A2B" w:rsidRDefault="00C47A74" w:rsidP="00C47A74">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905438C" w14:textId="77777777" w:rsidR="00C47A74" w:rsidRPr="00F22B32" w:rsidRDefault="00C47A74" w:rsidP="00C47A74">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39FD32E5" w14:textId="77777777" w:rsidR="00C47A74" w:rsidRPr="00100A2B" w:rsidRDefault="00C47A74" w:rsidP="00C47A74">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419642C0" w14:textId="77777777" w:rsidR="00C47A74" w:rsidRPr="00100A2B" w:rsidRDefault="00C47A74" w:rsidP="00C47A74">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3C8B8522" w14:textId="77777777" w:rsidR="00C47A74" w:rsidRPr="00100A2B" w:rsidRDefault="00C47A74" w:rsidP="00C47A74">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F7F4AD5" w14:textId="77777777" w:rsidR="00C47A74" w:rsidRPr="00F22B32" w:rsidRDefault="00C47A74" w:rsidP="00C47A74">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6166B348" w14:textId="77777777" w:rsidR="00C47A74" w:rsidRPr="00100A2B" w:rsidRDefault="00C47A74" w:rsidP="00C47A74">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BF8AC32" w14:textId="77777777" w:rsidR="00C47A74" w:rsidRPr="00100A2B" w:rsidRDefault="00C47A74" w:rsidP="00C47A74">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4DF2C83D" w14:textId="77777777" w:rsidR="00C47A74" w:rsidRPr="00100A2B" w:rsidRDefault="00C47A74" w:rsidP="00C47A74">
      <w:pPr>
        <w:pStyle w:val="Heading4"/>
        <w:numPr>
          <w:ilvl w:val="0"/>
          <w:numId w:val="13"/>
        </w:numPr>
        <w:tabs>
          <w:tab w:val="num" w:pos="360"/>
        </w:tabs>
      </w:pPr>
      <w:r w:rsidRPr="00100A2B">
        <w:t xml:space="preserve">Space debris creates existential deterrence and a taboo </w:t>
      </w:r>
    </w:p>
    <w:p w14:paraId="75F8B056" w14:textId="77777777" w:rsidR="00C47A74" w:rsidRPr="00100A2B" w:rsidRDefault="00C47A74" w:rsidP="00C47A74">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091CDD3" w14:textId="77777777" w:rsidR="00C47A74" w:rsidRPr="00100A2B" w:rsidRDefault="00C47A74" w:rsidP="00C47A74">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F2DB36E" w14:textId="77777777" w:rsidR="00C47A74" w:rsidRPr="00100A2B" w:rsidRDefault="00C47A74" w:rsidP="00C47A74">
      <w:pPr>
        <w:pStyle w:val="Heading4"/>
        <w:numPr>
          <w:ilvl w:val="0"/>
          <w:numId w:val="13"/>
        </w:numPr>
        <w:tabs>
          <w:tab w:val="num" w:pos="360"/>
        </w:tabs>
      </w:pPr>
      <w:r w:rsidRPr="00100A2B">
        <w:t>Alliances check miscalc – too costly</w:t>
      </w:r>
    </w:p>
    <w:p w14:paraId="27496CB0" w14:textId="77777777" w:rsidR="00C47A74" w:rsidRPr="00100A2B" w:rsidRDefault="00C47A74" w:rsidP="00C47A74">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6DB5ABA" w14:textId="77777777" w:rsidR="00C47A74" w:rsidRDefault="00C47A74" w:rsidP="00C47A74">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683473A6" w14:textId="77777777" w:rsidR="00C47A74" w:rsidRDefault="00C47A74" w:rsidP="00C47A74">
      <w:pPr>
        <w:pStyle w:val="Heading4"/>
        <w:numPr>
          <w:ilvl w:val="0"/>
          <w:numId w:val="13"/>
        </w:numPr>
      </w:pPr>
      <w:r w:rsidRPr="008C0B83">
        <w:t xml:space="preserve">No miscalc </w:t>
      </w:r>
      <w:r>
        <w:t>–</w:t>
      </w:r>
      <w:r w:rsidRPr="008C0B83">
        <w:t xml:space="preserve"> </w:t>
      </w:r>
      <w:r>
        <w:t xml:space="preserve">ev </w:t>
      </w:r>
      <w:r w:rsidRPr="008C0B83">
        <w:t>Johnson</w:t>
      </w:r>
      <w:r>
        <w:t xml:space="preserve"> indicates 300,000 pieces of debris exist now – either their impact is imminent in the squo or never going to happen</w:t>
      </w:r>
    </w:p>
    <w:p w14:paraId="3F459E97" w14:textId="77777777" w:rsidR="00C47A74" w:rsidRPr="00135E3A" w:rsidRDefault="00C47A74" w:rsidP="00C47A74">
      <w:pPr>
        <w:pStyle w:val="Heading4"/>
        <w:numPr>
          <w:ilvl w:val="0"/>
          <w:numId w:val="13"/>
        </w:numPr>
        <w:rPr>
          <w:rFonts w:cs="Arial"/>
          <w:u w:val="single"/>
        </w:rPr>
      </w:pPr>
      <w:r>
        <w:rPr>
          <w:rFonts w:cs="Arial"/>
        </w:rPr>
        <w:t xml:space="preserve">No warming solvency – satellites aren’t key, haven’t read evidence indicating how that data is used on earth </w:t>
      </w:r>
    </w:p>
    <w:p w14:paraId="1B1900AA" w14:textId="77777777" w:rsidR="00C47A74" w:rsidRPr="00061AEB" w:rsidRDefault="00C47A74" w:rsidP="00C47A74">
      <w:pPr>
        <w:pStyle w:val="Heading4"/>
        <w:numPr>
          <w:ilvl w:val="0"/>
          <w:numId w:val="13"/>
        </w:numPr>
        <w:rPr>
          <w:rFonts w:cs="Arial"/>
          <w:u w:val="single"/>
        </w:rPr>
      </w:pPr>
      <w:r w:rsidRPr="00061AEB">
        <w:rPr>
          <w:rFonts w:cs="Arial"/>
        </w:rPr>
        <w:t xml:space="preserve">No extinction – it takes 12 degrees </w:t>
      </w:r>
      <w:r w:rsidRPr="00061AEB">
        <w:rPr>
          <w:rFonts w:cs="Arial"/>
          <w:u w:val="single"/>
        </w:rPr>
        <w:t>without adaptation</w:t>
      </w:r>
    </w:p>
    <w:p w14:paraId="293B3A46" w14:textId="77777777" w:rsidR="00C47A74" w:rsidRPr="00061AEB" w:rsidRDefault="00C47A74" w:rsidP="00C47A74">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03751F7" w14:textId="77777777" w:rsidR="00C47A74" w:rsidRDefault="00C47A74" w:rsidP="00C47A74">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455055F5" w14:textId="77777777" w:rsidR="00C47A74" w:rsidRPr="00135E3A" w:rsidRDefault="00C47A74" w:rsidP="00C47A74"/>
    <w:p w14:paraId="35FE810E" w14:textId="0FE51933" w:rsidR="00C47A74" w:rsidRPr="00624789" w:rsidRDefault="00F94EF3" w:rsidP="00C47A74">
      <w:pPr>
        <w:pStyle w:val="Heading3"/>
      </w:pPr>
      <w:r>
        <w:t>Multilat</w:t>
      </w:r>
    </w:p>
    <w:p w14:paraId="7FA9C2E2" w14:textId="77777777" w:rsidR="00C47A74" w:rsidRDefault="00C47A74" w:rsidP="00C47A74">
      <w:pPr>
        <w:pStyle w:val="Heading4"/>
        <w:numPr>
          <w:ilvl w:val="0"/>
          <w:numId w:val="18"/>
        </w:numPr>
      </w:pPr>
      <w:r>
        <w:t xml:space="preserve">No internal link to multilat – </w:t>
      </w:r>
      <w:r w:rsidRPr="0042652D">
        <w:t>Beard</w:t>
      </w:r>
      <w:r>
        <w:t xml:space="preserve"> isn’t reverse causal – it just says countries like China and Russia are not involved in space governance now, not that including all countries boosts cred</w:t>
      </w:r>
    </w:p>
    <w:p w14:paraId="2EA65F46" w14:textId="77777777" w:rsidR="00C47A74" w:rsidRDefault="00C47A74" w:rsidP="00C47A74">
      <w:pPr>
        <w:pStyle w:val="Heading4"/>
        <w:numPr>
          <w:ilvl w:val="0"/>
          <w:numId w:val="18"/>
        </w:numPr>
      </w:pPr>
      <w:r>
        <w:t>Heg turns multilat – US leadership is comparatively better; multilateralism won’t be able to constrain china – anything else waters down alliances and doesn’t provide a deterrent</w:t>
      </w:r>
    </w:p>
    <w:p w14:paraId="3FA1CDFB" w14:textId="77777777" w:rsidR="00C47A74" w:rsidRDefault="00C47A74" w:rsidP="00C47A74">
      <w:pPr>
        <w:pStyle w:val="Heading4"/>
        <w:numPr>
          <w:ilvl w:val="0"/>
          <w:numId w:val="18"/>
        </w:numPr>
      </w:pPr>
      <w:r>
        <w:t>No terminal impact – cards make vague references to disease and warming or different war scenarios but no reason why those cause extinction</w:t>
      </w:r>
    </w:p>
    <w:p w14:paraId="3D67EFF3" w14:textId="77777777" w:rsidR="00C47A74" w:rsidRPr="00C4045F" w:rsidRDefault="00C47A74" w:rsidP="00C47A74">
      <w:pPr>
        <w:pStyle w:val="Heading4"/>
        <w:numPr>
          <w:ilvl w:val="0"/>
          <w:numId w:val="18"/>
        </w:numPr>
      </w:pPr>
      <w:r>
        <w:t xml:space="preserve">No solvency – even if multilateral forums are stronger that doesn’t mean states actually do things like pass climate policy or distribute resources, doesn’t ensure former rivals like India and Pakistan, us and china, etc. all are willing to collaborate </w:t>
      </w:r>
    </w:p>
    <w:p w14:paraId="576D07FB" w14:textId="77777777" w:rsidR="00C47A74" w:rsidRPr="00E62B06" w:rsidRDefault="00C47A74" w:rsidP="00C47A74">
      <w:pPr>
        <w:pStyle w:val="Heading4"/>
        <w:numPr>
          <w:ilvl w:val="0"/>
          <w:numId w:val="18"/>
        </w:numPr>
        <w:rPr>
          <w:rFonts w:asciiTheme="majorHAnsi" w:hAnsiTheme="majorHAnsi" w:cstheme="majorHAnsi"/>
        </w:rPr>
      </w:pPr>
      <w:r w:rsidRPr="00E62B06">
        <w:rPr>
          <w:rFonts w:asciiTheme="majorHAnsi" w:hAnsiTheme="majorHAnsi" w:cstheme="majorHAnsi"/>
        </w:rPr>
        <w:t>Burnout and variation check disease</w:t>
      </w:r>
    </w:p>
    <w:p w14:paraId="0CD805B3" w14:textId="77777777" w:rsidR="00C47A74" w:rsidRPr="00E62B06" w:rsidRDefault="00C47A74" w:rsidP="00C47A74">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565F4B83" w14:textId="77777777" w:rsidR="00C47A74" w:rsidRPr="00E62B06" w:rsidRDefault="00C47A74" w:rsidP="00C47A74">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way.</w:t>
      </w:r>
      <w:r w:rsidRPr="00E62B06">
        <w:rPr>
          <w:rFonts w:asciiTheme="majorHAnsi" w:hAnsiTheme="majorHAnsi" w:cstheme="majorHAnsi"/>
          <w:sz w:val="12"/>
        </w:rPr>
        <w:t>¶</w:t>
      </w:r>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20E0D63B" w14:textId="77777777" w:rsidR="00C47A74" w:rsidRDefault="00C47A74" w:rsidP="00C47A74">
      <w:pPr>
        <w:pStyle w:val="Heading4"/>
        <w:numPr>
          <w:ilvl w:val="0"/>
          <w:numId w:val="18"/>
        </w:numPr>
      </w:pPr>
      <w:r>
        <w:t>No terror threat – assumes their groups</w:t>
      </w:r>
    </w:p>
    <w:p w14:paraId="6C874FA7" w14:textId="77777777" w:rsidR="00C47A74" w:rsidRDefault="00C47A74" w:rsidP="00C47A74">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1E0798AE" w14:textId="77777777" w:rsidR="00C47A74" w:rsidRDefault="00C47A74" w:rsidP="00C47A74">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24790AFA" w14:textId="77777777" w:rsidR="00C47A74" w:rsidRDefault="00C47A74" w:rsidP="00C47A74">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52A6E266" w14:textId="77777777" w:rsidR="00C47A74" w:rsidRDefault="00C47A74" w:rsidP="00C47A74">
      <w:r w:rsidRPr="003877A5">
        <w:rPr>
          <w:rStyle w:val="StyleUnderline"/>
        </w:rPr>
        <w:t>There was great alarm</w:t>
      </w:r>
      <w:r>
        <w:t xml:space="preserve">, of course, </w:t>
      </w:r>
      <w:r w:rsidRPr="003877A5">
        <w:rPr>
          <w:rStyle w:val="StyleUnderline"/>
        </w:rPr>
        <w:t>in the wake of 9/11</w:t>
      </w:r>
      <w:r>
        <w:t>, when the intelligence community was certain that an even more destructive “second-wave” attack was imminent and when it informed reporters that between 2,000 and 5,000 trained al-Qaeda operatives were on the loose in the United States.</w:t>
      </w:r>
    </w:p>
    <w:p w14:paraId="67484B21" w14:textId="77777777" w:rsidR="00C47A74" w:rsidRDefault="00C47A74" w:rsidP="00C47A74">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5B77164A" w14:textId="77777777" w:rsidR="00C47A74" w:rsidRDefault="00C47A74" w:rsidP="00C47A74">
      <w:pPr>
        <w:rPr>
          <w:rStyle w:val="StyleUnderlin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p>
    <w:p w14:paraId="029F04E8" w14:textId="77777777" w:rsidR="00C47A74" w:rsidRDefault="00C47A74" w:rsidP="00C47A74">
      <w:pPr>
        <w:rPr>
          <w:rStyle w:val="StyleUnderline"/>
        </w:rPr>
      </w:pPr>
    </w:p>
    <w:p w14:paraId="298BDA9A" w14:textId="77777777" w:rsidR="00C47A74" w:rsidRDefault="00C47A74" w:rsidP="00C47A74">
      <w:pPr>
        <w:rPr>
          <w:rStyle w:val="StyleUnderline"/>
        </w:rPr>
      </w:pPr>
    </w:p>
    <w:p w14:paraId="754E00C3" w14:textId="77777777" w:rsidR="00C47A74" w:rsidRDefault="00C47A74" w:rsidP="00C47A74">
      <w:pPr>
        <w:rPr>
          <w:rStyle w:val="StyleUnderline"/>
        </w:rPr>
      </w:pPr>
    </w:p>
    <w:p w14:paraId="4C80403C" w14:textId="77777777" w:rsidR="00C47A74" w:rsidRDefault="00C47A74" w:rsidP="00C47A74">
      <w:pPr>
        <w:rPr>
          <w:rStyle w:val="StyleUnderline"/>
        </w:rPr>
      </w:pPr>
    </w:p>
    <w:p w14:paraId="6F2D2053" w14:textId="77777777" w:rsidR="00C47A74" w:rsidRDefault="00C47A74" w:rsidP="00C47A74">
      <w:pPr>
        <w:rPr>
          <w:rStyle w:val="StyleUnderline"/>
        </w:rPr>
      </w:pPr>
    </w:p>
    <w:p w14:paraId="313E0AE3" w14:textId="77777777" w:rsidR="00C47A74" w:rsidRDefault="00C47A74" w:rsidP="00C47A74">
      <w:pPr>
        <w:rPr>
          <w:rStyle w:val="StyleUnderline"/>
        </w:rPr>
      </w:pPr>
    </w:p>
    <w:p w14:paraId="34346E52" w14:textId="77777777" w:rsidR="00C47A74" w:rsidRDefault="00C47A74" w:rsidP="00C47A74">
      <w:pPr>
        <w:rPr>
          <w:rStyle w:val="StyleUnderline"/>
        </w:rPr>
      </w:pPr>
    </w:p>
    <w:p w14:paraId="5A79210B" w14:textId="77777777" w:rsidR="00C47A74" w:rsidRDefault="00C47A74" w:rsidP="00C47A74">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73F59A5B" w14:textId="77777777" w:rsidR="00C47A74" w:rsidRDefault="00C47A74" w:rsidP="00C47A74">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302F7C76" w14:textId="77777777" w:rsidR="00C47A74" w:rsidRDefault="00C47A74" w:rsidP="00C47A74">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14:paraId="28C687D2" w14:textId="77777777" w:rsidR="00C47A74" w:rsidRDefault="00C47A74" w:rsidP="00C47A74">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63554BAB" w14:textId="77777777" w:rsidR="00C47A74" w:rsidRDefault="00C47A74" w:rsidP="00C47A74">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5A44CACB" w14:textId="77777777" w:rsidR="00C47A74" w:rsidRDefault="00C47A74" w:rsidP="00C47A74">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1C24A843" w14:textId="77777777" w:rsidR="00C47A74" w:rsidRDefault="00C47A74" w:rsidP="00C47A74">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but this is likely to 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14:paraId="4557D600" w14:textId="77777777" w:rsidR="00C47A74" w:rsidRDefault="00C47A74" w:rsidP="00C47A74">
      <w:r>
        <w:t xml:space="preserve">There has also been a trendy concern about the way ISIL recruits using social media. However, as several analysts have pointed out, </w:t>
      </w:r>
      <w:r w:rsidRPr="003E24EE">
        <w:rPr>
          <w:rStyle w:val="StyleUnderline"/>
        </w:rPr>
        <w:t>the foolish willingness of would-be terrorists to spill their aspirations and their often childish fantasies on social media has been, on balance, much to the advantage of the law enforcement officials seeking to track them.</w:t>
      </w:r>
    </w:p>
    <w:p w14:paraId="55B998AA" w14:textId="77777777" w:rsidR="00C47A74" w:rsidRDefault="00C47A74" w:rsidP="00C47A74">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14:paraId="4C22835B" w14:textId="77777777" w:rsidR="00C47A74" w:rsidRDefault="00C47A74" w:rsidP="00C47A74">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14:paraId="63160C7A" w14:textId="77777777" w:rsidR="00C47A74" w:rsidRDefault="00C47A74" w:rsidP="00C47A74">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14:paraId="5FE99D07" w14:textId="77777777" w:rsidR="00C47A74" w:rsidRPr="00F601E6" w:rsidRDefault="00C47A74" w:rsidP="00C47A74"/>
    <w:p w14:paraId="203A0749" w14:textId="77777777" w:rsidR="00C47A74" w:rsidRPr="00F601E6" w:rsidRDefault="00C47A74" w:rsidP="00C47A74"/>
    <w:p w14:paraId="7AF027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7"/>
  </w:num>
  <w:num w:numId="15">
    <w:abstractNumId w:val="11"/>
  </w:num>
  <w:num w:numId="16">
    <w:abstractNumId w:val="14"/>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7A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A2B"/>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4F2D74"/>
    <w:rsid w:val="005028E5"/>
    <w:rsid w:val="00503735"/>
    <w:rsid w:val="00516A88"/>
    <w:rsid w:val="00522065"/>
    <w:rsid w:val="005224F2"/>
    <w:rsid w:val="00530EFC"/>
    <w:rsid w:val="00533F1C"/>
    <w:rsid w:val="00536D8B"/>
    <w:rsid w:val="005379C3"/>
    <w:rsid w:val="005519C2"/>
    <w:rsid w:val="005523E0"/>
    <w:rsid w:val="0055320F"/>
    <w:rsid w:val="0055699B"/>
    <w:rsid w:val="005574A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10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0744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22E"/>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A7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E9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EF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9FA95"/>
  <w14:defaultImageDpi w14:val="300"/>
  <w15:docId w15:val="{EA4273AC-A069-E649-A60E-1A052A8B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7A7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47A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47A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47A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47A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7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A74"/>
  </w:style>
  <w:style w:type="character" w:customStyle="1" w:styleId="Heading1Char">
    <w:name w:val="Heading 1 Char"/>
    <w:aliases w:val="Pocket Char"/>
    <w:basedOn w:val="DefaultParagraphFont"/>
    <w:link w:val="Heading1"/>
    <w:uiPriority w:val="9"/>
    <w:rsid w:val="00C47A74"/>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C47A7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47A7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47A7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7A7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C47A74"/>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C47A7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47A7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47A74"/>
    <w:rPr>
      <w:color w:val="auto"/>
      <w:u w:val="none"/>
    </w:rPr>
  </w:style>
  <w:style w:type="paragraph" w:styleId="DocumentMap">
    <w:name w:val="Document Map"/>
    <w:basedOn w:val="Normal"/>
    <w:link w:val="DocumentMapChar"/>
    <w:uiPriority w:val="99"/>
    <w:semiHidden/>
    <w:unhideWhenUsed/>
    <w:rsid w:val="00C47A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7A74"/>
    <w:rPr>
      <w:rFonts w:ascii="Lucida Grande" w:hAnsi="Lucida Grande" w:cs="Lucida Grande"/>
    </w:rPr>
  </w:style>
  <w:style w:type="paragraph" w:customStyle="1" w:styleId="Analytic">
    <w:name w:val="Analytic"/>
    <w:basedOn w:val="Normal"/>
    <w:autoRedefine/>
    <w:qFormat/>
    <w:rsid w:val="00C47A74"/>
    <w:rPr>
      <w:b/>
      <w:bCs/>
      <w:color w:val="404040" w:themeColor="text1" w:themeTint="BF"/>
      <w:sz w:val="26"/>
      <w:szCs w:val="26"/>
    </w:rPr>
  </w:style>
  <w:style w:type="paragraph" w:customStyle="1" w:styleId="textbold">
    <w:name w:val="text bold"/>
    <w:basedOn w:val="Normal"/>
    <w:link w:val="Emphasis"/>
    <w:uiPriority w:val="20"/>
    <w:qFormat/>
    <w:rsid w:val="00C47A7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C47A74"/>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C47A74"/>
    <w:rPr>
      <w:u w:val="single"/>
    </w:rPr>
  </w:style>
  <w:style w:type="paragraph" w:styleId="Title">
    <w:name w:val="Title"/>
    <w:aliases w:val="title,UNDERLINE,Cites and Cards,Bold Underlined,Read This,Block Heading"/>
    <w:basedOn w:val="Normal"/>
    <w:next w:val="Normal"/>
    <w:link w:val="TitleChar"/>
    <w:uiPriority w:val="6"/>
    <w:qFormat/>
    <w:rsid w:val="00C47A74"/>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47A74"/>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C47A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47A7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news.com/press-release/accesswire/technology-business-science-utilities-electric-utilities-7bb32ecaac33bebef6e4b97ade588c57" TargetMode="Externa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17050</Words>
  <Characters>97187</Characters>
  <Application>Microsoft Office Word</Application>
  <DocSecurity>0</DocSecurity>
  <Lines>809</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2022-02-12T21:00:00Z</dcterms:created>
  <dcterms:modified xsi:type="dcterms:W3CDTF">2022-02-12T21:50:00Z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