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26145" w14:textId="0D4F873C" w:rsidR="00A95652" w:rsidRDefault="009376F5" w:rsidP="009376F5">
      <w:pPr>
        <w:pStyle w:val="Heading1"/>
      </w:pPr>
      <w:r w:rsidRPr="009376F5">
        <w:t>Speech 1AC Glenbrooks Rd 4 vs Millburn 11-20 5PM</w:t>
      </w:r>
    </w:p>
    <w:p w14:paraId="3F03D0A7" w14:textId="59C60236" w:rsidR="00E77218" w:rsidRDefault="00E77218" w:rsidP="00E77218">
      <w:pPr>
        <w:pStyle w:val="Heading2"/>
      </w:pPr>
      <w:r>
        <w:t>1AR</w:t>
      </w:r>
    </w:p>
    <w:p w14:paraId="3A9654F7" w14:textId="77777777" w:rsidR="00E77218" w:rsidRPr="002831E7" w:rsidRDefault="00E77218" w:rsidP="00E77218">
      <w:pPr>
        <w:pStyle w:val="Heading4"/>
      </w:pPr>
      <w:r>
        <w:t>Interp – at the Yale 2021 Invitational, debaters must keep their cameras on for the duration of the round.</w:t>
      </w:r>
    </w:p>
    <w:p w14:paraId="34465E20" w14:textId="77777777" w:rsidR="00E77218" w:rsidRPr="00FB51E5" w:rsidRDefault="00E77218" w:rsidP="00E77218">
      <w:pPr>
        <w:rPr>
          <w:color w:val="000000"/>
          <w:shd w:val="clear" w:color="auto" w:fill="FEFEFE"/>
        </w:rPr>
      </w:pPr>
      <w:r w:rsidRPr="00401504">
        <w:rPr>
          <w:rStyle w:val="Style13ptBold"/>
        </w:rPr>
        <w:t>Glenbrooks Tab</w:t>
      </w:r>
      <w:r>
        <w:rPr>
          <w:color w:val="000000"/>
          <w:shd w:val="clear" w:color="auto" w:fill="FEFEFE"/>
        </w:rPr>
        <w:t xml:space="preserve"> [“</w:t>
      </w:r>
      <w:r w:rsidRPr="00831CD9">
        <w:rPr>
          <w:color w:val="000000"/>
          <w:shd w:val="clear" w:color="auto" w:fill="FEFEFE"/>
        </w:rPr>
        <w:t>RULES, POLICIES, AND PROCEDURES</w:t>
      </w:r>
      <w:r>
        <w:rPr>
          <w:color w:val="000000"/>
          <w:shd w:val="clear" w:color="auto" w:fill="FEFEFE"/>
        </w:rPr>
        <w:t xml:space="preserve">”. 2021. </w:t>
      </w:r>
      <w:hyperlink r:id="rId6" w:history="1">
        <w:r w:rsidRPr="003D0960">
          <w:rPr>
            <w:rStyle w:val="Hyperlink"/>
            <w:shd w:val="clear" w:color="auto" w:fill="FEFEFE"/>
          </w:rPr>
          <w:t>https://www.tabroom.com/index/tourn/index.mhtml?webpage_id=14418&amp;tourn_id=20143</w:t>
        </w:r>
      </w:hyperlink>
      <w:r>
        <w:rPr>
          <w:color w:val="000000"/>
          <w:shd w:val="clear" w:color="auto" w:fill="FEFEFE"/>
        </w:rPr>
        <w:t xml:space="preserve"> //Xu]</w:t>
      </w:r>
    </w:p>
    <w:p w14:paraId="0A95B5AA" w14:textId="77777777" w:rsidR="00E77218" w:rsidRDefault="00E77218" w:rsidP="00E77218">
      <w:pPr>
        <w:rPr>
          <w:rStyle w:val="Emphasis"/>
        </w:rPr>
      </w:pPr>
      <w:r w:rsidRPr="00886A5A">
        <w:rPr>
          <w:rStyle w:val="Emphasis"/>
          <w:highlight w:val="green"/>
        </w:rPr>
        <w:t>Debaters are required to have their cameras on</w:t>
      </w:r>
      <w:r w:rsidRPr="00886A5A">
        <w:rPr>
          <w:rStyle w:val="Emphasis"/>
        </w:rPr>
        <w:t xml:space="preserve"> during the time that they are speaking. Judges are required to have their cameras on while students are speaking, while sharing who they voted for, and while explaining their decision. </w:t>
      </w:r>
    </w:p>
    <w:p w14:paraId="2C66EB8A" w14:textId="77777777" w:rsidR="00E77218" w:rsidRPr="00886A5A" w:rsidRDefault="00E77218" w:rsidP="00E77218">
      <w:pPr>
        <w:rPr>
          <w:rStyle w:val="Emphasis"/>
        </w:rPr>
      </w:pPr>
      <w:r w:rsidRPr="00ED00A9">
        <w:rPr>
          <w:rStyle w:val="Emphasis"/>
          <w:noProof/>
        </w:rPr>
        <w:drawing>
          <wp:inline distT="0" distB="0" distL="0" distR="0" wp14:anchorId="347F86EF" wp14:editId="1B685119">
            <wp:extent cx="14032283" cy="7316221"/>
            <wp:effectExtent l="0" t="0" r="762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7"/>
                    <a:stretch>
                      <a:fillRect/>
                    </a:stretch>
                  </pic:blipFill>
                  <pic:spPr>
                    <a:xfrm>
                      <a:off x="0" y="0"/>
                      <a:ext cx="14032283" cy="7316221"/>
                    </a:xfrm>
                    <a:prstGeom prst="rect">
                      <a:avLst/>
                    </a:prstGeom>
                  </pic:spPr>
                </pic:pic>
              </a:graphicData>
            </a:graphic>
          </wp:inline>
        </w:drawing>
      </w:r>
    </w:p>
    <w:p w14:paraId="0366CA21" w14:textId="77777777" w:rsidR="00E77218" w:rsidRDefault="00E77218" w:rsidP="00E77218">
      <w:pPr>
        <w:pStyle w:val="Heading4"/>
      </w:pPr>
      <w:r>
        <w:t xml:space="preserve">Comes first – </w:t>
      </w:r>
    </w:p>
    <w:p w14:paraId="196501EC" w14:textId="77777777" w:rsidR="00E77218" w:rsidRPr="00CE361A" w:rsidRDefault="00E77218" w:rsidP="00E77218">
      <w:pPr>
        <w:pStyle w:val="Heading4"/>
      </w:pPr>
      <w:r>
        <w:t>1] Jurisdiction – they broke rules which is a side constraint on the ballot – judging contracts implicitly consent to all tournament rules to decide a round.</w:t>
      </w:r>
    </w:p>
    <w:p w14:paraId="53077B79" w14:textId="77777777" w:rsidR="00E77218" w:rsidRDefault="00E77218" w:rsidP="00E77218">
      <w:pPr>
        <w:pStyle w:val="Heading4"/>
      </w:pPr>
      <w:r>
        <w:t xml:space="preserve">2] Risk of DQs O/W – debaters could be kicked out of the tournament which is the highest impact and a prereq.  </w:t>
      </w:r>
    </w:p>
    <w:p w14:paraId="6118A866" w14:textId="77777777" w:rsidR="00E77218" w:rsidRDefault="00E77218" w:rsidP="00E77218">
      <w:pPr>
        <w:pStyle w:val="Heading4"/>
      </w:pPr>
      <w:r>
        <w:t>Violation – theirs is off – SS</w:t>
      </w:r>
    </w:p>
    <w:p w14:paraId="0A0129EC" w14:textId="77777777" w:rsidR="00E77218" w:rsidRDefault="00E77218" w:rsidP="00E77218">
      <w:pPr>
        <w:pStyle w:val="Heading4"/>
      </w:pPr>
      <w:r>
        <w:t xml:space="preserve">1] Cheating – cameras-off incentives calling outside coaches but cameras-on allows competitors to verify there’s no oral communication take debates out of individuals hands – renders every </w:t>
      </w:r>
      <w:r w:rsidRPr="00D4791E">
        <w:t>claim</w:t>
      </w:r>
      <w:r>
        <w:t xml:space="preserve"> false since we don’t know if they’re doing the better debating.</w:t>
      </w:r>
    </w:p>
    <w:p w14:paraId="69B2068B" w14:textId="77777777" w:rsidR="00E77218" w:rsidRDefault="00E77218" w:rsidP="00E77218">
      <w:pPr>
        <w:pStyle w:val="Heading4"/>
      </w:pPr>
      <w:r>
        <w:t xml:space="preserve">2] Community – cameras-off environment renders debate impersonable – psychic violence o/w since it’s a side constraint on the pedagogical values of debate and durability since it affects debaters outside of round. </w:t>
      </w:r>
    </w:p>
    <w:p w14:paraId="6DB1EB18" w14:textId="77777777" w:rsidR="00E77218" w:rsidRDefault="00E77218" w:rsidP="00E77218">
      <w:r w:rsidRPr="001F15CA">
        <w:rPr>
          <w:rStyle w:val="Style13ptBold"/>
        </w:rPr>
        <w:t>Terada 21</w:t>
      </w:r>
      <w:r>
        <w:t xml:space="preserve"> [Youki Terada (</w:t>
      </w:r>
      <w:r w:rsidRPr="00164CC0">
        <w:t>Research and Standards Editor</w:t>
      </w:r>
      <w:r>
        <w:t xml:space="preserve"> @ Edutopia). “</w:t>
      </w:r>
      <w:r w:rsidRPr="00711C3C">
        <w:t>The Camera-On/Camera-Off Dilemma</w:t>
      </w:r>
      <w:r>
        <w:t xml:space="preserve">”. Edutopia. February 5, 2021. Accessed 9/9/21. </w:t>
      </w:r>
      <w:hyperlink r:id="rId8" w:history="1">
        <w:r w:rsidRPr="00BF3B08">
          <w:rPr>
            <w:rStyle w:val="Hyperlink"/>
          </w:rPr>
          <w:t>https://www.edutopia.org/article/camera-oncamera-dilemma</w:t>
        </w:r>
      </w:hyperlink>
      <w:r>
        <w:t xml:space="preserve"> //Xu]</w:t>
      </w:r>
    </w:p>
    <w:p w14:paraId="1C4FC070" w14:textId="0BFBF07F" w:rsidR="00E77218" w:rsidRPr="00E77218" w:rsidRDefault="00E77218" w:rsidP="00E77218">
      <w:pPr>
        <w:rPr>
          <w:b/>
          <w:iCs/>
          <w:u w:val="single"/>
        </w:rPr>
      </w:pPr>
      <w:r w:rsidRPr="008634BF">
        <w:rPr>
          <w:rStyle w:val="Emphasis"/>
          <w:highlight w:val="green"/>
        </w:rPr>
        <w:t>Students</w:t>
      </w:r>
      <w:r w:rsidRPr="008634BF">
        <w:rPr>
          <w:rStyle w:val="Emphasis"/>
        </w:rPr>
        <w:t xml:space="preserve">, too, </w:t>
      </w:r>
      <w:r w:rsidRPr="008634BF">
        <w:rPr>
          <w:rStyle w:val="Emphasis"/>
          <w:highlight w:val="green"/>
        </w:rPr>
        <w:t>benefit from</w:t>
      </w:r>
      <w:r w:rsidRPr="008634BF">
        <w:rPr>
          <w:rStyle w:val="Emphasis"/>
        </w:rPr>
        <w:t xml:space="preserve"> being able to </w:t>
      </w:r>
      <w:r w:rsidRPr="008634BF">
        <w:rPr>
          <w:rStyle w:val="Emphasis"/>
          <w:highlight w:val="green"/>
        </w:rPr>
        <w:t>see</w:t>
      </w:r>
      <w:r w:rsidRPr="008634BF">
        <w:rPr>
          <w:rStyle w:val="Emphasis"/>
        </w:rPr>
        <w:t xml:space="preserve"> </w:t>
      </w:r>
      <w:r w:rsidRPr="008634BF">
        <w:rPr>
          <w:rStyle w:val="Emphasis"/>
          <w:highlight w:val="green"/>
        </w:rPr>
        <w:t>each other onscreen</w:t>
      </w:r>
      <w:r w:rsidRPr="008634BF">
        <w:rPr>
          <w:rStyle w:val="Emphasis"/>
        </w:rPr>
        <w:t xml:space="preserve">. In the study, a majority indicated that “using </w:t>
      </w:r>
      <w:r w:rsidRPr="008634BF">
        <w:rPr>
          <w:rStyle w:val="Emphasis"/>
          <w:highlight w:val="green"/>
        </w:rPr>
        <w:t>videoconferencing</w:t>
      </w:r>
      <w:r w:rsidRPr="008634BF">
        <w:rPr>
          <w:rStyle w:val="Emphasis"/>
        </w:rPr>
        <w:t xml:space="preserve"> helped </w:t>
      </w:r>
      <w:r w:rsidRPr="008634BF">
        <w:rPr>
          <w:rStyle w:val="Emphasis"/>
          <w:highlight w:val="green"/>
        </w:rPr>
        <w:t>build trust and rapport</w:t>
      </w:r>
      <w:r w:rsidRPr="008634BF">
        <w:rPr>
          <w:rStyle w:val="Emphasis"/>
        </w:rPr>
        <w:t xml:space="preserve"> with other students and helped them to </w:t>
      </w:r>
      <w:r w:rsidRPr="008634BF">
        <w:rPr>
          <w:rStyle w:val="Emphasis"/>
          <w:highlight w:val="green"/>
        </w:rPr>
        <w:t>develop</w:t>
      </w:r>
      <w:r w:rsidRPr="008634BF">
        <w:rPr>
          <w:rStyle w:val="Emphasis"/>
        </w:rPr>
        <w:t xml:space="preserve"> a sense of </w:t>
      </w:r>
      <w:r w:rsidRPr="008634BF">
        <w:rPr>
          <w:rStyle w:val="Emphasis"/>
          <w:highlight w:val="green"/>
        </w:rPr>
        <w:t>identification with others</w:t>
      </w:r>
      <w:r w:rsidRPr="008634BF">
        <w:rPr>
          <w:rStyle w:val="Emphasis"/>
        </w:rPr>
        <w:t xml:space="preserve"> in their group</w:t>
      </w:r>
      <w:r w:rsidRPr="008634BF">
        <w:rPr>
          <w:sz w:val="16"/>
        </w:rPr>
        <w:t>.” The social context of living classrooms—the often-invisible human connection that reinforces learning—was missing for students, who insisted</w:t>
      </w:r>
      <w:r w:rsidRPr="008634BF">
        <w:rPr>
          <w:rStyle w:val="Emphasis"/>
        </w:rPr>
        <w:t xml:space="preserve"> “that being able to hear and see each other in real time helped construct </w:t>
      </w:r>
      <w:r w:rsidRPr="008634BF">
        <w:rPr>
          <w:rStyle w:val="Emphasis"/>
          <w:highlight w:val="green"/>
        </w:rPr>
        <w:t>a ‘more complete picture’ of their peers.”</w:t>
      </w:r>
      <w:r w:rsidRPr="008634BF">
        <w:rPr>
          <w:rStyle w:val="Emphasis"/>
        </w:rPr>
        <w:t xml:space="preserve"> </w:t>
      </w:r>
    </w:p>
    <w:p w14:paraId="02D12511" w14:textId="6CA4E76F" w:rsidR="00E77218" w:rsidRPr="00E77218" w:rsidRDefault="00E77218" w:rsidP="00E77218">
      <w:pPr>
        <w:pStyle w:val="Heading2"/>
      </w:pPr>
      <w:r>
        <w:t>AC</w:t>
      </w:r>
    </w:p>
    <w:p w14:paraId="59B980D5" w14:textId="06596959" w:rsidR="00C400F1" w:rsidRDefault="00C400F1" w:rsidP="00C400F1">
      <w:r>
        <w:t>Theory paradigm after phil</w:t>
      </w:r>
    </w:p>
    <w:p w14:paraId="2F2B2538" w14:textId="56210AE6" w:rsidR="009E6E7B" w:rsidRPr="00C400F1" w:rsidRDefault="009E6E7B" w:rsidP="00C400F1">
      <w:r>
        <w:t xml:space="preserve">Note – </w:t>
      </w:r>
      <w:r w:rsidR="009C1EBB">
        <w:t>some</w:t>
      </w:r>
      <w:r>
        <w:t xml:space="preserve"> of my </w:t>
      </w:r>
      <w:r w:rsidR="009C1EBB">
        <w:t xml:space="preserve">cards don’t </w:t>
      </w:r>
      <w:r>
        <w:t xml:space="preserve">have page numbers cuz they are </w:t>
      </w:r>
      <w:r w:rsidR="00734EB6">
        <w:t>websties</w:t>
      </w:r>
      <w:r>
        <w:t xml:space="preserve"> so it </w:t>
      </w:r>
      <w:r w:rsidR="00DB3D12">
        <w:t>doesn’t</w:t>
      </w:r>
      <w:r>
        <w:t xml:space="preserve"> exi</w:t>
      </w:r>
      <w:r w:rsidR="002D492D">
        <w:t>xt</w:t>
      </w:r>
    </w:p>
    <w:p w14:paraId="25CACCC6" w14:textId="6BDCB4A5" w:rsidR="000A2A8B" w:rsidRDefault="000A2A8B" w:rsidP="000A2A8B">
      <w:pPr>
        <w:pStyle w:val="Heading3"/>
      </w:pPr>
      <w:r>
        <w:t>FW</w:t>
      </w:r>
    </w:p>
    <w:p w14:paraId="7E14A8AC" w14:textId="77777777" w:rsidR="000A2A8B" w:rsidRPr="000635C0" w:rsidRDefault="000A2A8B" w:rsidP="000A2A8B">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7997BF9F" w14:textId="77777777" w:rsidR="000A2A8B" w:rsidRPr="000635C0" w:rsidRDefault="000A2A8B" w:rsidP="000A2A8B">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4D9F41C1" w14:textId="77777777" w:rsidR="000A2A8B" w:rsidRPr="000635C0" w:rsidRDefault="000A2A8B" w:rsidP="000A2A8B">
      <w:pPr>
        <w:pStyle w:val="Heading4"/>
      </w:pPr>
      <w:r w:rsidRPr="000635C0">
        <w:t xml:space="preserve">2] Resolvability – </w:t>
      </w:r>
      <w:r w:rsidRPr="000635C0">
        <w:rPr>
          <w:rFonts w:cs="Calibri"/>
        </w:rPr>
        <w:t>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71AA60DA" w14:textId="77777777" w:rsidR="000A2A8B" w:rsidRPr="000635C0" w:rsidRDefault="000A2A8B" w:rsidP="000A2A8B">
      <w:pPr>
        <w:pStyle w:val="Heading4"/>
      </w:pPr>
      <w:r w:rsidRPr="000635C0">
        <w:rPr>
          <w:rFonts w:asciiTheme="minorHAnsi" w:hAnsiTheme="minorHAnsi" w:cstheme="minorHAnsi"/>
        </w:rPr>
        <w:t xml:space="preserve">3] </w:t>
      </w:r>
      <w:r w:rsidRPr="000635C0">
        <w:t xml:space="preserve">The theory of relativity proves that objective reality does not exist but only in the reference to the observer. </w:t>
      </w:r>
    </w:p>
    <w:p w14:paraId="30527FEF" w14:textId="77777777" w:rsidR="000A2A8B" w:rsidRPr="000635C0" w:rsidRDefault="000A2A8B" w:rsidP="000A2A8B">
      <w:pPr>
        <w:rPr>
          <w:rFonts w:asciiTheme="minorHAnsi" w:hAnsiTheme="minorHAnsi" w:cstheme="minorHAnsi"/>
        </w:rPr>
      </w:pPr>
      <w:r w:rsidRPr="000635C0">
        <w:rPr>
          <w:b/>
          <w:bCs/>
        </w:rPr>
        <w:t>Berghofer 20</w:t>
      </w:r>
      <w:r w:rsidRPr="000635C0">
        <w:t xml:space="preserve"> </w:t>
      </w:r>
      <w:r w:rsidRPr="000635C0">
        <w:rPr>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9" w:history="1">
        <w:r w:rsidRPr="000A5CCB">
          <w:rPr>
            <w:rStyle w:val="Hyperlink"/>
            <w:rFonts w:asciiTheme="minorHAnsi" w:hAnsiTheme="minorHAnsi" w:cstheme="minorHAnsi"/>
            <w:sz w:val="16"/>
            <w:szCs w:val="16"/>
          </w:rPr>
          <w:t>https://link.springer.com/article/10.1007/s13194-020-00294-w</w:t>
        </w:r>
      </w:hyperlink>
      <w:r w:rsidRPr="000635C0">
        <w:rPr>
          <w:rStyle w:val="Hyperlink"/>
          <w:rFonts w:asciiTheme="minorHAnsi" w:hAnsiTheme="minorHAnsi" w:cstheme="minorHAnsi"/>
          <w:sz w:val="16"/>
          <w:szCs w:val="16"/>
        </w:rPr>
        <w:t xml:space="preserve"> //Xu]</w:t>
      </w:r>
    </w:p>
    <w:p w14:paraId="6802CDA9" w14:textId="77777777" w:rsidR="000A2A8B" w:rsidRPr="000635C0" w:rsidRDefault="000A2A8B" w:rsidP="000A2A8B">
      <w:pPr>
        <w:spacing w:after="0" w:line="276" w:lineRule="auto"/>
        <w:rPr>
          <w:rFonts w:asciiTheme="minorHAnsi" w:hAnsiTheme="minorHAnsi" w:cstheme="minorHAnsi"/>
          <w:sz w:val="16"/>
        </w:rPr>
      </w:pPr>
      <w:r w:rsidRPr="000635C0">
        <w:rPr>
          <w:rFonts w:asciiTheme="minorHAnsi" w:hAnsiTheme="minorHAnsi" w:cstheme="minorHAnsi"/>
          <w:sz w:val="16"/>
        </w:rPr>
        <w:t xml:space="preserve">Concerning general relativity, Merleau-Ponty states: </w:t>
      </w:r>
      <w:r w:rsidRPr="00E850A6">
        <w:rPr>
          <w:rStyle w:val="StyleUnderline"/>
          <w:highlight w:val="green"/>
        </w:rPr>
        <w:t>The physics of relativity confirms</w:t>
      </w:r>
      <w:r w:rsidRPr="000635C0">
        <w:rPr>
          <w:rStyle w:val="StyleUnderline"/>
        </w:rPr>
        <w:t xml:space="preserve"> that absolute and final </w:t>
      </w:r>
      <w:r w:rsidRPr="00E850A6">
        <w:rPr>
          <w:rStyle w:val="StyleUnderline"/>
          <w:highlight w:val="green"/>
        </w:rPr>
        <w:t>objectivity is a</w:t>
      </w:r>
      <w:r w:rsidRPr="000635C0">
        <w:rPr>
          <w:rStyle w:val="StyleUnderline"/>
        </w:rPr>
        <w:t xml:space="preserve"> mere </w:t>
      </w:r>
      <w:r w:rsidRPr="00E850A6">
        <w:rPr>
          <w:rStyle w:val="StyleUnderline"/>
          <w:highlight w:val="green"/>
        </w:rPr>
        <w:t>dream</w:t>
      </w:r>
      <w:r w:rsidRPr="000635C0">
        <w:rPr>
          <w:rStyle w:val="StyleUnderline"/>
        </w:rPr>
        <w:t xml:space="preserve"> by showing how each particular observation is strictly linked to the location of the observer and cannot be abstracted from this particular situation; it also rejects the notion of an absolute observer.</w:t>
      </w:r>
      <w:r w:rsidRPr="000635C0">
        <w:rPr>
          <w:rFonts w:asciiTheme="minorHAnsi" w:hAnsiTheme="minorHAnsi" w:cstheme="minorHAnsi"/>
          <w:sz w:val="16"/>
        </w:rPr>
        <w:t xml:space="preserve"> We can no longer flatter ourselves with the idea that, in science, the exercise of a pure and unsituated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 in particular, to sensory perception. (Merleau-Ponty 2004, 44f.) </w:t>
      </w:r>
      <w:r w:rsidRPr="000635C0">
        <w:rPr>
          <w:rStyle w:val="StyleUnderline"/>
        </w:rPr>
        <w:t xml:space="preserve">It is to be noted that Merleau-Ponty’s remark is misleading since in the theory of </w:t>
      </w:r>
      <w:r w:rsidRPr="00E850A6">
        <w:rPr>
          <w:rStyle w:val="StyleUnderline"/>
          <w:highlight w:val="green"/>
        </w:rPr>
        <w:t>relativity</w:t>
      </w:r>
      <w:r w:rsidRPr="000635C0">
        <w:rPr>
          <w:rStyle w:val="StyleUnderline"/>
        </w:rPr>
        <w:t xml:space="preserve"> observation </w:t>
      </w:r>
      <w:r w:rsidRPr="00E850A6">
        <w:rPr>
          <w:rStyle w:val="StyleUnderline"/>
          <w:highlight w:val="green"/>
        </w:rPr>
        <w:t>is</w:t>
      </w:r>
      <w:r w:rsidRPr="000635C0">
        <w:rPr>
          <w:rStyle w:val="StyleUnderline"/>
        </w:rPr>
        <w:t xml:space="preserve"> not </w:t>
      </w:r>
      <w:r w:rsidRPr="00E850A6">
        <w:rPr>
          <w:rStyle w:val="StyleUnderline"/>
          <w:highlight w:val="green"/>
        </w:rPr>
        <w:t>linked</w:t>
      </w:r>
      <w:r w:rsidRPr="000635C0">
        <w:rPr>
          <w:rStyle w:val="StyleUnderline"/>
        </w:rPr>
        <w:t xml:space="preserve"> to the location of the observer but </w:t>
      </w:r>
      <w:r w:rsidRPr="00E850A6">
        <w:rPr>
          <w:rStyle w:val="StyleUnderline"/>
          <w:highlight w:val="green"/>
        </w:rPr>
        <w:t>to the frame of reference</w:t>
      </w:r>
      <w:r w:rsidRPr="000635C0">
        <w:rPr>
          <w:rStyle w:val="StyleUnderline"/>
        </w:rPr>
        <w:t xml:space="preserve"> of the observer.</w:t>
      </w:r>
      <w:r w:rsidRPr="000635C0">
        <w:rPr>
          <w:rFonts w:asciiTheme="minorHAnsi" w:hAnsiTheme="minorHAnsi" w:cstheme="minorHAnsi"/>
          <w:sz w:val="16"/>
        </w:rPr>
        <w:t xml:space="preserve">Footnote21 </w:t>
      </w:r>
      <w:r w:rsidRPr="000635C0">
        <w:rPr>
          <w:rStyle w:val="StyleUnderline"/>
        </w:rPr>
        <w:t xml:space="preserve">The principle of relativity implies that </w:t>
      </w:r>
      <w:r w:rsidRPr="00E850A6">
        <w:rPr>
          <w:rStyle w:val="StyleUnderline"/>
          <w:highlight w:val="green"/>
        </w:rPr>
        <w:t>there is no privilege</w:t>
      </w:r>
      <w:r w:rsidRPr="000635C0">
        <w:rPr>
          <w:rStyle w:val="StyleUnderline"/>
        </w:rPr>
        <w:t xml:space="preserve">d frame of reference; </w:t>
      </w:r>
      <w:r w:rsidRPr="00E850A6">
        <w:rPr>
          <w:rStyle w:val="StyleUnderline"/>
          <w:highlight w:val="green"/>
        </w:rPr>
        <w:t>the laws of physics</w:t>
      </w:r>
      <w:r w:rsidRPr="000635C0">
        <w:rPr>
          <w:rStyle w:val="StyleUnderline"/>
        </w:rPr>
        <w:t xml:space="preserve"> are the same </w:t>
      </w:r>
      <w:r w:rsidRPr="00E850A6">
        <w:rPr>
          <w:rStyle w:val="StyleUnderline"/>
          <w:highlight w:val="green"/>
        </w:rPr>
        <w:t>in all</w:t>
      </w:r>
      <w:r w:rsidRPr="000635C0">
        <w:rPr>
          <w:rStyle w:val="StyleUnderline"/>
        </w:rPr>
        <w:t xml:space="preserve"> inertial </w:t>
      </w:r>
      <w:r w:rsidRPr="00E850A6">
        <w:rPr>
          <w:rStyle w:val="StyleUnderline"/>
          <w:highlight w:val="green"/>
        </w:rPr>
        <w:t>frames of reference</w:t>
      </w:r>
      <w:r w:rsidRPr="000635C0">
        <w:rPr>
          <w:rStyle w:val="StyleUnderline"/>
        </w:rPr>
        <w:t>. Special relativity is built upon the principle of relativity (first postulate) and the postulate that in a vacuum the speed of light is constant for all observers.</w:t>
      </w:r>
      <w:r w:rsidRPr="000635C0">
        <w:rPr>
          <w:rFonts w:asciiTheme="minorHAnsi" w:hAnsiTheme="minorHAnsi" w:cstheme="minorHAnsi"/>
          <w:sz w:val="16"/>
        </w:rPr>
        <w:t xml:space="preserve"> Together, these two postulates have several implications that show that some of the facts that we usually consider to be “objective” are in fact observer-dependent. For instance, special relativity implies the relativity of simultaneity: It depends on the observer’s frame of reference whether two events separated in space occur at the same time. There is no objective or absolute sense in which we could tell that two spatially separate events take place simultaneously. </w:t>
      </w:r>
      <w:r w:rsidRPr="000635C0">
        <w:rPr>
          <w:rStyle w:val="StyleUnderline"/>
        </w:rPr>
        <w:t xml:space="preserve">When we turn to general relativity, we see that </w:t>
      </w:r>
      <w:r w:rsidRPr="00E850A6">
        <w:rPr>
          <w:rStyle w:val="StyleUnderline"/>
          <w:highlight w:val="green"/>
        </w:rPr>
        <w:t>space and time are not absolute</w:t>
      </w:r>
      <w:r w:rsidRPr="000635C0">
        <w:rPr>
          <w:rStyle w:val="StyleUnderline"/>
        </w:rPr>
        <w:t xml:space="preserve">, </w:t>
      </w:r>
      <w:r w:rsidRPr="00E850A6">
        <w:rPr>
          <w:rStyle w:val="StyleUnderline"/>
          <w:highlight w:val="green"/>
        </w:rPr>
        <w:t>not</w:t>
      </w:r>
      <w:r w:rsidRPr="000635C0">
        <w:rPr>
          <w:rStyle w:val="StyleUnderline"/>
        </w:rPr>
        <w:t xml:space="preserve"> a </w:t>
      </w:r>
      <w:r w:rsidRPr="00E850A6">
        <w:rPr>
          <w:rStyle w:val="StyleUnderline"/>
          <w:highlight w:val="green"/>
        </w:rPr>
        <w:t>fixed</w:t>
      </w:r>
      <w:r w:rsidRPr="000635C0">
        <w:rPr>
          <w:rStyle w:val="StyleUnderline"/>
        </w:rPr>
        <w:t xml:space="preserve"> background, </w:t>
      </w:r>
      <w:r w:rsidRPr="00E850A6">
        <w:rPr>
          <w:rStyle w:val="StyleUnderline"/>
          <w:highlight w:val="green"/>
        </w:rPr>
        <w:t>but</w:t>
      </w:r>
      <w:r w:rsidRPr="000635C0">
        <w:rPr>
          <w:rStyle w:val="StyleUnderline"/>
        </w:rPr>
        <w:t xml:space="preserve"> that the geometry of </w:t>
      </w:r>
      <w:r w:rsidRPr="00E850A6">
        <w:rPr>
          <w:rStyle w:val="StyleUnderline"/>
          <w:highlight w:val="green"/>
        </w:rPr>
        <w:t>spacetime</w:t>
      </w:r>
      <w:r w:rsidRPr="000635C0">
        <w:rPr>
          <w:rStyle w:val="StyleUnderline"/>
        </w:rPr>
        <w:t xml:space="preserve"> itself </w:t>
      </w:r>
      <w:r w:rsidRPr="00E850A6">
        <w:rPr>
          <w:rStyle w:val="StyleUnderline"/>
          <w:highlight w:val="green"/>
        </w:rPr>
        <w:t>is influenced by what is going</w:t>
      </w:r>
      <w:r w:rsidRPr="000635C0">
        <w:rPr>
          <w:rStyle w:val="StyleUnderline"/>
        </w:rPr>
        <w:t xml:space="preserve"> </w:t>
      </w:r>
      <w:r w:rsidRPr="00E850A6">
        <w:rPr>
          <w:rStyle w:val="StyleUnderline"/>
          <w:highlight w:val="green"/>
        </w:rPr>
        <w:t>on</w:t>
      </w:r>
      <w:r w:rsidRPr="000635C0">
        <w:rPr>
          <w:rStyle w:val="StyleUnderline"/>
        </w:rPr>
        <w:t xml:space="preserve"> within spacetime, namely by the energy-momentum of matter. This means that there is a reciprocal relationship </w:t>
      </w:r>
      <w:r w:rsidRPr="00E850A6">
        <w:rPr>
          <w:rStyle w:val="StyleUnderline"/>
          <w:highlight w:val="green"/>
        </w:rPr>
        <w:t>between spacetime and</w:t>
      </w:r>
      <w:r w:rsidRPr="000635C0">
        <w:rPr>
          <w:rStyle w:val="StyleUnderline"/>
        </w:rPr>
        <w:t xml:space="preserve"> what it contains (including </w:t>
      </w:r>
      <w:r w:rsidRPr="00E850A6">
        <w:rPr>
          <w:rStyle w:val="StyleUnderline"/>
          <w:highlight w:val="green"/>
        </w:rPr>
        <w:t>the</w:t>
      </w:r>
      <w:r w:rsidRPr="000635C0">
        <w:rPr>
          <w:rStyle w:val="StyleUnderline"/>
        </w:rPr>
        <w:t xml:space="preserve"> embodied </w:t>
      </w:r>
      <w:r w:rsidRPr="00E850A6">
        <w:rPr>
          <w:rStyle w:val="StyleUnderline"/>
          <w:highlight w:val="green"/>
        </w:rPr>
        <w:t>observer</w:t>
      </w:r>
      <w:r w:rsidRPr="000635C0">
        <w:rPr>
          <w:rStyle w:val="StyleUnderline"/>
        </w:rPr>
        <w:t>).</w:t>
      </w:r>
      <w:r w:rsidRPr="000635C0">
        <w:rPr>
          <w:rFonts w:asciiTheme="minorHAnsi" w:hAnsiTheme="minorHAnsi" w:cstheme="minorHAnsi"/>
          <w:sz w:val="16"/>
        </w:rPr>
        <w:t>Footnote22</w:t>
      </w:r>
    </w:p>
    <w:p w14:paraId="4C7F8AEC" w14:textId="77777777" w:rsidR="000A2A8B" w:rsidRPr="000635C0" w:rsidRDefault="000A2A8B" w:rsidP="000A2A8B">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540150E1" w14:textId="77777777" w:rsidR="000A2A8B" w:rsidRPr="000635C0" w:rsidRDefault="000A2A8B" w:rsidP="000A2A8B">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E850A6">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E850A6">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E850A6">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E850A6">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E850A6">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E850A6">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beliefs </w:t>
      </w:r>
      <w:r w:rsidRPr="00E850A6">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E850A6">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E850A6">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E850A6">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E850A6">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Misak puts it succint- ly, “the practice of moral deliberation is responsive to experience, reason, argument, and thought experiments... </w:t>
      </w:r>
      <w:r w:rsidRPr="00E850A6">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E850A6">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E850A6">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E850A6">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E850A6">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sidRPr="000635C0">
        <w:rPr>
          <w:rStyle w:val="StyleUnderline"/>
          <w:rFonts w:asciiTheme="minorHAnsi" w:hAnsiTheme="minorHAnsi" w:cstheme="minorHAnsi"/>
        </w:rPr>
        <w:t xml:space="preserve">, </w:t>
      </w:r>
      <w:r w:rsidRPr="00E850A6">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E850A6">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E850A6">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in a given way whenever he may desire a given kind of result. </w:t>
      </w:r>
      <w:r w:rsidRPr="00E850A6">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E850A6">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E850A6">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E850A6">
        <w:rPr>
          <w:rStyle w:val="StyleUnderline"/>
          <w:rFonts w:asciiTheme="minorHAnsi" w:hAnsiTheme="minorHAnsi" w:cstheme="minorHAnsi"/>
          <w:highlight w:val="green"/>
        </w:rPr>
        <w:t>habit</w:t>
      </w:r>
      <w:r w:rsidRPr="00E850A6">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5188BD13" w14:textId="77777777" w:rsidR="000A2A8B" w:rsidRDefault="000A2A8B" w:rsidP="000A2A8B">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05CA6CFB" w14:textId="0F9BFCC8" w:rsidR="000A2A8B" w:rsidRDefault="000A2A8B" w:rsidP="000A2A8B">
      <w:pPr>
        <w:pStyle w:val="Heading4"/>
        <w:rPr>
          <w:rFonts w:cs="Calibri"/>
          <w:u w:val="single"/>
        </w:rPr>
      </w:pPr>
      <w:r>
        <w:t xml:space="preserve">Impact Calc – deliberation is procedural, which means that agents ought to act in a deliberative fashion by employing the pragmatic procedure of deliberation, not the substance or conditions where deliberation can arise. </w:t>
      </w:r>
      <w:r w:rsidRPr="000635C0">
        <w:rPr>
          <w:rFonts w:cs="Calibri"/>
        </w:rPr>
        <w:t xml:space="preserve">To clarify, consequences are a </w:t>
      </w:r>
      <w:r w:rsidRPr="000635C0">
        <w:rPr>
          <w:rFonts w:cs="Calibri"/>
          <w:u w:val="single"/>
        </w:rPr>
        <w:t>sequencing question.</w:t>
      </w:r>
    </w:p>
    <w:p w14:paraId="3D20C7B7" w14:textId="5C8CB9E5" w:rsidR="000A2A8B" w:rsidRPr="000635C0" w:rsidRDefault="000A2A8B" w:rsidP="000A2A8B">
      <w:pPr>
        <w:pStyle w:val="Heading4"/>
        <w:spacing w:before="0" w:line="276" w:lineRule="auto"/>
        <w:rPr>
          <w:rFonts w:asciiTheme="minorHAnsi" w:hAnsiTheme="minorHAnsi" w:cstheme="minorHAnsi"/>
        </w:rPr>
      </w:pPr>
      <w:r>
        <w:rPr>
          <w:rFonts w:asciiTheme="minorHAnsi" w:hAnsiTheme="minorHAnsi" w:cstheme="minorHAnsi"/>
        </w:rPr>
        <w:t>1</w:t>
      </w:r>
      <w:r w:rsidRPr="000635C0">
        <w:rPr>
          <w:rFonts w:asciiTheme="minorHAnsi" w:hAnsiTheme="minorHAnsi" w:cstheme="minorHAnsi"/>
        </w:rPr>
        <w:t xml:space="preserve">] impacts cannot be isolated from their history and the only way to test the validity of truth is through application. </w:t>
      </w:r>
    </w:p>
    <w:p w14:paraId="2D9A8688" w14:textId="77777777" w:rsidR="000A2A8B" w:rsidRPr="000635C0" w:rsidRDefault="000A2A8B" w:rsidP="000A2A8B">
      <w:pPr>
        <w:pStyle w:val="Analytics"/>
        <w:spacing w:after="0" w:line="276" w:lineRule="auto"/>
        <w:rPr>
          <w:rFonts w:asciiTheme="minorHAnsi" w:hAnsiTheme="minorHAnsi" w:cstheme="minorHAnsi"/>
          <w:sz w:val="16"/>
          <w:szCs w:val="16"/>
        </w:rPr>
      </w:pPr>
      <w:r w:rsidRPr="000635C0">
        <w:rPr>
          <w:rFonts w:asciiTheme="minorHAnsi" w:hAnsiTheme="minorHAnsi" w:cstheme="minorHAnsi"/>
          <w:b/>
          <w:bCs/>
        </w:rPr>
        <w:t>Dewey 02</w:t>
      </w:r>
      <w:r w:rsidRPr="000635C0">
        <w:rPr>
          <w:rFonts w:asciiTheme="minorHAnsi" w:hAnsiTheme="minorHAnsi" w:cstheme="minorHAnsi"/>
        </w:rPr>
        <w:t xml:space="preserve"> [</w:t>
      </w:r>
      <w:r w:rsidRPr="000635C0">
        <w:rPr>
          <w:rFonts w:asciiTheme="minorHAnsi" w:hAnsiTheme="minorHAnsi" w:cstheme="minorHAnsi"/>
          <w:sz w:val="16"/>
          <w:szCs w:val="16"/>
        </w:rPr>
        <w:t xml:space="preserve">John Dewey (head of the Philosophy Department at the University of Chicago). “The Evolutionary Method as Applied to Morality: II. Its Significance for Conduct.” The Philosophical Review, Vol. 11, No. 4 (Jul., 1902), pp. 353-371. Accessed 12/31/20. </w:t>
      </w:r>
      <w:hyperlink r:id="rId10" w:history="1">
        <w:r w:rsidRPr="000635C0">
          <w:rPr>
            <w:rStyle w:val="Hyperlink"/>
            <w:rFonts w:asciiTheme="minorHAnsi" w:hAnsiTheme="minorHAnsi" w:cstheme="minorHAnsi"/>
            <w:sz w:val="16"/>
            <w:szCs w:val="16"/>
          </w:rPr>
          <w:t>https://www.jstor.org/stable/pdf/2176470.pdf</w:t>
        </w:r>
      </w:hyperlink>
      <w:r w:rsidRPr="000635C0">
        <w:rPr>
          <w:rFonts w:asciiTheme="minorHAnsi" w:hAnsiTheme="minorHAnsi" w:cstheme="minorHAnsi"/>
          <w:sz w:val="16"/>
          <w:szCs w:val="16"/>
        </w:rPr>
        <w:t xml:space="preserve"> //Recut Xu]</w:t>
      </w:r>
    </w:p>
    <w:p w14:paraId="1C27DB16" w14:textId="77777777" w:rsidR="000A2A8B" w:rsidRPr="000635C0" w:rsidRDefault="000A2A8B" w:rsidP="000A2A8B">
      <w:pPr>
        <w:spacing w:after="0" w:line="276" w:lineRule="auto"/>
        <w:rPr>
          <w:rFonts w:asciiTheme="minorHAnsi" w:hAnsiTheme="minorHAnsi" w:cstheme="minorHAnsi"/>
          <w:sz w:val="14"/>
        </w:rPr>
      </w:pPr>
      <w:r w:rsidRPr="000635C0">
        <w:rPr>
          <w:rStyle w:val="Emphasis"/>
          <w:rFonts w:asciiTheme="minorHAnsi" w:hAnsiTheme="minorHAnsi" w:cstheme="minorHAnsi"/>
          <w:b w:val="0"/>
          <w:iCs w:val="0"/>
          <w:sz w:val="14"/>
          <w:u w:val="none"/>
        </w:rPr>
        <w:t xml:space="preserve">The problem of the best method of arriving at correct judg- ments on points of moral worth, necessarily traverses ground covered by the time-honored and time-worn theories of intuition- alism and empiricism. Even at the risk of threshing old straw, it will be advisable to compare the evolutionary method with these other points of view. In such a comparison, however, it is to be borne in mind that the sole point under review is that of the log- ical relationship of the theory examined to the meaning and sanc- tion of our moral judgments. The question is not whether or no there are intuitions; whether or no they can be utilized in special cases, or whether or no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ity of what is believed, either in general or in part? It is a question of the relation of the intuition to fact -to the moral order in reality. </w:t>
      </w:r>
      <w:r w:rsidRPr="00E850A6">
        <w:rPr>
          <w:rStyle w:val="StyleUnderline"/>
          <w:rFonts w:asciiTheme="minorHAnsi" w:hAnsiTheme="minorHAnsi" w:cstheme="minorHAnsi"/>
          <w:highlight w:val="green"/>
        </w:rPr>
        <w:t>Under</w:t>
      </w:r>
      <w:r w:rsidRPr="000635C0">
        <w:rPr>
          <w:rStyle w:val="StyleUnderline"/>
          <w:rFonts w:asciiTheme="minorHAnsi" w:hAnsiTheme="minorHAnsi" w:cstheme="minorHAnsi"/>
        </w:rPr>
        <w:t xml:space="preserve"> </w:t>
      </w:r>
      <w:r w:rsidRPr="00E850A6">
        <w:rPr>
          <w:rStyle w:val="StyleUnderline"/>
          <w:rFonts w:asciiTheme="minorHAnsi" w:hAnsiTheme="minorHAnsi" w:cstheme="minorHAnsi"/>
          <w:highlight w:val="green"/>
        </w:rPr>
        <w:t>what conditions alone</w:t>
      </w:r>
      <w:r w:rsidRPr="000635C0">
        <w:rPr>
          <w:rStyle w:val="StyleUnderline"/>
          <w:rFonts w:asciiTheme="minorHAnsi" w:hAnsiTheme="minorHAnsi" w:cstheme="minorHAnsi"/>
        </w:rPr>
        <w:t xml:space="preserve">, and in what measure or degree, </w:t>
      </w:r>
      <w:r w:rsidRPr="00E850A6">
        <w:rPr>
          <w:rStyle w:val="StyleUnderline"/>
          <w:rFonts w:asciiTheme="minorHAnsi" w:hAnsiTheme="minorHAnsi" w:cstheme="minorHAnsi"/>
          <w:highlight w:val="green"/>
        </w:rPr>
        <w:t>are we justified in</w:t>
      </w:r>
      <w:r w:rsidRPr="000635C0">
        <w:rPr>
          <w:rStyle w:val="StyleUnderline"/>
          <w:rFonts w:asciiTheme="minorHAnsi" w:hAnsiTheme="minorHAnsi" w:cstheme="minorHAnsi"/>
        </w:rPr>
        <w:t xml:space="preserve"> arguing from the existence of </w:t>
      </w:r>
      <w:r w:rsidRPr="00E850A6">
        <w:rPr>
          <w:rStyle w:val="StyleUnderline"/>
          <w:rFonts w:asciiTheme="minorHAnsi" w:hAnsiTheme="minorHAnsi" w:cstheme="minorHAnsi"/>
          <w:highlight w:val="green"/>
        </w:rPr>
        <w:t>moral intuitions as mental</w:t>
      </w:r>
      <w:r w:rsidRPr="000635C0">
        <w:rPr>
          <w:rStyle w:val="StyleUnderline"/>
          <w:rFonts w:asciiTheme="minorHAnsi" w:hAnsiTheme="minorHAnsi" w:cstheme="minorHAnsi"/>
        </w:rPr>
        <w:t xml:space="preserve"> </w:t>
      </w:r>
      <w:r w:rsidRPr="00E850A6">
        <w:rPr>
          <w:rStyle w:val="StyleUnderline"/>
          <w:rFonts w:asciiTheme="minorHAnsi" w:hAnsiTheme="minorHAnsi" w:cstheme="minorHAnsi"/>
          <w:highlight w:val="green"/>
        </w:rPr>
        <w:t>states</w:t>
      </w:r>
      <w:r w:rsidRPr="000635C0">
        <w:rPr>
          <w:rStyle w:val="StyleUnderline"/>
          <w:rFonts w:asciiTheme="minorHAnsi" w:hAnsiTheme="minorHAnsi" w:cstheme="minorHAnsi"/>
        </w:rPr>
        <w:t xml:space="preserve"> and acts </w:t>
      </w:r>
      <w:r w:rsidRPr="00E850A6">
        <w:rPr>
          <w:rStyle w:val="StyleUnderline"/>
          <w:rFonts w:asciiTheme="minorHAnsi" w:hAnsiTheme="minorHAnsi" w:cstheme="minorHAnsi"/>
          <w:highlight w:val="green"/>
        </w:rPr>
        <w:t>to facts</w:t>
      </w:r>
      <w:r w:rsidRPr="000635C0">
        <w:rPr>
          <w:rStyle w:val="StyleUnderline"/>
          <w:rFonts w:asciiTheme="minorHAnsi" w:hAnsiTheme="minorHAnsi" w:cstheme="minorHAnsi"/>
        </w:rPr>
        <w:t xml:space="preserve"> </w:t>
      </w:r>
      <w:r w:rsidRPr="00E850A6">
        <w:rPr>
          <w:rStyle w:val="StyleUnderline"/>
          <w:rFonts w:asciiTheme="minorHAnsi" w:hAnsiTheme="minorHAnsi" w:cstheme="minorHAnsi"/>
          <w:highlight w:val="green"/>
        </w:rPr>
        <w:t>taken</w:t>
      </w:r>
      <w:r w:rsidRPr="000635C0">
        <w:rPr>
          <w:rStyle w:val="StyleUnderline"/>
          <w:rFonts w:asciiTheme="minorHAnsi" w:hAnsiTheme="minorHAnsi" w:cstheme="minorHAnsi"/>
        </w:rPr>
        <w:t xml:space="preserve"> to correspond </w:t>
      </w:r>
      <w:r w:rsidRPr="00E850A6">
        <w:rPr>
          <w:rStyle w:val="StyleUnderline"/>
          <w:rFonts w:asciiTheme="minorHAnsi" w:hAnsiTheme="minorHAnsi" w:cstheme="minorHAnsi"/>
          <w:highlight w:val="green"/>
        </w:rPr>
        <w:t>to them</w:t>
      </w:r>
      <w:r w:rsidRPr="000635C0">
        <w:rPr>
          <w:rStyle w:val="StyleUnderline"/>
          <w:rFonts w:asciiTheme="minorHAnsi" w:hAnsiTheme="minorHAnsi" w:cstheme="minorHAnsi"/>
        </w:rPr>
        <w:t xml:space="preserve"> ? </w:t>
      </w:r>
      <w:r w:rsidRPr="000635C0">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w:t>
      </w:r>
      <w:r w:rsidRPr="00E850A6">
        <w:rPr>
          <w:rStyle w:val="StyleUnderline"/>
          <w:rFonts w:asciiTheme="minorHAnsi" w:hAnsiTheme="minorHAnsi" w:cstheme="minorHAnsi"/>
          <w:highlight w:val="green"/>
        </w:rPr>
        <w:t>If we find</w:t>
      </w:r>
      <w:r w:rsidRPr="000635C0">
        <w:rPr>
          <w:rStyle w:val="StyleUnderline"/>
          <w:rFonts w:asciiTheme="minorHAnsi" w:hAnsiTheme="minorHAnsi" w:cstheme="minorHAnsi"/>
        </w:rPr>
        <w:t xml:space="preserve"> that </w:t>
      </w:r>
      <w:r w:rsidRPr="00E850A6">
        <w:rPr>
          <w:rStyle w:val="StyleUnderline"/>
          <w:rFonts w:asciiTheme="minorHAnsi" w:hAnsiTheme="minorHAnsi" w:cstheme="minorHAnsi"/>
          <w:highlight w:val="green"/>
        </w:rPr>
        <w:t>historically</w:t>
      </w:r>
      <w:r w:rsidRPr="000635C0">
        <w:rPr>
          <w:rStyle w:val="StyleUnderline"/>
          <w:rFonts w:asciiTheme="minorHAnsi" w:hAnsiTheme="minorHAnsi" w:cstheme="minorHAnsi"/>
        </w:rPr>
        <w:t xml:space="preserve"> </w:t>
      </w:r>
      <w:r w:rsidRPr="00E850A6">
        <w:rPr>
          <w:rStyle w:val="StyleUnderline"/>
          <w:rFonts w:asciiTheme="minorHAnsi" w:hAnsiTheme="minorHAnsi" w:cstheme="minorHAnsi"/>
          <w:highlight w:val="green"/>
        </w:rPr>
        <w:t>the belief has</w:t>
      </w:r>
      <w:r w:rsidRPr="000635C0">
        <w:rPr>
          <w:rStyle w:val="StyleUnderline"/>
          <w:rFonts w:asciiTheme="minorHAnsi" w:hAnsiTheme="minorHAnsi" w:cstheme="minorHAnsi"/>
        </w:rPr>
        <w:t xml:space="preserve"> played a part in </w:t>
      </w:r>
      <w:r w:rsidRPr="00E850A6">
        <w:rPr>
          <w:rStyle w:val="StyleUnderline"/>
          <w:rFonts w:asciiTheme="minorHAnsi" w:hAnsiTheme="minorHAnsi" w:cstheme="minorHAnsi"/>
          <w:highlight w:val="green"/>
        </w:rPr>
        <w:t>maintain</w:t>
      </w:r>
      <w:r w:rsidRPr="000635C0">
        <w:rPr>
          <w:rStyle w:val="StyleUnderline"/>
          <w:rFonts w:asciiTheme="minorHAnsi" w:hAnsiTheme="minorHAnsi" w:cstheme="minorHAnsi"/>
        </w:rPr>
        <w:t xml:space="preserve">ing the </w:t>
      </w:r>
      <w:r w:rsidRPr="00E850A6">
        <w:rPr>
          <w:rStyle w:val="StyleUnderline"/>
          <w:rFonts w:asciiTheme="minorHAnsi" w:hAnsiTheme="minorHAnsi" w:cstheme="minorHAnsi"/>
          <w:highlight w:val="green"/>
        </w:rPr>
        <w:t>integrity</w:t>
      </w:r>
      <w:r w:rsidRPr="000635C0">
        <w:rPr>
          <w:rStyle w:val="StyleUnderline"/>
          <w:rFonts w:asciiTheme="minorHAnsi" w:hAnsiTheme="minorHAnsi" w:cstheme="minorHAnsi"/>
        </w:rPr>
        <w:t xml:space="preserve"> of social life, and in bringing new values into it, </w:t>
      </w:r>
      <w:r w:rsidRPr="00E850A6">
        <w:rPr>
          <w:rStyle w:val="StyleUnderline"/>
          <w:rFonts w:asciiTheme="minorHAnsi" w:hAnsiTheme="minorHAnsi" w:cstheme="minorHAnsi"/>
          <w:highlight w:val="green"/>
        </w:rPr>
        <w:t>our belief in its worth is</w:t>
      </w:r>
      <w:r w:rsidRPr="000635C0">
        <w:rPr>
          <w:rStyle w:val="StyleUnderline"/>
          <w:rFonts w:asciiTheme="minorHAnsi" w:hAnsiTheme="minorHAnsi" w:cstheme="minorHAnsi"/>
        </w:rPr>
        <w:t xml:space="preserve"> additionally </w:t>
      </w:r>
      <w:r w:rsidRPr="00E850A6">
        <w:rPr>
          <w:rStyle w:val="StyleUnderline"/>
          <w:rFonts w:asciiTheme="minorHAnsi" w:hAnsiTheme="minorHAnsi" w:cstheme="minorHAnsi"/>
          <w:highlight w:val="green"/>
        </w:rPr>
        <w:t>guaranteed</w:t>
      </w:r>
      <w:r w:rsidRPr="000635C0">
        <w:rPr>
          <w:rStyle w:val="StyleUnderline"/>
          <w:rFonts w:asciiTheme="minorHAnsi" w:hAnsiTheme="minorHAnsi" w:cstheme="minorHAnsi"/>
        </w:rPr>
        <w:t xml:space="preserve">. </w:t>
      </w:r>
      <w:r w:rsidRPr="00E850A6">
        <w:rPr>
          <w:rStyle w:val="StyleUnderline"/>
          <w:rFonts w:asciiTheme="minorHAnsi" w:hAnsiTheme="minorHAnsi" w:cstheme="minorHAnsi"/>
          <w:highlight w:val="green"/>
        </w:rPr>
        <w:t>But if we cannot find</w:t>
      </w:r>
      <w:r w:rsidRPr="000635C0">
        <w:rPr>
          <w:rStyle w:val="StyleUnderline"/>
          <w:rFonts w:asciiTheme="minorHAnsi" w:hAnsiTheme="minorHAnsi" w:cstheme="minorHAnsi"/>
        </w:rPr>
        <w:t xml:space="preserve"> such </w:t>
      </w:r>
      <w:r w:rsidRPr="00E850A6">
        <w:rPr>
          <w:rStyle w:val="StyleUnderline"/>
          <w:rFonts w:asciiTheme="minorHAnsi" w:hAnsiTheme="minorHAnsi" w:cstheme="minorHAnsi"/>
          <w:highlight w:val="green"/>
        </w:rPr>
        <w:t>historic</w:t>
      </w:r>
      <w:r w:rsidRPr="000635C0">
        <w:rPr>
          <w:rStyle w:val="StyleUnderline"/>
          <w:rFonts w:asciiTheme="minorHAnsi" w:hAnsiTheme="minorHAnsi" w:cstheme="minorHAnsi"/>
        </w:rPr>
        <w:t xml:space="preserve"> origin and </w:t>
      </w:r>
      <w:r w:rsidRPr="00E850A6">
        <w:rPr>
          <w:rStyle w:val="StyleUnderline"/>
          <w:rFonts w:asciiTheme="minorHAnsi" w:hAnsiTheme="minorHAnsi" w:cstheme="minorHAnsi"/>
          <w:highlight w:val="green"/>
        </w:rPr>
        <w:t>functioning</w:t>
      </w:r>
      <w:r w:rsidRPr="000635C0">
        <w:rPr>
          <w:rStyle w:val="StyleUnderline"/>
          <w:rFonts w:asciiTheme="minorHAnsi" w:hAnsiTheme="minorHAnsi" w:cstheme="minorHAnsi"/>
        </w:rPr>
        <w:t xml:space="preserve">, </w:t>
      </w:r>
      <w:r w:rsidRPr="00E850A6">
        <w:rPr>
          <w:rStyle w:val="StyleUnderline"/>
          <w:rFonts w:asciiTheme="minorHAnsi" w:hAnsiTheme="minorHAnsi" w:cstheme="minorHAnsi"/>
          <w:highlight w:val="green"/>
        </w:rPr>
        <w:t>the intuition remains a mere</w:t>
      </w:r>
      <w:r w:rsidRPr="000635C0">
        <w:rPr>
          <w:rStyle w:val="StyleUnderline"/>
          <w:rFonts w:asciiTheme="minorHAnsi" w:hAnsiTheme="minorHAnsi" w:cstheme="minorHAnsi"/>
        </w:rPr>
        <w:t xml:space="preserve"> state of consciousness, a hallucination, an </w:t>
      </w:r>
      <w:r w:rsidRPr="00E850A6">
        <w:rPr>
          <w:rStyle w:val="StyleUnderline"/>
          <w:rFonts w:asciiTheme="minorHAnsi" w:hAnsiTheme="minorHAnsi" w:cstheme="minorHAnsi"/>
          <w:highlight w:val="green"/>
        </w:rPr>
        <w:t>illusion</w:t>
      </w:r>
      <w:r w:rsidRPr="000635C0">
        <w:rPr>
          <w:rStyle w:val="StyleUnderline"/>
          <w:rFonts w:asciiTheme="minorHAnsi" w:hAnsiTheme="minorHAnsi" w:cstheme="minorHAnsi"/>
        </w:rPr>
        <w:t xml:space="preserve">, which is not made more worthy by simply multiplying the number of people who have participated in it. </w:t>
      </w:r>
      <w:r w:rsidRPr="000635C0">
        <w:rPr>
          <w:rFonts w:asciiTheme="minorHAnsi" w:hAnsiTheme="minorHAnsi" w:cstheme="minorHAnsi"/>
          <w:sz w:val="14"/>
        </w:rPr>
        <w:t xml:space="preserve">Put roughly we may say that intuitionalism, asordinarily conceived, makes the ethical belief a brute fact, because unrelated. </w:t>
      </w:r>
      <w:r w:rsidRPr="00E850A6">
        <w:rPr>
          <w:rStyle w:val="StyleUnderline"/>
          <w:rFonts w:asciiTheme="minorHAnsi" w:hAnsiTheme="minorHAnsi" w:cstheme="minorHAnsi"/>
          <w:highlight w:val="green"/>
        </w:rPr>
        <w:t>Its</w:t>
      </w:r>
      <w:r w:rsidRPr="000635C0">
        <w:rPr>
          <w:rStyle w:val="StyleUnderline"/>
          <w:rFonts w:asciiTheme="minorHAnsi" w:hAnsiTheme="minorHAnsi" w:cstheme="minorHAnsi"/>
        </w:rPr>
        <w:t xml:space="preserve"> very </w:t>
      </w:r>
      <w:r w:rsidRPr="00E850A6">
        <w:rPr>
          <w:rStyle w:val="StyleUnderline"/>
          <w:rFonts w:asciiTheme="minorHAnsi" w:hAnsiTheme="minorHAnsi" w:cstheme="minorHAnsi"/>
          <w:highlight w:val="green"/>
        </w:rPr>
        <w:t>lack of genetic relationship</w:t>
      </w:r>
      <w:r w:rsidRPr="000635C0">
        <w:rPr>
          <w:rStyle w:val="StyleUnderline"/>
          <w:rFonts w:asciiTheme="minorHAnsi" w:hAnsiTheme="minorHAnsi" w:cstheme="minorHAnsi"/>
        </w:rPr>
        <w:t xml:space="preserve"> to the situation in which it appears condemns it to isolation. This isolation logically </w:t>
      </w:r>
      <w:r w:rsidRPr="00E850A6">
        <w:rPr>
          <w:rStyle w:val="StyleUnderline"/>
          <w:rFonts w:asciiTheme="minorHAnsi" w:hAnsiTheme="minorHAnsi" w:cstheme="minorHAnsi"/>
          <w:highlight w:val="green"/>
        </w:rPr>
        <w:t xml:space="preserve">makes it impossible to credit it with </w:t>
      </w:r>
      <w:r w:rsidRPr="000635C0">
        <w:rPr>
          <w:rStyle w:val="StyleUnderline"/>
          <w:rFonts w:asciiTheme="minorHAnsi" w:hAnsiTheme="minorHAnsi" w:cstheme="minorHAnsi"/>
        </w:rPr>
        <w:t xml:space="preserve">objective </w:t>
      </w:r>
      <w:r w:rsidRPr="00E850A6">
        <w:rPr>
          <w:rStyle w:val="StyleUnderline"/>
          <w:rFonts w:asciiTheme="minorHAnsi" w:hAnsiTheme="minorHAnsi" w:cstheme="minorHAnsi"/>
          <w:highlight w:val="green"/>
        </w:rPr>
        <w:t>validity</w:t>
      </w:r>
      <w:r w:rsidRPr="000635C0">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400CA000" w14:textId="1DC47709" w:rsidR="000A2A8B" w:rsidRPr="000635C0" w:rsidRDefault="000A2A8B" w:rsidP="000A2A8B">
      <w:pPr>
        <w:pStyle w:val="Heading4"/>
        <w:rPr>
          <w:rFonts w:eastAsia="MS Gothic"/>
        </w:rPr>
      </w:pPr>
      <w:r>
        <w:t>2</w:t>
      </w:r>
      <w:r w:rsidRPr="000635C0">
        <w:t xml:space="preserve">] </w:t>
      </w:r>
      <w:r w:rsidRPr="000635C0">
        <w:rPr>
          <w:rFonts w:eastAsia="MS Gothic"/>
        </w:rPr>
        <w:t>Pluralistic Materialism – other theories rely on minimalistic criteria; our framework understands knowledge as changing and uses experience to base social change and revise ideas.</w:t>
      </w:r>
      <w:r w:rsidRPr="000635C0">
        <w:rPr>
          <w:rFonts w:eastAsia="MS Gothic"/>
        </w:rPr>
        <w:br/>
        <w:t>Glaude 7</w:t>
      </w:r>
      <w:r w:rsidRPr="000635C0">
        <w:rPr>
          <w:rFonts w:eastAsia="MS Gothic"/>
          <w:b w:val="0"/>
          <w:bCs/>
          <w:sz w:val="16"/>
        </w:rPr>
        <w:t>Eddie S. (Eddie S. Glaude Jr. is the African-American chair of the Center for African-American Studies and the William S. Tod Professor of Religion and African-American Studies at Princeton University.) In a Shade of Blue : Pragmatism and the Politics of Black America. University of Chicago Press, 2007. EBSCOhost. (5-7)</w:t>
      </w:r>
    </w:p>
    <w:p w14:paraId="3F630501" w14:textId="77777777" w:rsidR="000A2A8B" w:rsidRPr="000635C0" w:rsidRDefault="000A2A8B" w:rsidP="000A2A8B">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w:t>
      </w:r>
      <w:r w:rsidRPr="00F57F73">
        <w:rPr>
          <w:rStyle w:val="Emphasis"/>
        </w:rPr>
        <w:t xml:space="preserve">John </w:t>
      </w:r>
      <w:r w:rsidRPr="00E850A6">
        <w:rPr>
          <w:rStyle w:val="Emphasis"/>
          <w:highlight w:val="green"/>
        </w:rPr>
        <w:t>Dewey</w:t>
      </w:r>
      <w:r w:rsidRPr="00F57F73">
        <w:rPr>
          <w:rStyle w:val="Emphasis"/>
        </w:rPr>
        <w:t xml:space="preserve"> </w:t>
      </w:r>
      <w:r w:rsidRPr="00E850A6">
        <w:rPr>
          <w:rStyle w:val="Emphasis"/>
          <w:highlight w:val="green"/>
        </w:rPr>
        <w:t>thought</w:t>
      </w:r>
      <w:r w:rsidRPr="00F57F73">
        <w:rPr>
          <w:rStyle w:val="Emphasis"/>
        </w:rPr>
        <w:t xml:space="preserve"> of philosophy as a form of cultural and social criticism. He held the view that </w:t>
      </w:r>
      <w:r w:rsidRPr="00E850A6">
        <w:rPr>
          <w:rStyle w:val="Emphasis"/>
          <w:highlight w:val="green"/>
        </w:rPr>
        <w:t>philoso</w:t>
      </w:r>
      <w:r w:rsidRPr="00E850A6">
        <w:rPr>
          <w:rStyle w:val="StyleUnderline"/>
          <w:rFonts w:asciiTheme="minorHAnsi" w:hAnsiTheme="minorHAnsi" w:cstheme="minorHAnsi"/>
          <w:highlight w:val="green"/>
        </w:rPr>
        <w:t>phy</w:t>
      </w:r>
      <w:r w:rsidRPr="000635C0">
        <w:rPr>
          <w:rStyle w:val="StyleUnderline"/>
          <w:rFonts w:asciiTheme="minorHAnsi" w:hAnsiTheme="minorHAnsi" w:cstheme="minorHAnsi"/>
        </w:rPr>
        <w:t xml:space="preserve">, properly understood as a mode of wis-dom, </w:t>
      </w:r>
      <w:r w:rsidRPr="00E850A6">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E850A6">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E850A6">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w:t>
      </w:r>
      <w:r w:rsidRPr="00E850A6">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E850A6">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E850A6">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E850A6">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E850A6">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E850A6">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E850A6">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E850A6">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E850A6">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This view makes clear the experimental function of knowledge. Dewey emphasized that knowledge entails efforts to control and select future experience and that we are always con-fronted with the possibility of error when we act</w:t>
      </w:r>
      <w:r w:rsidRPr="000635C0">
        <w:rPr>
          <w:rStyle w:val="StyleUnderline"/>
          <w:rFonts w:asciiTheme="minorHAnsi" w:hAnsiTheme="minorHAnsi" w:cstheme="minorHAnsi"/>
        </w:rPr>
        <w:t xml:space="preserve">. </w:t>
      </w:r>
      <w:r w:rsidRPr="00E850A6">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E850A6">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E850A6">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E850A6">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E850A6">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E850A6">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E850A6">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E850A6">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54C3CB82" w14:textId="15175CE1" w:rsidR="000A2A8B" w:rsidRPr="000635C0" w:rsidRDefault="000A2A8B" w:rsidP="000A2A8B">
      <w:pPr>
        <w:pStyle w:val="Heading4"/>
        <w:spacing w:before="0" w:line="276" w:lineRule="auto"/>
        <w:rPr>
          <w:rFonts w:asciiTheme="minorHAnsi" w:hAnsiTheme="minorHAnsi" w:cstheme="minorHAnsi"/>
          <w:bCs/>
        </w:rPr>
      </w:pPr>
      <w:r>
        <w:rPr>
          <w:rFonts w:asciiTheme="minorHAnsi" w:hAnsiTheme="minorHAnsi" w:cstheme="minorHAnsi"/>
        </w:rPr>
        <w:t>3</w:t>
      </w:r>
      <w:r w:rsidRPr="000635C0">
        <w:rPr>
          <w:rFonts w:asciiTheme="minorHAnsi" w:hAnsiTheme="minorHAnsi" w:cstheme="minorHAnsi"/>
        </w:rPr>
        <w:t>] Best studies prove pluralistic tendencies are inevitable</w:t>
      </w:r>
    </w:p>
    <w:p w14:paraId="76631363" w14:textId="77777777" w:rsidR="000A2A8B" w:rsidRPr="000635C0" w:rsidRDefault="000A2A8B" w:rsidP="000A2A8B">
      <w:pPr>
        <w:spacing w:after="0" w:line="276" w:lineRule="auto"/>
        <w:rPr>
          <w:rFonts w:asciiTheme="minorHAnsi" w:hAnsiTheme="minorHAnsi" w:cstheme="minorHAnsi"/>
        </w:rPr>
      </w:pPr>
      <w:r w:rsidRPr="000635C0">
        <w:rPr>
          <w:rStyle w:val="Style13ptBold"/>
          <w:rFonts w:asciiTheme="minorHAnsi" w:hAnsiTheme="minorHAnsi" w:cstheme="minorHAnsi"/>
        </w:rPr>
        <w:t>Polzler 19</w:t>
      </w:r>
      <w:r w:rsidRPr="000635C0">
        <w:rPr>
          <w:rFonts w:asciiTheme="minorHAnsi" w:hAnsiTheme="minorHAnsi" w:cstheme="minorHAnsi"/>
        </w:rPr>
        <w:t xml:space="preserve">[Thomas Pölzler and Jennifer Cole Wright- “Empirical research on folk moral objectivism” </w:t>
      </w:r>
      <w:hyperlink r:id="rId11" w:history="1">
        <w:r w:rsidRPr="000635C0">
          <w:rPr>
            <w:rStyle w:val="Hyperlink"/>
            <w:rFonts w:asciiTheme="minorHAnsi" w:hAnsiTheme="minorHAnsi" w:cstheme="minorHAnsi"/>
          </w:rPr>
          <w:t>https://www.ncbi.nlm.nih.gov/pmc/articles/PMC6686698/</w:t>
        </w:r>
      </w:hyperlink>
      <w:r w:rsidRPr="000635C0">
        <w:rPr>
          <w:rFonts w:asciiTheme="minorHAnsi" w:hAnsiTheme="minorHAnsi" w:cstheme="minorHAnsi"/>
        </w:rPr>
        <w:t xml:space="preserve"> NCBI. Published July 5</w:t>
      </w:r>
      <w:r w:rsidRPr="000635C0">
        <w:rPr>
          <w:rFonts w:asciiTheme="minorHAnsi" w:hAnsiTheme="minorHAnsi" w:cstheme="minorHAnsi"/>
          <w:vertAlign w:val="superscript"/>
        </w:rPr>
        <w:t>th</w:t>
      </w:r>
      <w:r w:rsidRPr="000635C0">
        <w:rPr>
          <w:rFonts w:asciiTheme="minorHAnsi" w:hAnsiTheme="minorHAnsi" w:cstheme="minorHAnsi"/>
        </w:rPr>
        <w:t xml:space="preserve"> 2019] </w:t>
      </w:r>
    </w:p>
    <w:p w14:paraId="51EBC303" w14:textId="77777777" w:rsidR="000A2A8B" w:rsidRPr="000635C0" w:rsidRDefault="000A2A8B" w:rsidP="000A2A8B">
      <w:pPr>
        <w:spacing w:after="0" w:line="276" w:lineRule="auto"/>
        <w:rPr>
          <w:rFonts w:asciiTheme="minorHAnsi" w:hAnsiTheme="minorHAnsi" w:cstheme="minorHAnsi"/>
          <w:sz w:val="10"/>
        </w:rPr>
      </w:pPr>
      <w:r w:rsidRPr="00E850A6">
        <w:rPr>
          <w:rStyle w:val="Emphasis"/>
          <w:rFonts w:asciiTheme="minorHAnsi" w:hAnsiTheme="minorHAnsi" w:cstheme="minorHAnsi"/>
          <w:highlight w:val="green"/>
        </w:rPr>
        <w:t>Examining these studies'</w:t>
      </w:r>
      <w:r w:rsidRPr="000635C0">
        <w:rPr>
          <w:rFonts w:asciiTheme="minorHAnsi" w:hAnsiTheme="minorHAnsi" w:cstheme="minorHAnsi"/>
          <w:sz w:val="10"/>
        </w:rPr>
        <w:t xml:space="preserve"> results more closely, however, makes it less clear whether this interpretation is appropriate (Pölzler, 2018b). Take again Goodwin and Darley's study. In this study, </w:t>
      </w:r>
      <w:r w:rsidRPr="000635C0">
        <w:rPr>
          <w:rFonts w:asciiTheme="minorHAnsi" w:hAnsiTheme="minorHAnsi" w:cstheme="minorHAnsi"/>
          <w:u w:val="single"/>
        </w:rPr>
        <w:t>almost 30% of subjects' responses to the disagreement measure</w:t>
      </w:r>
      <w:r w:rsidRPr="000635C0">
        <w:rPr>
          <w:rFonts w:asciiTheme="minorHAnsi" w:hAnsiTheme="minorHAnsi" w:cstheme="minorHAnsi"/>
          <w:sz w:val="10"/>
        </w:rPr>
        <w:t xml:space="preserve"> and almost </w:t>
      </w:r>
      <w:r w:rsidRPr="000635C0">
        <w:rPr>
          <w:rFonts w:asciiTheme="minorHAnsi" w:hAnsiTheme="minorHAnsi" w:cstheme="minorHAnsi"/>
          <w:u w:val="single"/>
        </w:rPr>
        <w:t>50% of their responses to the truth‐aptness measure fell</w:t>
      </w:r>
      <w:r w:rsidRPr="000635C0">
        <w:rPr>
          <w:rFonts w:asciiTheme="minorHAnsi" w:hAnsiTheme="minorHAnsi" w:cstheme="minorHAnsi"/>
          <w:sz w:val="10"/>
        </w:rPr>
        <w:t xml:space="preserve"> on the option that the researchers took to be indicative of subjectivism (Goodwin &amp; Darley, 2008, pp. 1347, 1351). Moreover, while </w:t>
      </w:r>
      <w:r w:rsidRPr="00E850A6">
        <w:rPr>
          <w:rStyle w:val="Emphasis"/>
          <w:rFonts w:asciiTheme="minorHAnsi" w:hAnsiTheme="minorHAnsi" w:cstheme="minorHAnsi"/>
          <w:highlight w:val="green"/>
        </w:rPr>
        <w:t>some moral statements were</w:t>
      </w:r>
      <w:r w:rsidRPr="000635C0">
        <w:rPr>
          <w:rStyle w:val="Emphasis"/>
          <w:rFonts w:asciiTheme="minorHAnsi" w:hAnsiTheme="minorHAnsi" w:cstheme="minorHAnsi"/>
        </w:rPr>
        <w:t xml:space="preserve"> dominantly </w:t>
      </w:r>
      <w:r w:rsidRPr="00E850A6">
        <w:rPr>
          <w:rStyle w:val="Emphasis"/>
          <w:rFonts w:asciiTheme="minorHAnsi" w:hAnsiTheme="minorHAnsi" w:cstheme="minorHAnsi"/>
          <w:highlight w:val="green"/>
        </w:rPr>
        <w:t>classified as objective</w:t>
      </w:r>
      <w:r w:rsidRPr="000635C0">
        <w:rPr>
          <w:rFonts w:asciiTheme="minorHAnsi" w:hAnsiTheme="minorHAnsi" w:cstheme="minorHAnsi"/>
          <w:sz w:val="10"/>
        </w:rPr>
        <w:t xml:space="preserve"> (e.g., the above statement about robbery), many </w:t>
      </w:r>
      <w:r w:rsidRPr="00E850A6">
        <w:rPr>
          <w:rStyle w:val="Emphasis"/>
          <w:rFonts w:asciiTheme="minorHAnsi" w:hAnsiTheme="minorHAnsi" w:cstheme="minorHAnsi"/>
          <w:highlight w:val="green"/>
        </w:rPr>
        <w:t>others were</w:t>
      </w:r>
      <w:r w:rsidRPr="000635C0">
        <w:rPr>
          <w:rStyle w:val="Emphasis"/>
          <w:rFonts w:asciiTheme="minorHAnsi" w:hAnsiTheme="minorHAnsi" w:cstheme="minorHAnsi"/>
        </w:rPr>
        <w:t xml:space="preserve"> dominantly classified </w:t>
      </w:r>
      <w:r w:rsidRPr="00E850A6">
        <w:rPr>
          <w:rStyle w:val="Emphasis"/>
          <w:rFonts w:asciiTheme="minorHAnsi" w:hAnsiTheme="minorHAnsi" w:cstheme="minorHAnsi"/>
          <w:highlight w:val="green"/>
        </w:rPr>
        <w:t>as nonobjective</w:t>
      </w:r>
      <w:r w:rsidRPr="000635C0">
        <w:rPr>
          <w:rFonts w:asciiTheme="minorHAnsi" w:hAnsiTheme="minorHAnsi" w:cstheme="minorHAnsi"/>
          <w:sz w:val="10"/>
        </w:rPr>
        <w:t xml:space="preserve"> (e.g., the stem cell research statement). This suggests that subjects in </w:t>
      </w:r>
      <w:r w:rsidRPr="000635C0">
        <w:rPr>
          <w:rFonts w:asciiTheme="minorHAnsi" w:hAnsiTheme="minorHAnsi" w:cstheme="minorHAnsi"/>
          <w:u w:val="single"/>
        </w:rPr>
        <w:t xml:space="preserve">Goodwin and </w:t>
      </w:r>
      <w:r w:rsidRPr="00E850A6">
        <w:rPr>
          <w:rStyle w:val="Emphasis"/>
          <w:rFonts w:asciiTheme="minorHAnsi" w:hAnsiTheme="minorHAnsi" w:cstheme="minorHAnsi"/>
          <w:highlight w:val="green"/>
        </w:rPr>
        <w:t>Darley's study may have</w:t>
      </w:r>
      <w:r w:rsidRPr="000635C0">
        <w:rPr>
          <w:rStyle w:val="Emphasis"/>
          <w:rFonts w:asciiTheme="minorHAnsi" w:hAnsiTheme="minorHAnsi" w:cstheme="minorHAnsi"/>
        </w:rPr>
        <w:t xml:space="preserve"> actually </w:t>
      </w:r>
      <w:r w:rsidRPr="00E850A6">
        <w:rPr>
          <w:rStyle w:val="Emphasis"/>
          <w:rFonts w:asciiTheme="minorHAnsi" w:hAnsiTheme="minorHAnsi" w:cstheme="minorHAnsi"/>
          <w:highlight w:val="green"/>
        </w:rPr>
        <w:t>favored</w:t>
      </w:r>
      <w:r w:rsidRPr="000635C0">
        <w:rPr>
          <w:rFonts w:asciiTheme="minorHAnsi" w:hAnsiTheme="minorHAnsi" w:cstheme="minorHAnsi"/>
          <w:sz w:val="10"/>
        </w:rPr>
        <w:t xml:space="preserve"> what Wright, Grandjean, and McWhite (2013) called </w:t>
      </w:r>
      <w:r w:rsidRPr="00E850A6">
        <w:rPr>
          <w:rStyle w:val="Emphasis"/>
          <w:rFonts w:asciiTheme="minorHAnsi" w:hAnsiTheme="minorHAnsi" w:cstheme="minorHAnsi"/>
          <w:highlight w:val="green"/>
        </w:rPr>
        <w:t>“metaethical pluralism</w:t>
      </w:r>
      <w:r w:rsidRPr="000635C0">
        <w:rPr>
          <w:rFonts w:asciiTheme="minorHAnsi" w:hAnsiTheme="minorHAnsi" w:cstheme="minorHAnsi"/>
          <w:sz w:val="10"/>
        </w:rPr>
        <w:t xml:space="preserve">,” i.e., they sometimes sided with objectivism and other times with nonobjectivism. </w:t>
      </w:r>
      <w:r w:rsidRPr="00E850A6">
        <w:rPr>
          <w:rStyle w:val="Emphasis"/>
          <w:rFonts w:asciiTheme="minorHAnsi" w:hAnsiTheme="minorHAnsi" w:cstheme="minorHAnsi"/>
          <w:highlight w:val="green"/>
        </w:rPr>
        <w:t>More</w:t>
      </w:r>
      <w:r w:rsidRPr="000635C0">
        <w:rPr>
          <w:rStyle w:val="Emphasis"/>
          <w:rFonts w:asciiTheme="minorHAnsi" w:hAnsiTheme="minorHAnsi" w:cstheme="minorHAnsi"/>
        </w:rPr>
        <w:t xml:space="preserve"> recent </w:t>
      </w:r>
      <w:r w:rsidRPr="00E850A6">
        <w:rPr>
          <w:rStyle w:val="Emphasis"/>
          <w:rFonts w:asciiTheme="minorHAnsi" w:hAnsiTheme="minorHAnsi" w:cstheme="minorHAnsi"/>
          <w:highlight w:val="green"/>
        </w:rPr>
        <w:t>studies have</w:t>
      </w:r>
      <w:r w:rsidRPr="000635C0">
        <w:rPr>
          <w:rStyle w:val="Emphasis"/>
          <w:rFonts w:asciiTheme="minorHAnsi" w:hAnsiTheme="minorHAnsi" w:cstheme="minorHAnsi"/>
        </w:rPr>
        <w:t xml:space="preserve"> by and large </w:t>
      </w:r>
      <w:r w:rsidRPr="00E850A6">
        <w:rPr>
          <w:rStyle w:val="Emphasis"/>
          <w:rFonts w:asciiTheme="minorHAnsi" w:hAnsiTheme="minorHAnsi" w:cstheme="minorHAnsi"/>
          <w:highlight w:val="green"/>
        </w:rPr>
        <w:t>confirmed</w:t>
      </w:r>
      <w:r w:rsidRPr="000635C0">
        <w:rPr>
          <w:rFonts w:asciiTheme="minorHAnsi" w:hAnsiTheme="minorHAnsi" w:cstheme="minorHAnsi"/>
          <w:u w:val="single"/>
        </w:rPr>
        <w:t xml:space="preserve"> this</w:t>
      </w:r>
      <w:r w:rsidRPr="000635C0">
        <w:rPr>
          <w:rFonts w:asciiTheme="minorHAnsi" w:hAnsiTheme="minorHAnsi" w:cstheme="minorHAnsi"/>
          <w:sz w:val="10"/>
        </w:rPr>
        <w:t xml:space="preserve"> hypothesis of </w:t>
      </w:r>
      <w:r w:rsidRPr="000635C0">
        <w:rPr>
          <w:rFonts w:asciiTheme="minorHAnsi" w:hAnsiTheme="minorHAnsi" w:cstheme="minorHAnsi"/>
          <w:u w:val="single"/>
        </w:rPr>
        <w:t>folk metaethical pluralism</w:t>
      </w:r>
      <w:r w:rsidRPr="000635C0">
        <w:rPr>
          <w:rFonts w:asciiTheme="minorHAnsi" w:hAnsiTheme="minorHAnsi" w:cstheme="minorHAnsi"/>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E850A6">
        <w:rPr>
          <w:rStyle w:val="Emphasis"/>
          <w:rFonts w:asciiTheme="minorHAnsi" w:hAnsiTheme="minorHAnsi" w:cstheme="minorHAnsi"/>
          <w:highlight w:val="green"/>
        </w:rPr>
        <w:t>Objectivity ratings for statements</w:t>
      </w:r>
      <w:r w:rsidRPr="000635C0">
        <w:rPr>
          <w:rFonts w:asciiTheme="minorHAnsi" w:hAnsiTheme="minorHAnsi" w:cstheme="minorHAnsi"/>
          <w:sz w:val="10"/>
        </w:rPr>
        <w:t xml:space="preserve"> that were dominantly self‐classified as moral </w:t>
      </w:r>
      <w:r w:rsidRPr="00E850A6">
        <w:rPr>
          <w:rStyle w:val="Emphasis"/>
          <w:rFonts w:asciiTheme="minorHAnsi" w:hAnsiTheme="minorHAnsi" w:cstheme="minorHAnsi"/>
          <w:highlight w:val="green"/>
        </w:rPr>
        <w:t>varied between</w:t>
      </w:r>
      <w:r w:rsidRPr="000635C0">
        <w:rPr>
          <w:rStyle w:val="Emphasis"/>
          <w:rFonts w:asciiTheme="minorHAnsi" w:hAnsiTheme="minorHAnsi" w:cstheme="minorHAnsi"/>
        </w:rPr>
        <w:t xml:space="preserve"> as little as </w:t>
      </w:r>
      <w:r w:rsidRPr="00E850A6">
        <w:rPr>
          <w:rStyle w:val="Emphasis"/>
          <w:rFonts w:asciiTheme="minorHAnsi" w:hAnsiTheme="minorHAnsi" w:cstheme="minorHAnsi"/>
          <w:highlight w:val="green"/>
        </w:rPr>
        <w:t>5% and</w:t>
      </w:r>
      <w:r w:rsidRPr="000635C0">
        <w:rPr>
          <w:rStyle w:val="Emphasis"/>
          <w:rFonts w:asciiTheme="minorHAnsi" w:hAnsiTheme="minorHAnsi" w:cstheme="minorHAnsi"/>
        </w:rPr>
        <w:t xml:space="preserve"> as much as </w:t>
      </w:r>
      <w:r w:rsidRPr="00E850A6">
        <w:rPr>
          <w:rStyle w:val="Emphasis"/>
          <w:rFonts w:asciiTheme="minorHAnsi" w:hAnsiTheme="minorHAnsi" w:cstheme="minorHAnsi"/>
          <w:highlight w:val="green"/>
        </w:rPr>
        <w:t>85%.</w:t>
      </w:r>
      <w:r w:rsidRPr="000635C0">
        <w:rPr>
          <w:rFonts w:asciiTheme="minorHAnsi" w:hAnsiTheme="minorHAnsi" w:cstheme="minorHAnsi"/>
          <w:sz w:val="10"/>
        </w:rPr>
        <w:t xml:space="preserve"> </w:t>
      </w:r>
      <w:r w:rsidRPr="000635C0">
        <w:rPr>
          <w:rFonts w:asciiTheme="minorHAnsi" w:hAnsiTheme="minorHAnsi" w:cstheme="minorHAnsi"/>
          <w:u w:val="single"/>
        </w:rPr>
        <w:t>Research based on different measures yielded high proportions of intrapersonal variation as well</w:t>
      </w:r>
      <w:r w:rsidRPr="000635C0">
        <w:rPr>
          <w:rFonts w:asciiTheme="minorHAnsi" w:hAnsiTheme="minorHAnsi" w:cstheme="minorHAnsi"/>
          <w:sz w:val="10"/>
        </w:rPr>
        <w:t xml:space="preserve"> (e.g., Beebe, 2014; Beebe, Qiaoan, Wysocki, &amp; Endara, 2015; Beebe &amp; Sackris, 2016; Fisher, Knobe, Strickland, &amp; Keil, 2017; Goodwin &amp; Darley, 2012; Heiphetz &amp; Young, 2017; Wright, 2018; Zijlstra, forthcoming‐a).2</w:t>
      </w:r>
    </w:p>
    <w:p w14:paraId="5CA52247" w14:textId="3C52D797" w:rsidR="000A2A8B" w:rsidRPr="000635C0" w:rsidRDefault="000A2A8B" w:rsidP="000A2A8B">
      <w:pPr>
        <w:pStyle w:val="Heading4"/>
      </w:pPr>
      <w:r>
        <w:t>4</w:t>
      </w:r>
      <w:r w:rsidRPr="000635C0">
        <w:t xml:space="preserve">] Governmental action necessitates public deliberation of affected citizens. </w:t>
      </w:r>
    </w:p>
    <w:p w14:paraId="4620F5FA" w14:textId="77777777" w:rsidR="000A2A8B" w:rsidRPr="000635C0" w:rsidRDefault="000A2A8B" w:rsidP="000A2A8B">
      <w:pPr>
        <w:spacing w:line="240" w:lineRule="auto"/>
        <w:rPr>
          <w:rFonts w:asciiTheme="minorHAnsi" w:hAnsiTheme="minorHAnsi" w:cstheme="minorHAnsi"/>
        </w:rPr>
      </w:pPr>
      <w:r w:rsidRPr="000635C0">
        <w:rPr>
          <w:rFonts w:asciiTheme="minorHAnsi" w:hAnsiTheme="minorHAnsi" w:cstheme="minorHAnsi"/>
          <w:b/>
          <w:bCs/>
        </w:rPr>
        <w:t>Christman 15</w:t>
      </w:r>
      <w:r w:rsidRPr="000635C0">
        <w:rPr>
          <w:rFonts w:asciiTheme="minorHAnsi" w:hAnsiTheme="minorHAnsi" w:cstheme="minorHAnsi"/>
        </w:rPr>
        <w:t xml:space="preserve"> </w:t>
      </w:r>
      <w:r w:rsidRPr="000635C0">
        <w:rPr>
          <w:rFonts w:asciiTheme="minorHAnsi" w:hAnsiTheme="minorHAnsi" w:cstheme="minorHAnsi"/>
          <w:sz w:val="16"/>
          <w:szCs w:val="16"/>
        </w:rPr>
        <w:t xml:space="preserve">[Bracketed for Clarity. John Christman (Professor of Philosophy, Political Science, and Women's Studies at Penn State University). “Autonomy in Moral and Political Philosophy.” Stanford Encyclopedia of Philosophy. First published Mon Jul 28, 2003; substantive revision Fri Jan 9, 2015. Accessed 6/12/20. </w:t>
      </w:r>
      <w:hyperlink r:id="rId12" w:history="1">
        <w:r w:rsidRPr="000635C0">
          <w:rPr>
            <w:rStyle w:val="Hyperlink"/>
            <w:rFonts w:asciiTheme="minorHAnsi" w:hAnsiTheme="minorHAnsi" w:cstheme="minorHAnsi"/>
            <w:sz w:val="16"/>
            <w:szCs w:val="16"/>
          </w:rPr>
          <w:t>https://plato.stanford.edu/entries/autonomy-moral/</w:t>
        </w:r>
      </w:hyperlink>
      <w:r w:rsidRPr="000635C0">
        <w:rPr>
          <w:rFonts w:asciiTheme="minorHAnsi" w:hAnsiTheme="minorHAnsi" w:cstheme="minorHAnsi"/>
          <w:sz w:val="16"/>
          <w:szCs w:val="16"/>
        </w:rPr>
        <w:t xml:space="preserve"> //Xu]</w:t>
      </w:r>
    </w:p>
    <w:p w14:paraId="79895F25" w14:textId="77777777" w:rsidR="000A2A8B" w:rsidRPr="000635C0" w:rsidRDefault="000A2A8B" w:rsidP="000A2A8B">
      <w:pPr>
        <w:spacing w:line="240" w:lineRule="auto"/>
        <w:rPr>
          <w:rFonts w:asciiTheme="minorHAnsi" w:hAnsiTheme="minorHAnsi" w:cstheme="minorHAnsi"/>
          <w:sz w:val="14"/>
        </w:rPr>
      </w:pPr>
      <w:r w:rsidRPr="000635C0">
        <w:rPr>
          <w:rFonts w:asciiTheme="minorHAnsi" w:hAnsiTheme="minorHAnsi" w:cstheme="minorHAnsi"/>
          <w:sz w:val="14"/>
        </w:rPr>
        <w:t xml:space="preserve">In closing, we should add a word about the implications of political liberalism for the traditional division between liberal justice and democratic theory. I say “division” here, but different views of justice and democracy will convey very different conceptions of the relation between the two (see Christiano 1996, Lakoff 1996). But traditionally, liberal conceptions of justice have viewed democratic mechanisms of collective choice as essential but highly circumscribed by the constitutional provisions that principles of justice support. Individual rights and freedoms, equality before the law, and various privileges and </w:t>
      </w:r>
      <w:r w:rsidRPr="000635C0">
        <w:rPr>
          <w:rStyle w:val="Emphasis"/>
          <w:rFonts w:asciiTheme="minorHAnsi" w:hAnsiTheme="minorHAnsi" w:cstheme="minorHAnsi"/>
        </w:rPr>
        <w:t xml:space="preserve">protections associated with citizen autonomy are protected by principles of justice and hence not subject to democratic review, on this approach (Gutmann 1993). However, liberal </w:t>
      </w:r>
      <w:r w:rsidRPr="00E850A6">
        <w:rPr>
          <w:rStyle w:val="Emphasis"/>
          <w:rFonts w:asciiTheme="minorHAnsi" w:hAnsiTheme="minorHAnsi" w:cstheme="minorHAnsi"/>
          <w:highlight w:val="green"/>
        </w:rPr>
        <w:t>conceptions of justice</w:t>
      </w:r>
      <w:r w:rsidRPr="000635C0">
        <w:rPr>
          <w:rStyle w:val="Emphasis"/>
          <w:rFonts w:asciiTheme="minorHAnsi" w:hAnsiTheme="minorHAnsi" w:cstheme="minorHAnsi"/>
        </w:rPr>
        <w:t xml:space="preserve"> have themselves evolved (in some strains at least) to </w:t>
      </w:r>
      <w:r w:rsidRPr="00E850A6">
        <w:rPr>
          <w:rStyle w:val="Emphasis"/>
          <w:rFonts w:asciiTheme="minorHAnsi" w:hAnsiTheme="minorHAnsi" w:cstheme="minorHAnsi"/>
          <w:highlight w:val="green"/>
        </w:rPr>
        <w:t>include</w:t>
      </w:r>
      <w:r w:rsidRPr="000635C0">
        <w:rPr>
          <w:rStyle w:val="Emphasis"/>
          <w:rFonts w:asciiTheme="minorHAnsi" w:hAnsiTheme="minorHAnsi" w:cstheme="minorHAnsi"/>
        </w:rPr>
        <w:t xml:space="preserve"> reference to collective </w:t>
      </w:r>
      <w:r w:rsidRPr="00E850A6">
        <w:rPr>
          <w:rStyle w:val="Emphasis"/>
          <w:rFonts w:asciiTheme="minorHAnsi" w:hAnsiTheme="minorHAnsi" w:cstheme="minorHAnsi"/>
          <w:highlight w:val="green"/>
        </w:rPr>
        <w:t>discussion</w:t>
      </w:r>
      <w:r w:rsidRPr="000635C0">
        <w:rPr>
          <w:rStyle w:val="Emphasis"/>
          <w:rFonts w:asciiTheme="minorHAnsi" w:hAnsiTheme="minorHAnsi" w:cstheme="minorHAnsi"/>
        </w:rPr>
        <w:t xml:space="preserve"> and debate (public reason) </w:t>
      </w:r>
      <w:r w:rsidRPr="00E850A6">
        <w:rPr>
          <w:rStyle w:val="Emphasis"/>
          <w:rFonts w:asciiTheme="minorHAnsi" w:hAnsiTheme="minorHAnsi" w:cstheme="minorHAnsi"/>
          <w:highlight w:val="green"/>
        </w:rPr>
        <w:t>among</w:t>
      </w:r>
      <w:r w:rsidRPr="000635C0">
        <w:rPr>
          <w:rStyle w:val="Emphasis"/>
          <w:rFonts w:asciiTheme="minorHAnsi" w:hAnsiTheme="minorHAnsi" w:cstheme="minorHAnsi"/>
        </w:rPr>
        <w:t xml:space="preserve"> the constitutive </w:t>
      </w:r>
      <w:r w:rsidRPr="00E850A6">
        <w:rPr>
          <w:rStyle w:val="Emphasis"/>
          <w:rFonts w:asciiTheme="minorHAnsi" w:hAnsiTheme="minorHAnsi" w:cstheme="minorHAnsi"/>
          <w:highlight w:val="green"/>
        </w:rPr>
        <w:t>conditions of legitimacy</w:t>
      </w:r>
      <w:r w:rsidRPr="000635C0">
        <w:rPr>
          <w:rStyle w:val="Emphasis"/>
          <w:rFonts w:asciiTheme="minorHAnsi" w:hAnsiTheme="minorHAnsi" w:cstheme="minorHAnsi"/>
        </w:rPr>
        <w:t xml:space="preserve">. It could be claimed, then, that basic assumptions about citizens' capacities for reflective deliberation and choice — autonomy — must be part of the background conditions against which an overlapping consensus or other sort of political agreement concerning principles of justice is to operate. </w:t>
      </w:r>
      <w:r w:rsidRPr="000635C0">
        <w:rPr>
          <w:rFonts w:asciiTheme="minorHAnsi" w:hAnsiTheme="minorHAnsi" w:cstheme="minorHAnsi"/>
          <w:sz w:val="14"/>
        </w:rPr>
        <w:t xml:space="preserve">Some thinkers have made the connection between individual or “private” autonomy and collective or “public” legitimacy — prominent, most notably Habermas (Habermas 1994). 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w:t>
      </w:r>
      <w:r w:rsidRPr="000635C0">
        <w:rPr>
          <w:rStyle w:val="StyleUnderline"/>
        </w:rPr>
        <w:t xml:space="preserve">Rather, </w:t>
      </w:r>
      <w:r w:rsidRPr="00E850A6">
        <w:rPr>
          <w:rStyle w:val="StyleUnderline"/>
          <w:highlight w:val="green"/>
        </w:rPr>
        <w:t>justice amounts to</w:t>
      </w:r>
      <w:r w:rsidRPr="000635C0">
        <w:rPr>
          <w:rStyle w:val="StyleUnderline"/>
        </w:rPr>
        <w:t xml:space="preserve"> that set of </w:t>
      </w:r>
      <w:r w:rsidRPr="00E850A6">
        <w:rPr>
          <w:rStyle w:val="StyleUnderline"/>
          <w:highlight w:val="green"/>
        </w:rPr>
        <w:t>principles</w:t>
      </w:r>
      <w:r w:rsidRPr="000635C0">
        <w:rPr>
          <w:rStyle w:val="StyleUnderline"/>
        </w:rPr>
        <w:t xml:space="preserve"> that are established in practice and </w:t>
      </w:r>
      <w:r w:rsidRPr="00E850A6">
        <w:rPr>
          <w:rStyle w:val="StyleUnderline"/>
          <w:highlight w:val="green"/>
        </w:rPr>
        <w:t>rendered legitimate</w:t>
      </w:r>
      <w:r w:rsidRPr="000635C0">
        <w:rPr>
          <w:rStyle w:val="StyleUnderline"/>
        </w:rPr>
        <w:t xml:space="preserve"> by the actual support of affected </w:t>
      </w:r>
      <w:r w:rsidRPr="00E850A6">
        <w:rPr>
          <w:rStyle w:val="StyleUnderline"/>
          <w:highlight w:val="green"/>
        </w:rPr>
        <w:t>citizens</w:t>
      </w:r>
      <w:r w:rsidRPr="000635C0">
        <w:rPr>
          <w:rStyle w:val="StyleUnderline"/>
        </w:rPr>
        <w:t xml:space="preserve"> (and their representatives) </w:t>
      </w:r>
      <w:r w:rsidRPr="00E850A6">
        <w:rPr>
          <w:rStyle w:val="StyleUnderline"/>
          <w:highlight w:val="green"/>
        </w:rPr>
        <w:t>in a process of</w:t>
      </w:r>
      <w:r w:rsidRPr="000635C0">
        <w:rPr>
          <w:rStyle w:val="StyleUnderline"/>
        </w:rPr>
        <w:t xml:space="preserve"> collective discourse and </w:t>
      </w:r>
      <w:r w:rsidRPr="00E850A6">
        <w:rPr>
          <w:rStyle w:val="StyleUnderline"/>
          <w:highlight w:val="green"/>
        </w:rPr>
        <w:t>deliberation</w:t>
      </w:r>
      <w:r w:rsidRPr="000635C0">
        <w:rPr>
          <w:rStyle w:val="StyleUnderline"/>
        </w:rPr>
        <w:t xml:space="preserve"> (see e.g., Fraser 1997, 11–40 and Young 2000). </w:t>
      </w:r>
      <w:r w:rsidRPr="000635C0">
        <w:rPr>
          <w:sz w:val="14"/>
        </w:rPr>
        <w:t>Systems of rights and protections (private, individual autonomy) will necessarily be protected in order to institutionalize frameworks of public deliberation</w:t>
      </w:r>
      <w:r w:rsidRPr="000635C0">
        <w:rPr>
          <w:rFonts w:asciiTheme="minorHAnsi" w:hAnsiTheme="minorHAnsi" w:cstheme="minorHAnsi"/>
          <w:sz w:val="14"/>
        </w:rPr>
        <w:t xml:space="preserve">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 in particular, conceptualizing autonomy in a way that assumes reflective self- evaluation. </w:t>
      </w:r>
      <w:r w:rsidRPr="000635C0">
        <w:rPr>
          <w:rStyle w:val="StyleUnderline"/>
        </w:rPr>
        <w:t xml:space="preserve">For </w:t>
      </w:r>
      <w:r w:rsidRPr="00E850A6">
        <w:rPr>
          <w:rStyle w:val="StyleUnderline"/>
          <w:highlight w:val="green"/>
        </w:rPr>
        <w:t>only if citizen participants in</w:t>
      </w:r>
      <w:r w:rsidRPr="000635C0">
        <w:rPr>
          <w:rStyle w:val="StyleUnderline"/>
        </w:rPr>
        <w:t xml:space="preserve"> the public </w:t>
      </w:r>
      <w:r w:rsidRPr="00E850A6">
        <w:rPr>
          <w:rStyle w:val="StyleUnderline"/>
          <w:highlight w:val="green"/>
        </w:rPr>
        <w:t>discourse</w:t>
      </w:r>
      <w:r w:rsidRPr="000635C0">
        <w:rPr>
          <w:rStyle w:val="StyleUnderline"/>
        </w:rPr>
        <w:t xml:space="preserve"> that underlies justice are assumed to have (and provided the basic resources for having) capacities for competent self- reflection, </w:t>
      </w:r>
      <w:r w:rsidRPr="00E850A6">
        <w:rPr>
          <w:rStyle w:val="StyleUnderline"/>
          <w:highlight w:val="green"/>
        </w:rPr>
        <w:t>can</w:t>
      </w:r>
      <w:r w:rsidRPr="000635C0">
        <w:rPr>
          <w:rStyle w:val="StyleUnderline"/>
        </w:rPr>
        <w:t xml:space="preserve"> the public defense and discussion of competing </w:t>
      </w:r>
      <w:r w:rsidRPr="00E850A6">
        <w:rPr>
          <w:rStyle w:val="StyleUnderline"/>
          <w:highlight w:val="green"/>
        </w:rPr>
        <w:t>conceptions of justice take place</w:t>
      </w:r>
      <w:r w:rsidRPr="000635C0">
        <w:rPr>
          <w:rStyle w:val="StyleUnderline"/>
        </w:rPr>
        <w:t xml:space="preserve"> (cf. Gaus 1996, Parts II and III, Gaus 2011).</w:t>
      </w:r>
      <w:r w:rsidRPr="000635C0">
        <w:rPr>
          <w:sz w:val="14"/>
        </w:rPr>
        <w:t xml:space="preserve"> Insofar as autonomy is necessary for a functioning democracy (considered very broadly), and the latter is a constitutive element of just political institutions, then autonomy must be seen as reflective self-appraisal (and, I wo</w:t>
      </w:r>
      <w:r w:rsidRPr="000635C0">
        <w:rPr>
          <w:rFonts w:asciiTheme="minorHAnsi" w:hAnsiTheme="minorHAnsi" w:cstheme="minorHAnsi"/>
          <w:sz w:val="14"/>
        </w:rPr>
        <w:t>uld add, non-alienation from central aspects of one's person) (see Cohen 2002, Richardson 2003). This approach to justice and autonomy, spelled out here in rough and general form, has certainly faced criticism. In particular, those theorists concerned with the multi-dimensional nature of social and cultural “difference” have stressed how the conception of the autonomous person assumed in such principles (as well as criteria for rational discourse and public deliberation) is a contestable ideal not internalized by all participants in contemporary political life (see, e.g., Brown 1995, Benhabib 1992). Others motivated by post-modern considerations concerning the nature of the self, rationality, language, and identity, are also suspicious of the manner in which the basic concepts operative in liberal theories of justice (“autonomy” for example) are understood as fixed, transparent, and without their own political presuppositions (see, e.g., Butler 1990; for general discussion see White 1990). These charges are stated here much too generally to give an adequate response in this context. But the challenge remains for any theory of justice which rests on a presumption of the normative centrality of autonomy. To be plausible in a variously pluralistic social setting, such a view must avoid the twin evils of forcibly imposing a (reasonably) contested value on resistant citizens, on the one hand, and simply abandoning all normative conceptions of social order in favor of open ended struggle for power on the</w:t>
      </w:r>
      <w:r w:rsidRPr="000635C0">
        <w:rPr>
          <w:sz w:val="14"/>
        </w:rPr>
        <w:t xml:space="preserve"> other. The view that individuals ought to be treated as, and given the resources to become, autonomous in one of the minimal senses outlined here will, I submit, be a central element in any political view that steers between</w:t>
      </w:r>
      <w:r w:rsidRPr="000635C0">
        <w:rPr>
          <w:rFonts w:asciiTheme="minorHAnsi" w:hAnsiTheme="minorHAnsi" w:cstheme="minorHAnsi"/>
          <w:sz w:val="14"/>
        </w:rPr>
        <w:t xml:space="preserve"> the Scylla of oppressive forms of perfectionism and the Charybdis of interest-group power politics.</w:t>
      </w:r>
      <w:bookmarkStart w:id="0" w:name="_Hlk67687285"/>
    </w:p>
    <w:bookmarkEnd w:id="0"/>
    <w:p w14:paraId="6788E408" w14:textId="51258A01" w:rsidR="000A2A8B" w:rsidRPr="000635C0" w:rsidRDefault="000A2A8B" w:rsidP="000A2A8B">
      <w:pPr>
        <w:pStyle w:val="Heading4"/>
        <w:spacing w:before="0" w:line="276" w:lineRule="auto"/>
        <w:rPr>
          <w:rFonts w:asciiTheme="minorHAnsi" w:hAnsiTheme="minorHAnsi" w:cstheme="minorHAnsi"/>
        </w:rPr>
      </w:pPr>
      <w:r>
        <w:rPr>
          <w:rFonts w:asciiTheme="minorHAnsi" w:hAnsiTheme="minorHAnsi" w:cstheme="minorHAnsi"/>
        </w:rPr>
        <w:t>5</w:t>
      </w:r>
      <w:r w:rsidRPr="000635C0">
        <w:rPr>
          <w:rFonts w:asciiTheme="minorHAnsi" w:hAnsiTheme="minorHAnsi" w:cstheme="minorHAnsi"/>
        </w:rPr>
        <w:t>] Performativity-</w:t>
      </w:r>
      <w:r w:rsidRPr="000635C0">
        <w:rPr>
          <w:rFonts w:asciiTheme="minorHAnsi" w:eastAsia="Cambria" w:hAnsiTheme="minorHAnsi" w:cstheme="minorHAnsi"/>
        </w:rPr>
        <w:t xml:space="preserve"> </w:t>
      </w:r>
      <w:r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6FB92EBD" w14:textId="282C3383" w:rsidR="000A2A8B" w:rsidRPr="000635C0" w:rsidRDefault="000A2A8B" w:rsidP="000A2A8B">
      <w:pPr>
        <w:pStyle w:val="Heading4"/>
        <w:spacing w:before="0" w:line="276" w:lineRule="auto"/>
        <w:rPr>
          <w:rFonts w:asciiTheme="minorHAnsi" w:hAnsiTheme="minorHAnsi" w:cstheme="minorHAnsi"/>
        </w:rPr>
      </w:pPr>
      <w:r>
        <w:rPr>
          <w:rFonts w:asciiTheme="minorHAnsi" w:hAnsiTheme="minorHAnsi" w:cstheme="minorHAnsi"/>
        </w:rPr>
        <w:t>6</w:t>
      </w:r>
      <w:r w:rsidRPr="000635C0">
        <w:rPr>
          <w:rFonts w:asciiTheme="minorHAnsi" w:hAnsiTheme="minorHAnsi" w:cstheme="minorHAnsi"/>
        </w:rPr>
        <w:t xml:space="preserve">] </w:t>
      </w:r>
      <w:r w:rsidRPr="000635C0">
        <w:rPr>
          <w:rFonts w:asciiTheme="minorHAnsi" w:eastAsia="MS Gothic" w:hAnsiTheme="minorHAnsi" w:cstheme="min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prag </w:t>
      </w:r>
    </w:p>
    <w:p w14:paraId="0D0B1AED" w14:textId="3AB52B77" w:rsidR="000A2A8B" w:rsidRPr="00C03EF3" w:rsidRDefault="000A2A8B" w:rsidP="00C03EF3">
      <w:pPr>
        <w:pStyle w:val="Heading4"/>
        <w:spacing w:before="0" w:line="276" w:lineRule="auto"/>
        <w:rPr>
          <w:rFonts w:asciiTheme="minorHAnsi" w:hAnsiTheme="minorHAnsi" w:cstheme="minorHAnsi"/>
        </w:rPr>
      </w:pPr>
      <w:r>
        <w:rPr>
          <w:rFonts w:asciiTheme="minorHAnsi" w:hAnsiTheme="minorHAnsi" w:cstheme="minorHAnsi"/>
        </w:rPr>
        <w:t>7</w:t>
      </w:r>
      <w:r w:rsidRPr="000635C0">
        <w:rPr>
          <w:rFonts w:asciiTheme="minorHAnsi" w:hAnsiTheme="minorHAnsi" w:cstheme="minorHAnsi"/>
        </w:rPr>
        <w:t xml:space="preserve">] </w:t>
      </w:r>
      <w:r w:rsidRPr="000635C0">
        <w:rPr>
          <w:rStyle w:val="Emphasis"/>
          <w:rFonts w:asciiTheme="minorHAnsi" w:hAnsiTheme="minorHAnsi" w:cstheme="minorHAnsi"/>
          <w:b/>
          <w:iCs/>
          <w:sz w:val="26"/>
          <w:u w:val="none"/>
        </w:rPr>
        <w:t>Rule Following Paradox-</w:t>
      </w:r>
      <w:r w:rsidRPr="000635C0">
        <w:rPr>
          <w:rFonts w:asciiTheme="minorHAnsi" w:hAnsiTheme="minorHAnsi" w:cstheme="minorHAnsi"/>
        </w:rPr>
        <w:t xml:space="preserve"> </w:t>
      </w:r>
      <w:r w:rsidRPr="000635C0">
        <w:rPr>
          <w:rFonts w:asciiTheme="minorHAnsi" w:hAnsiTheme="minorHAnsi" w:cstheme="min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0635C0">
        <w:rPr>
          <w:rFonts w:asciiTheme="minorHAnsi" w:hAnsiTheme="minorHAnsi" w:cstheme="minorHAnsi"/>
        </w:rPr>
        <w:t xml:space="preserve">Only deliberation accounts for the diversity of interpretations of our norms. </w:t>
      </w:r>
    </w:p>
    <w:p w14:paraId="3E964DDB" w14:textId="6AE1CC10" w:rsidR="00AA16DD" w:rsidRDefault="00AA16DD" w:rsidP="00AA16DD">
      <w:pPr>
        <w:pStyle w:val="Heading3"/>
      </w:pPr>
      <w:r>
        <w:t>Affirm</w:t>
      </w:r>
    </w:p>
    <w:p w14:paraId="584B2CED" w14:textId="106FDD6A" w:rsidR="00AA16DD" w:rsidRDefault="00066A26" w:rsidP="00AA16DD">
      <w:pPr>
        <w:pStyle w:val="Heading4"/>
      </w:pPr>
      <w:r>
        <w:t>1]</w:t>
      </w:r>
      <w:r w:rsidR="00AA16DD">
        <w:t xml:space="preserve"> Strikes are intrinsically tied to public forums that provide opportunities for deliberation. Simms 18</w:t>
      </w:r>
    </w:p>
    <w:p w14:paraId="5707743C" w14:textId="77777777" w:rsidR="00AA16DD" w:rsidRPr="00A71AA2" w:rsidRDefault="00AA16DD" w:rsidP="00AA16DD">
      <w:r w:rsidRPr="00A71AA2">
        <w:t>Melanie Simms, 3-23-2018, "Why workers go on strike," Conversation, https://theconversation.com/why-workers-go-on-strike-93815</w:t>
      </w:r>
    </w:p>
    <w:p w14:paraId="54031077" w14:textId="77777777" w:rsidR="00AA16DD" w:rsidRDefault="00AA16DD" w:rsidP="00AA16DD">
      <w:pPr>
        <w:rPr>
          <w:sz w:val="16"/>
        </w:rPr>
      </w:pPr>
      <w:r w:rsidRPr="00A71AA2">
        <w:rPr>
          <w:sz w:val="16"/>
        </w:rPr>
        <w:t xml:space="preserve">Both of these demonstrate how a </w:t>
      </w:r>
      <w:r w:rsidRPr="00E850A6">
        <w:rPr>
          <w:highlight w:val="green"/>
          <w:u w:val="single"/>
        </w:rPr>
        <w:t>strike</w:t>
      </w:r>
      <w:r w:rsidRPr="00A71AA2">
        <w:rPr>
          <w:u w:val="single"/>
        </w:rPr>
        <w:t xml:space="preserve"> around a fairly technical employment issue </w:t>
      </w:r>
      <w:r w:rsidRPr="00E850A6">
        <w:rPr>
          <w:highlight w:val="green"/>
          <w:u w:val="single"/>
        </w:rPr>
        <w:t>can develop a momentum</w:t>
      </w:r>
      <w:r w:rsidRPr="00A71AA2">
        <w:rPr>
          <w:u w:val="single"/>
        </w:rPr>
        <w:t xml:space="preserve"> of its own </w:t>
      </w:r>
      <w:r w:rsidRPr="00E850A6">
        <w:rPr>
          <w:highlight w:val="green"/>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E850A6">
        <w:rPr>
          <w:highlight w:val="green"/>
          <w:u w:val="single"/>
        </w:rPr>
        <w:t>concerns raised by junior doctors</w:t>
      </w:r>
      <w:r w:rsidRPr="00A71AA2">
        <w:rPr>
          <w:u w:val="single"/>
        </w:rPr>
        <w:t xml:space="preserve"> about </w:t>
      </w:r>
      <w:hyperlink r:id="rId13" w:history="1">
        <w:r w:rsidRPr="00A71AA2">
          <w:rPr>
            <w:rStyle w:val="Hyperlink"/>
            <w:u w:val="single"/>
          </w:rPr>
          <w:t>the management of the NHS</w:t>
        </w:r>
      </w:hyperlink>
      <w:r w:rsidRPr="00A71AA2">
        <w:rPr>
          <w:u w:val="single"/>
        </w:rPr>
        <w:t xml:space="preserve">, the higher education pension dispute </w:t>
      </w:r>
      <w:r w:rsidRPr="00E850A6">
        <w:rPr>
          <w:highlight w:val="green"/>
          <w:u w:val="single"/>
        </w:rPr>
        <w:t>has rapidly</w:t>
      </w:r>
      <w:r w:rsidRPr="00A71AA2">
        <w:rPr>
          <w:u w:val="single"/>
        </w:rPr>
        <w:t xml:space="preserve"> become a space in which to </w:t>
      </w:r>
      <w:r w:rsidRPr="00E850A6">
        <w:rPr>
          <w:highlight w:val="green"/>
          <w:u w:val="single"/>
        </w:rPr>
        <w:t xml:space="preserve">question the </w:t>
      </w:r>
      <w:hyperlink r:id="rId14" w:history="1">
        <w:r w:rsidRPr="00E850A6">
          <w:rPr>
            <w:rStyle w:val="Hyperlink"/>
            <w:highlight w:val="green"/>
            <w:u w:val="single"/>
          </w:rPr>
          <w:t>broader direction of the sector</w:t>
        </w:r>
      </w:hyperlink>
      <w:r w:rsidRPr="00A71AA2">
        <w:rPr>
          <w:sz w:val="16"/>
        </w:rPr>
        <w:t xml:space="preserve">. In this context, emotions can run high. </w:t>
      </w:r>
      <w:r w:rsidRPr="00A71AA2">
        <w:rPr>
          <w:u w:val="single"/>
        </w:rPr>
        <w:t xml:space="preserve">Many </w:t>
      </w:r>
      <w:r w:rsidRPr="00E850A6">
        <w:rPr>
          <w:highlight w:val="green"/>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E850A6">
        <w:rPr>
          <w:highlight w:val="green"/>
          <w:u w:val="single"/>
        </w:rPr>
        <w:t>parties can explicitly negotiate</w:t>
      </w:r>
      <w:r w:rsidRPr="00A71AA2">
        <w:rPr>
          <w:u w:val="single"/>
        </w:rPr>
        <w:t xml:space="preserve"> compromises that smooth the way back to work – even if that means negotiating </w:t>
      </w:r>
      <w:r w:rsidRPr="00E850A6">
        <w:rPr>
          <w:highlight w:val="green"/>
          <w:u w:val="single"/>
        </w:rPr>
        <w:t>a new normal</w:t>
      </w:r>
      <w:r w:rsidRPr="00A71AA2">
        <w:rPr>
          <w:sz w:val="16"/>
        </w:rPr>
        <w:t>.</w:t>
      </w:r>
    </w:p>
    <w:p w14:paraId="7AFFC875" w14:textId="77777777" w:rsidR="002C48E8" w:rsidRDefault="00066A26" w:rsidP="002C48E8">
      <w:pPr>
        <w:pStyle w:val="Heading4"/>
      </w:pPr>
      <w:r>
        <w:t xml:space="preserve">2] </w:t>
      </w:r>
      <w:r w:rsidR="002C48E8">
        <w:t>The right to strike is justified on the basis of the right to self-determination and justification – strikes are a form of communicative action and to deny it as a right would generate a contradiction, Borman ’16:</w:t>
      </w:r>
    </w:p>
    <w:p w14:paraId="41BA2997" w14:textId="77777777" w:rsidR="002C48E8" w:rsidRPr="00482A6F" w:rsidRDefault="002C48E8" w:rsidP="002C48E8">
      <w:r w:rsidRPr="00482A6F">
        <w:rPr>
          <w:rFonts w:ascii="Arial" w:hAnsi="Arial" w:cs="Arial"/>
          <w:color w:val="222222"/>
          <w:sz w:val="20"/>
          <w:szCs w:val="20"/>
          <w:shd w:val="clear" w:color="auto" w:fill="FFFFFF"/>
        </w:rPr>
        <w:t>Borman, David A. "Contractualism and the Right to Strike." </w:t>
      </w:r>
      <w:r w:rsidRPr="00482A6F">
        <w:rPr>
          <w:rFonts w:ascii="Arial" w:hAnsi="Arial" w:cs="Arial"/>
          <w:i/>
          <w:iCs/>
          <w:color w:val="222222"/>
          <w:sz w:val="20"/>
          <w:szCs w:val="20"/>
          <w:shd w:val="clear" w:color="auto" w:fill="FFFFFF"/>
        </w:rPr>
        <w:t>Res publica</w:t>
      </w:r>
      <w:r w:rsidRPr="00482A6F">
        <w:rPr>
          <w:rFonts w:ascii="Arial" w:hAnsi="Arial" w:cs="Arial"/>
          <w:color w:val="222222"/>
          <w:sz w:val="20"/>
          <w:szCs w:val="20"/>
          <w:shd w:val="clear" w:color="auto" w:fill="FFFFFF"/>
        </w:rPr>
        <w:t> 23.1 (2017): 81-98.</w:t>
      </w:r>
      <w:r>
        <w:rPr>
          <w:rFonts w:ascii="Arial" w:hAnsi="Arial" w:cs="Arial"/>
          <w:color w:val="222222"/>
          <w:sz w:val="20"/>
          <w:szCs w:val="20"/>
          <w:shd w:val="clear" w:color="auto" w:fill="FFFFFF"/>
        </w:rPr>
        <w:t xml:space="preserve"> Yoaks</w:t>
      </w:r>
    </w:p>
    <w:p w14:paraId="1DDA4DB7" w14:textId="77777777" w:rsidR="002C48E8" w:rsidRPr="0064626D" w:rsidRDefault="002C48E8" w:rsidP="002C48E8">
      <w:pPr>
        <w:rPr>
          <w:rStyle w:val="StyleUnderline"/>
        </w:rPr>
      </w:pPr>
      <w:r w:rsidRPr="0064626D">
        <w:rPr>
          <w:sz w:val="16"/>
        </w:rPr>
        <w:t xml:space="preserve">To summarize: </w:t>
      </w:r>
      <w:r w:rsidRPr="00482A6F">
        <w:rPr>
          <w:rStyle w:val="StyleUnderline"/>
        </w:rPr>
        <w:t xml:space="preserve">the </w:t>
      </w:r>
      <w:r w:rsidRPr="00E850A6">
        <w:rPr>
          <w:rStyle w:val="StyleUnderline"/>
          <w:highlight w:val="green"/>
        </w:rPr>
        <w:t>conflict between labour and capital</w:t>
      </w:r>
      <w:r w:rsidRPr="0064626D">
        <w:rPr>
          <w:sz w:val="16"/>
        </w:rPr>
        <w:t xml:space="preserve"> and government which is made manifest in a strike is not located at the first-order level where a specific schedule of putative rights is to be justified or constrained; instead, it </w:t>
      </w:r>
      <w:r w:rsidRPr="00482A6F">
        <w:rPr>
          <w:rStyle w:val="StyleUnderline"/>
        </w:rPr>
        <w:t xml:space="preserve">takes place at the more fundamental level where the right to have rights (in this domain), or the salience of normative justification, is itself contested. </w:t>
      </w:r>
      <w:r w:rsidRPr="002C48E8">
        <w:rPr>
          <w:rStyle w:val="StyleUnderline"/>
        </w:rPr>
        <w:t>In the strike</w:t>
      </w:r>
      <w:r w:rsidRPr="00482A6F">
        <w:rPr>
          <w:rStyle w:val="StyleUnderline"/>
        </w:rPr>
        <w:t>, a demand for justification is confronted with</w:t>
      </w:r>
      <w:r w:rsidRPr="0064626D">
        <w:rPr>
          <w:sz w:val="16"/>
        </w:rPr>
        <w:t xml:space="preserve"> (often, is inspired by) </w:t>
      </w:r>
      <w:r w:rsidRPr="00482A6F">
        <w:rPr>
          <w:rStyle w:val="StyleUnderline"/>
        </w:rPr>
        <w:t>a refusal to justify: implicit or explicit</w:t>
      </w:r>
      <w:r w:rsidRPr="0064626D">
        <w:rPr>
          <w:sz w:val="16"/>
        </w:rPr>
        <w:t xml:space="preserve"> (second-order) </w:t>
      </w:r>
      <w:r w:rsidRPr="00482A6F">
        <w:rPr>
          <w:rStyle w:val="StyleUnderline"/>
        </w:rPr>
        <w:t>moral claims collide with</w:t>
      </w:r>
      <w:r w:rsidRPr="0064626D">
        <w:rPr>
          <w:sz w:val="16"/>
        </w:rPr>
        <w:t xml:space="preserve"> (unjustified) </w:t>
      </w:r>
      <w:r w:rsidRPr="00482A6F">
        <w:rPr>
          <w:rStyle w:val="StyleUnderline"/>
        </w:rPr>
        <w:t>norm-excluding assertions of interest. If</w:t>
      </w:r>
      <w:r w:rsidRPr="0064626D">
        <w:rPr>
          <w:sz w:val="16"/>
        </w:rPr>
        <w:t xml:space="preserve"> this characterization is correct, then non-instrumental contractualism might appear to have advanced no farther than Nielsen, when he awkwardly concludes that the conditions are not yet right for morality. Although agreements here concern what is right, contractualists do not exclude consideration of existing interest positions: to the contrary, they argue in one form or another that a norm is to be judged legitimate if it can be reasonably accepted from the point of view of all affected, taking into account the effects the general observance of the norm could be anticipated to have on their interests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But,’ Nielsen sagely concludes, ‘it is an idle dream to expect this to happen’ (Nielsen 1989, p. 127). Prima facie, given the difficulty just described, hypothetical-agreement-contractualism might seem to have an important advantage over its rival: namely, its willingness to declare that some interests—such as the interest in maintaining positions of asymmetrical power—are not legitimate (Scanlon 1997, p. 278). But for the actual-agreement contractualist, there are two problems with this response. First, it is not clear that there is a defensible point of view from which we are able to distinguish unilaterally and conclusively between legitimate and illegitimate interests on someone else’s behalf—hence Forst’s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contractualist (a position influenced by pragmatism) what the good would be of such a unilateral defence. Typically, the motivational significance of deontological justification is to deprive the would-be violator of rights of all legitimate reasons for their actions (for instance, by proving that there can be no good reason for cheating). But in the case at hand</w:t>
      </w:r>
      <w:r w:rsidRPr="0064626D">
        <w:rPr>
          <w:rStyle w:val="StyleUnderline"/>
        </w:rPr>
        <w:t xml:space="preserve">, </w:t>
      </w:r>
      <w:r w:rsidRPr="002C48E8">
        <w:rPr>
          <w:rStyle w:val="StyleUnderline"/>
        </w:rPr>
        <w:t>depriving</w:t>
      </w:r>
      <w:r w:rsidRPr="0064626D">
        <w:rPr>
          <w:rStyle w:val="StyleUnderline"/>
        </w:rPr>
        <w:t xml:space="preserve">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w:t>
      </w:r>
      <w:r w:rsidRPr="0064626D">
        <w:rPr>
          <w:sz w:val="16"/>
        </w:rPr>
        <w:t>. Because the conflict occurs at the fundamental level where the types of reasons that are salient is itself in dispute, the actual-agreement approach seems to fare hardly better: the project of justification as it is described by Forst and Benhabib cannot get off the ground. Workers, by making some purportedly legitimate firstorder demand, simultaneously assert their right to have rights in the domain of labour; the law and employers refuse to take up that claim in a communicative attitude and insist instead on a compromise-orientation framed by considerations of relative power</w:t>
      </w:r>
      <w:r w:rsidRPr="0064626D">
        <w:rPr>
          <w:rStyle w:val="StyleUnderline"/>
        </w:rPr>
        <w:t xml:space="preserve">. Because existing relations of </w:t>
      </w:r>
      <w:r w:rsidRPr="00E850A6">
        <w:rPr>
          <w:rStyle w:val="StyleUnderline"/>
          <w:highlight w:val="green"/>
        </w:rPr>
        <w:t>power are so asymmetrical</w:t>
      </w:r>
      <w:r w:rsidRPr="0064626D">
        <w:rPr>
          <w:rStyle w:val="StyleUnderline"/>
        </w:rPr>
        <w:t xml:space="preserve">, </w:t>
      </w:r>
      <w:r w:rsidRPr="00E850A6">
        <w:rPr>
          <w:rStyle w:val="StyleUnderline"/>
          <w:highlight w:val="green"/>
        </w:rPr>
        <w:t>employers</w:t>
      </w:r>
      <w:r w:rsidRPr="0064626D">
        <w:rPr>
          <w:rStyle w:val="StyleUnderline"/>
        </w:rPr>
        <w:t xml:space="preserve"> are able today—and at the level of the development of law, have historically been able—to </w:t>
      </w:r>
      <w:r w:rsidRPr="00E850A6">
        <w:rPr>
          <w:rStyle w:val="StyleUnderline"/>
          <w:highlight w:val="green"/>
        </w:rPr>
        <w:t>force the orientation</w:t>
      </w:r>
      <w:r w:rsidRPr="0064626D">
        <w:rPr>
          <w:rStyle w:val="StyleUnderline"/>
        </w:rPr>
        <w:t xml:space="preserve"> </w:t>
      </w:r>
      <w:r w:rsidRPr="00E850A6">
        <w:rPr>
          <w:rStyle w:val="StyleUnderline"/>
          <w:highlight w:val="green"/>
        </w:rPr>
        <w:t>toward compromise</w:t>
      </w:r>
      <w:r w:rsidRPr="0064626D">
        <w:rPr>
          <w:rStyle w:val="StyleUnderline"/>
        </w:rPr>
        <w:t xml:space="preserve"> upon their interlocutors</w:t>
      </w:r>
      <w:r w:rsidRPr="0064626D">
        <w:rPr>
          <w:sz w:val="16"/>
        </w:rPr>
        <w:t xml:space="preserve">. Of course, </w:t>
      </w:r>
      <w:r w:rsidRPr="0064626D">
        <w:rPr>
          <w:rStyle w:val="StyleUnderline"/>
        </w:rPr>
        <w:t>the first-order move on the part of employers implies a second-order commitment that the economy operate as a ‘norm-free’ or ‘justification-free’ sphere of the play of interests</w:t>
      </w:r>
      <w:r w:rsidRPr="0064626D">
        <w:rPr>
          <w:sz w:val="16"/>
        </w:rPr>
        <w:t xml:space="preserve">,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with a Charter challenge, must ‘demonstrate deference in the field of labour relations’ apparently irrespective of the force of reason (Saskatchewan 2015, paras. 107 and 114). Thus, rather than being a question of applied ethics, </w:t>
      </w:r>
      <w:r w:rsidRPr="0064626D">
        <w:rPr>
          <w:rStyle w:val="StyleUnderline"/>
        </w:rPr>
        <w:t xml:space="preserve">the issues raised by the </w:t>
      </w:r>
      <w:r w:rsidRPr="00E850A6">
        <w:rPr>
          <w:rStyle w:val="StyleUnderline"/>
          <w:highlight w:val="green"/>
        </w:rPr>
        <w:t>strike</w:t>
      </w:r>
      <w:r w:rsidRPr="0064626D">
        <w:rPr>
          <w:rStyle w:val="StyleUnderline"/>
        </w:rPr>
        <w:t xml:space="preserve"> </w:t>
      </w:r>
      <w:r w:rsidRPr="00E850A6">
        <w:rPr>
          <w:rStyle w:val="StyleUnderline"/>
          <w:highlight w:val="green"/>
        </w:rPr>
        <w:t>tend toward the meta-ethical</w:t>
      </w:r>
      <w:r w:rsidRPr="0064626D">
        <w:rPr>
          <w:rStyle w:val="StyleUnderline"/>
        </w:rPr>
        <w:t xml:space="preserve">: can the demand to justify itself be </w:t>
      </w:r>
      <w:r w:rsidRPr="00E850A6">
        <w:rPr>
          <w:rStyle w:val="StyleUnderline"/>
          <w:highlight w:val="green"/>
        </w:rPr>
        <w:t>justified</w:t>
      </w:r>
      <w:r w:rsidRPr="0064626D">
        <w:rPr>
          <w:rStyle w:val="StyleUnderline"/>
        </w:rPr>
        <w:t xml:space="preserve"> in a way that is compelling </w:t>
      </w:r>
      <w:r w:rsidRPr="00E850A6">
        <w:rPr>
          <w:rStyle w:val="StyleUnderline"/>
          <w:highlight w:val="green"/>
        </w:rPr>
        <w:t>from</w:t>
      </w:r>
      <w:r w:rsidRPr="0064626D">
        <w:rPr>
          <w:rStyle w:val="StyleUnderline"/>
        </w:rPr>
        <w:t xml:space="preserve"> the </w:t>
      </w:r>
      <w:r w:rsidRPr="00E850A6">
        <w:rPr>
          <w:rStyle w:val="StyleUnderline"/>
          <w:highlight w:val="green"/>
        </w:rPr>
        <w:t>perspective</w:t>
      </w:r>
      <w:r w:rsidRPr="0064626D">
        <w:rPr>
          <w:rStyle w:val="StyleUnderline"/>
        </w:rPr>
        <w:t xml:space="preserve"> of those </w:t>
      </w:r>
      <w:r w:rsidRPr="00E850A6">
        <w:rPr>
          <w:rStyle w:val="StyleUnderline"/>
          <w:highlight w:val="green"/>
        </w:rPr>
        <w:t>who refuse to argue?</w:t>
      </w:r>
      <w:r w:rsidRPr="0064626D">
        <w:rPr>
          <w:rStyle w:val="StyleUnderline"/>
        </w:rPr>
        <w:t xml:space="preserve"> I</w:t>
      </w:r>
      <w:r w:rsidRPr="0064626D">
        <w:rPr>
          <w:sz w:val="16"/>
        </w:rPr>
        <w:t xml:space="preserve">f we could answer this in the affirmative, the right to strike would immediately come under the general defence of justification; the remaining questions to be settled within discourse would concern only the legitimacy of particular strikes and particular demands (none of which would challenge the right to strike itself). There is little hope, I think, of arriving at such a result via informal logic: morality is a practical, historical device and the limits of practices of reason-giving are determined by social struggle. Probably all of the contractualists I have mentioned here would accept this judgment in some form; but it certainly has a greater affinity with, and so perhaps offers some reason to prefer, the approach of the actual-agreement contractualists insofar as the latter see the scope of morality as the product of ‘political struggles, social movements, and learning processes’ (Benhabib 2007, p. 16). For hypothetical-agreement contractualists like Scanlon, morally motivated social struggle must have two distinct stages: first, contractualist reasoners have independent insight into what cannot be reasonably rejected; second, they engage in social struggle, armed with this prior, independent, and already completed justification for their conduct. </w:t>
      </w:r>
      <w:r w:rsidRPr="0064626D">
        <w:rPr>
          <w:rStyle w:val="StyleUnderline"/>
        </w:rPr>
        <w:t>For the actual-agreement contractualist, at least full justification only emerges at the end of the struggle, with the successful effort to convince others and so reach agreement</w:t>
      </w:r>
      <w:r w:rsidRPr="0064626D">
        <w:rPr>
          <w:sz w:val="16"/>
        </w:rPr>
        <w:t xml:space="preserve"> (see Borman 2015a). </w:t>
      </w:r>
      <w:r w:rsidRPr="0064626D">
        <w:rPr>
          <w:rStyle w:val="StyleUnderline"/>
        </w:rPr>
        <w:t>When it is a question of opening up some domain of human life to moral questioning, the actual agreement account seems a better fit for the messy outcomes of historical struggle, of which the labour movement is an especially good example</w:t>
      </w:r>
      <w:r w:rsidRPr="0064626D">
        <w:rPr>
          <w:sz w:val="16"/>
        </w:rPr>
        <w:t xml:space="preserve">. Historically, workers saw labour, its terms and conditions, as a moral question. </w:t>
      </w:r>
      <w:r w:rsidRPr="0064626D">
        <w:rPr>
          <w:rStyle w:val="StyleUnderline"/>
        </w:rPr>
        <w:t xml:space="preserve">The presently </w:t>
      </w:r>
      <w:r w:rsidRPr="00E850A6">
        <w:rPr>
          <w:rStyle w:val="StyleUnderline"/>
          <w:highlight w:val="green"/>
        </w:rPr>
        <w:t>ambiguous status of the right to strike reflects</w:t>
      </w:r>
      <w:r w:rsidRPr="0064626D">
        <w:rPr>
          <w:rStyle w:val="StyleUnderline"/>
        </w:rPr>
        <w:t xml:space="preserve"> the </w:t>
      </w:r>
      <w:r w:rsidRPr="00E850A6">
        <w:rPr>
          <w:rStyle w:val="StyleUnderline"/>
          <w:highlight w:val="green"/>
        </w:rPr>
        <w:t>unresolved legacy</w:t>
      </w:r>
      <w:r w:rsidRPr="0064626D">
        <w:rPr>
          <w:rStyle w:val="StyleUnderline"/>
        </w:rPr>
        <w:t xml:space="preserve"> or, to put it more harshly, the historical failure or defeat of the labour rights movement in this regard.</w:t>
      </w:r>
      <w:r w:rsidRPr="0064626D">
        <w:rPr>
          <w:sz w:val="16"/>
        </w:rPr>
        <w:t xml:space="preserve">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labour movement which actively sought connections with broader concerns of social justice. It is noteworthy, in this respect, that by the 1950s in the U.S., secondary boycotts and sympathy strikes were illegal (Lambert 2005, pp. 62–63). Where does this leave the right to strike? </w:t>
      </w:r>
      <w:r w:rsidRPr="0064626D">
        <w:rPr>
          <w:rStyle w:val="StyleUnderline"/>
        </w:rPr>
        <w:t>If morality is regarded as a practical project of coordinating action and action-effects via legitimized norms, then it is enough to show how workers who demand such a right are reasonable to do so while employers who refuse to engage with the claim are not. Operating on the premises of actual-agreement-contractualism, it is in fact easy to accomplish this: I would propose that, because the scope of morality is defined by the pursuit of rationally legitimated norms, every sincerely raised and undefeated demand for justification— every assertion of the right to justification—is presumptively or pro tanto legitimate.</w:t>
      </w:r>
      <w:r w:rsidRPr="0064626D">
        <w:rPr>
          <w:sz w:val="16"/>
        </w:rPr>
        <w:t xml:space="preserve"> This does not mean that every particular strike is actually legitimate any more than any proposed substantive right is automatically justified. </w:t>
      </w:r>
      <w:r w:rsidRPr="00E850A6">
        <w:rPr>
          <w:rStyle w:val="StyleUnderline"/>
          <w:highlight w:val="green"/>
        </w:rPr>
        <w:t>The right to have rights is justified</w:t>
      </w:r>
      <w:r w:rsidRPr="0064626D">
        <w:rPr>
          <w:rStyle w:val="StyleUnderline"/>
        </w:rPr>
        <w:t xml:space="preserve"> presumptively </w:t>
      </w:r>
      <w:r w:rsidRPr="00E850A6">
        <w:rPr>
          <w:rStyle w:val="StyleUnderline"/>
          <w:highlight w:val="green"/>
        </w:rPr>
        <w:t>as</w:t>
      </w:r>
      <w:r w:rsidRPr="0064626D">
        <w:rPr>
          <w:rStyle w:val="StyleUnderline"/>
        </w:rPr>
        <w:t xml:space="preserve"> an implication of the mere raising of any given rights-claim, and so similarly, the right to </w:t>
      </w:r>
      <w:r w:rsidRPr="00E850A6">
        <w:rPr>
          <w:rStyle w:val="StyleUnderline"/>
          <w:highlight w:val="green"/>
        </w:rPr>
        <w:t>self-determination in labour</w:t>
      </w:r>
      <w:r w:rsidRPr="0064626D">
        <w:rPr>
          <w:rStyle w:val="StyleUnderline"/>
        </w:rPr>
        <w:t xml:space="preserve"> is justified presumptively by the mere raising of any labour-rights-claim</w:t>
      </w:r>
      <w:r w:rsidRPr="0064626D">
        <w:rPr>
          <w:sz w:val="16"/>
        </w:rPr>
        <w:t xml:space="preserve">. Any attempt to take-up, </w:t>
      </w:r>
      <w:r w:rsidRPr="0064626D">
        <w:rPr>
          <w:rStyle w:val="StyleUnderline"/>
        </w:rPr>
        <w:t>even in order to reject the right to have rights would presuppose its recognition, and the same may be said for the right to self-determination.</w:t>
      </w:r>
      <w:r w:rsidRPr="0064626D">
        <w:rPr>
          <w:sz w:val="16"/>
        </w:rPr>
        <w:t xml:space="preserve"> Let me repeat this deceptively simple, though somewhat unsatisfying, outcome: </w:t>
      </w:r>
      <w:r w:rsidRPr="0064626D">
        <w:rPr>
          <w:rStyle w:val="StyleUnderline"/>
        </w:rPr>
        <w:t xml:space="preserve">the </w:t>
      </w:r>
      <w:r w:rsidRPr="00E850A6">
        <w:rPr>
          <w:rStyle w:val="StyleUnderline"/>
          <w:highlight w:val="green"/>
        </w:rPr>
        <w:t>particular strike</w:t>
      </w:r>
      <w:r w:rsidRPr="0064626D">
        <w:rPr>
          <w:rStyle w:val="StyleUnderline"/>
        </w:rPr>
        <w:t xml:space="preserve"> implicitly </w:t>
      </w:r>
      <w:r w:rsidRPr="00E850A6">
        <w:rPr>
          <w:rStyle w:val="StyleUnderline"/>
          <w:highlight w:val="green"/>
        </w:rPr>
        <w:t>asserts</w:t>
      </w:r>
      <w:r w:rsidRPr="0064626D">
        <w:rPr>
          <w:rStyle w:val="StyleUnderline"/>
        </w:rPr>
        <w:t xml:space="preserve"> a right to </w:t>
      </w:r>
      <w:r w:rsidRPr="00E850A6">
        <w:rPr>
          <w:rStyle w:val="StyleUnderline"/>
          <w:highlight w:val="green"/>
        </w:rPr>
        <w:t>self-determination,</w:t>
      </w:r>
      <w:r w:rsidRPr="0064626D">
        <w:rPr>
          <w:rStyle w:val="StyleUnderline"/>
        </w:rPr>
        <w:t xml:space="preserve"> as a presupposition of whatever particular claims are made. That right </w:t>
      </w:r>
      <w:r w:rsidRPr="00E850A6">
        <w:rPr>
          <w:rStyle w:val="StyleUnderline"/>
          <w:highlight w:val="green"/>
        </w:rPr>
        <w:t>cannot be</w:t>
      </w:r>
      <w:r w:rsidRPr="0064626D">
        <w:rPr>
          <w:rStyle w:val="StyleUnderline"/>
        </w:rPr>
        <w:t xml:space="preserve"> reasonably </w:t>
      </w:r>
      <w:r w:rsidRPr="00E850A6">
        <w:rPr>
          <w:rStyle w:val="StyleUnderline"/>
          <w:highlight w:val="green"/>
        </w:rPr>
        <w:t>rejected</w:t>
      </w:r>
      <w:r w:rsidRPr="0064626D">
        <w:rPr>
          <w:rStyle w:val="StyleUnderline"/>
        </w:rPr>
        <w:t xml:space="preserve"> since any attempt to reject it on the basis of reasons is self-defeating, guilty—as Habermas might say—of a petitio tollendum fallacy. If indeed the right to strike is derivable from the right to self-determination, then there is a presumptively justified right to strike. And this is established without appeal to antecedent normative reasons for believing that those affected should agree to such a right</w:t>
      </w:r>
      <w:r w:rsidRPr="0064626D">
        <w:rPr>
          <w:sz w:val="16"/>
        </w:rPr>
        <w:t xml:space="preserve">. This does not do away with the practical obstacles that endure in the absence of full justification or recognition of the right to have rights in labour. We can add for good measure that if the rejection of justification within labour is bolstered only by appeals to the interests of employers taken personally, then the rejection is not based on good, generalizable reasons. If the rejection is, as is more commonly the case in legislative restrictions of the right to strike, ‘justified’ by first-order appeals to economic efficiency, then the reply is guilty of a fallacy of irrelevance. Of course, employers and governments could attempt a second-order justification of the firstorder insistence upon compromise-orientation in place of consensus-orientation (that is, a principled, communicatively oriented defence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compromiseformation). </w:t>
      </w:r>
      <w:r w:rsidRPr="0064626D">
        <w:rPr>
          <w:rStyle w:val="StyleUnderline"/>
        </w:rPr>
        <w:t xml:space="preserve">Simply pushing through a compromise-orientation at the second-order level, too, entails that the entire </w:t>
      </w:r>
      <w:r w:rsidRPr="00E850A6">
        <w:rPr>
          <w:rStyle w:val="StyleUnderline"/>
          <w:highlight w:val="green"/>
        </w:rPr>
        <w:t>sequence of interactions is reduced to</w:t>
      </w:r>
      <w:r w:rsidRPr="0064626D">
        <w:rPr>
          <w:rStyle w:val="StyleUnderline"/>
        </w:rPr>
        <w:t xml:space="preserve"> a question of mere </w:t>
      </w:r>
      <w:r w:rsidRPr="00E850A6">
        <w:rPr>
          <w:rStyle w:val="StyleUnderline"/>
          <w:highlight w:val="green"/>
        </w:rPr>
        <w:t>power</w:t>
      </w:r>
      <w:r w:rsidRPr="0064626D">
        <w:rPr>
          <w:rStyle w:val="StyleUnderline"/>
        </w:rPr>
        <w:t>.</w:t>
      </w:r>
    </w:p>
    <w:p w14:paraId="0D66768B" w14:textId="5AE4205F" w:rsidR="00313384" w:rsidRDefault="00313384" w:rsidP="002C48E8">
      <w:pPr>
        <w:pStyle w:val="Heading4"/>
      </w:pPr>
      <w:r>
        <w:t xml:space="preserve">3] </w:t>
      </w:r>
      <w:r>
        <w:t>Destroying the right to strike takes away workers’ basic right to argumentation – the right to strike preserves contestability, Lindblom ’19:</w:t>
      </w:r>
    </w:p>
    <w:p w14:paraId="2EDE64A0" w14:textId="77777777" w:rsidR="00313384" w:rsidRDefault="00313384" w:rsidP="00313384">
      <w:r>
        <w:rPr>
          <w:rFonts w:ascii="Arial" w:hAnsi="Arial" w:cs="Arial"/>
          <w:color w:val="222222"/>
          <w:sz w:val="20"/>
          <w:szCs w:val="20"/>
          <w:shd w:val="clear" w:color="auto" w:fill="FFFFFF"/>
        </w:rPr>
        <w:t>Lindblom, Lars. "Consent, contestability, and unions." </w:t>
      </w:r>
      <w:r>
        <w:rPr>
          <w:rFonts w:ascii="Arial" w:hAnsi="Arial" w:cs="Arial"/>
          <w:i/>
          <w:iCs/>
          <w:color w:val="222222"/>
          <w:sz w:val="20"/>
          <w:szCs w:val="20"/>
          <w:shd w:val="clear" w:color="auto" w:fill="FFFFFF"/>
        </w:rPr>
        <w:t>Business ethics quarterly</w:t>
      </w:r>
      <w:r>
        <w:rPr>
          <w:rFonts w:ascii="Arial" w:hAnsi="Arial" w:cs="Arial"/>
          <w:color w:val="222222"/>
          <w:sz w:val="20"/>
          <w:szCs w:val="20"/>
          <w:shd w:val="clear" w:color="auto" w:fill="FFFFFF"/>
        </w:rPr>
        <w:t> 29.2 (2019): 189-211.</w:t>
      </w:r>
    </w:p>
    <w:p w14:paraId="42126F78" w14:textId="190B9B98" w:rsidR="00AA16DD" w:rsidRDefault="00313384" w:rsidP="00313384">
      <w:pPr>
        <w:rPr>
          <w:sz w:val="16"/>
        </w:rPr>
      </w:pPr>
      <w:r w:rsidRPr="006B1273">
        <w:rPr>
          <w:sz w:val="16"/>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E850A6">
        <w:rPr>
          <w:rStyle w:val="StyleUnderline"/>
          <w:highlight w:val="green"/>
        </w:rPr>
        <w:t>unions</w:t>
      </w:r>
      <w:r w:rsidRPr="006B1273">
        <w:rPr>
          <w:rStyle w:val="StyleUnderline"/>
        </w:rPr>
        <w:t xml:space="preserve"> can </w:t>
      </w:r>
      <w:r w:rsidRPr="00E850A6">
        <w:rPr>
          <w:rStyle w:val="StyleUnderline"/>
          <w:highlight w:val="green"/>
        </w:rPr>
        <w:t>implement contestability</w:t>
      </w:r>
      <w:r w:rsidRPr="006B1273">
        <w:rPr>
          <w:sz w:val="16"/>
        </w:rPr>
        <w:t xml:space="preserve"> and thereby solve the problem of consent. Starting with the basis of contestation, </w:t>
      </w:r>
      <w:r w:rsidRPr="005350C7">
        <w:rPr>
          <w:rStyle w:val="StyleUnderline"/>
        </w:rPr>
        <w:t xml:space="preserve">the demand for </w:t>
      </w:r>
      <w:r w:rsidRPr="00E850A6">
        <w:rPr>
          <w:rStyle w:val="StyleUnderline"/>
          <w:highlight w:val="green"/>
        </w:rPr>
        <w:t>transparency solves</w:t>
      </w:r>
      <w:r w:rsidRPr="006B1273">
        <w:rPr>
          <w:rStyle w:val="StyleUnderline"/>
        </w:rPr>
        <w:t xml:space="preserve">, as was noted above, </w:t>
      </w:r>
      <w:r w:rsidRPr="005350C7">
        <w:rPr>
          <w:rStyle w:val="StyleUnderline"/>
        </w:rPr>
        <w:t xml:space="preserve">the </w:t>
      </w:r>
      <w:r w:rsidRPr="00E850A6">
        <w:rPr>
          <w:rStyle w:val="StyleUnderline"/>
          <w:highlight w:val="green"/>
        </w:rPr>
        <w:t>problem of info</w:t>
      </w:r>
      <w:r w:rsidRPr="005350C7">
        <w:rPr>
          <w:rStyle w:val="StyleUnderline"/>
        </w:rPr>
        <w:t>rmation</w:t>
      </w:r>
      <w:r w:rsidRPr="006B1273">
        <w:rPr>
          <w:sz w:val="16"/>
        </w:rPr>
        <w:t xml:space="preserve">. With transparency in place, employees will be informed about the policies and decisions that affect them. </w:t>
      </w:r>
      <w:r w:rsidRPr="006B1273">
        <w:rPr>
          <w:rStyle w:val="StyleUnderline"/>
        </w:rPr>
        <w:t xml:space="preserve">This aspect of contestability demands that parties make clear the reasons that are moving them when making decisions. </w:t>
      </w:r>
      <w:r w:rsidRPr="005350C7">
        <w:rPr>
          <w:rStyle w:val="StyleUnderline"/>
        </w:rPr>
        <w:t>This,</w:t>
      </w:r>
      <w:r w:rsidRPr="006B1273">
        <w:rPr>
          <w:rStyle w:val="StyleUnderline"/>
        </w:rPr>
        <w:t xml:space="preserve"> in </w:t>
      </w:r>
      <w:r w:rsidRPr="005350C7">
        <w:rPr>
          <w:rStyle w:val="StyleUnderline"/>
        </w:rPr>
        <w:t xml:space="preserve">turn, underwrites some </w:t>
      </w:r>
      <w:r w:rsidRPr="00E850A6">
        <w:rPr>
          <w:rStyle w:val="StyleUnderline"/>
          <w:highlight w:val="green"/>
        </w:rPr>
        <w:t xml:space="preserve">preconditions for </w:t>
      </w:r>
      <w:r w:rsidRPr="005350C7">
        <w:rPr>
          <w:rStyle w:val="StyleUnderline"/>
        </w:rPr>
        <w:t xml:space="preserve">good faith </w:t>
      </w:r>
      <w:r w:rsidRPr="00E850A6">
        <w:rPr>
          <w:rStyle w:val="StyleUnderline"/>
          <w:highlight w:val="green"/>
        </w:rPr>
        <w:t xml:space="preserve">bargaining </w:t>
      </w:r>
      <w:r w:rsidRPr="005350C7">
        <w:rPr>
          <w:rStyle w:val="StyleUnderline"/>
        </w:rPr>
        <w:t xml:space="preserve">and provides a link between </w:t>
      </w:r>
      <w:r w:rsidRPr="00E850A6">
        <w:rPr>
          <w:rStyle w:val="StyleUnderline"/>
          <w:highlight w:val="green"/>
        </w:rPr>
        <w:t>contestability and unions</w:t>
      </w:r>
      <w:r w:rsidRPr="006B1273">
        <w:rPr>
          <w:sz w:val="16"/>
        </w:rPr>
        <w:t xml:space="preserve">. Now, it is quite obvious that there is a connection between unions and voice. </w:t>
      </w:r>
      <w:r w:rsidRPr="006B1273">
        <w:rPr>
          <w:rStyle w:val="StyleUnderline"/>
        </w:rPr>
        <w:t>Part of the purpose of a union is to enable its members to express their views or demands and to make their voices heard. The fact that a group of people, rather than an individual, expresses itself when a union speaks out makes it more probable that what is being expressed is also heard</w:t>
      </w:r>
      <w:r w:rsidRPr="005350C7">
        <w:rPr>
          <w:rStyle w:val="StyleUnderline"/>
        </w:rPr>
        <w:t xml:space="preserve">. If we want to get serious about voice, </w:t>
      </w:r>
      <w:r w:rsidRPr="00E850A6">
        <w:rPr>
          <w:rStyle w:val="StyleUnderline"/>
          <w:highlight w:val="green"/>
        </w:rPr>
        <w:t>we should have mechanisms that implement it</w:t>
      </w:r>
      <w:r w:rsidRPr="006B1273">
        <w:rPr>
          <w:rStyle w:val="StyleUnderline"/>
        </w:rPr>
        <w:t xml:space="preserve"> efficiently. Therefore, a right to form unions would seem to follow from the implementation of contestability. This indicates, furthermore, </w:t>
      </w:r>
      <w:r w:rsidRPr="00927E80">
        <w:rPr>
          <w:rStyle w:val="StyleUnderline"/>
        </w:rPr>
        <w:t xml:space="preserve">that </w:t>
      </w:r>
      <w:r w:rsidRPr="00E850A6">
        <w:rPr>
          <w:rStyle w:val="StyleUnderline"/>
          <w:highlight w:val="green"/>
        </w:rPr>
        <w:t xml:space="preserve">the right to strike </w:t>
      </w:r>
      <w:r w:rsidRPr="00927E80">
        <w:rPr>
          <w:rStyle w:val="StyleUnderline"/>
        </w:rPr>
        <w:t xml:space="preserve">should be protected </w:t>
      </w:r>
      <w:r w:rsidRPr="00E850A6">
        <w:rPr>
          <w:rStyle w:val="StyleUnderline"/>
          <w:highlight w:val="green"/>
        </w:rPr>
        <w:t xml:space="preserve">as a </w:t>
      </w:r>
      <w:r w:rsidRPr="00927E80">
        <w:rPr>
          <w:rStyle w:val="StyleUnderline"/>
        </w:rPr>
        <w:t xml:space="preserve">part of the implementation of the </w:t>
      </w:r>
      <w:r w:rsidRPr="00E850A6">
        <w:rPr>
          <w:rStyle w:val="StyleUnderline"/>
          <w:highlight w:val="green"/>
        </w:rPr>
        <w:t xml:space="preserve">mechanism of contestability, </w:t>
      </w:r>
      <w:r w:rsidRPr="00927E80">
        <w:rPr>
          <w:rStyle w:val="StyleUnderline"/>
        </w:rPr>
        <w:t xml:space="preserve">since such a right </w:t>
      </w:r>
      <w:r w:rsidRPr="00E850A6">
        <w:rPr>
          <w:rStyle w:val="StyleUnderline"/>
          <w:highlight w:val="green"/>
        </w:rPr>
        <w:t xml:space="preserve">safeguards </w:t>
      </w:r>
      <w:r w:rsidRPr="00927E80">
        <w:rPr>
          <w:rStyle w:val="StyleUnderline"/>
        </w:rPr>
        <w:t xml:space="preserve">the </w:t>
      </w:r>
      <w:r w:rsidRPr="00E850A6">
        <w:rPr>
          <w:rStyle w:val="StyleUnderline"/>
          <w:highlight w:val="green"/>
        </w:rPr>
        <w:t xml:space="preserve">possibility to make </w:t>
      </w:r>
      <w:r w:rsidRPr="00927E80">
        <w:rPr>
          <w:rStyle w:val="StyleUnderline"/>
        </w:rPr>
        <w:t xml:space="preserve">one’s </w:t>
      </w:r>
      <w:r w:rsidRPr="00E850A6">
        <w:rPr>
          <w:rStyle w:val="StyleUnderline"/>
          <w:highlight w:val="green"/>
        </w:rPr>
        <w:t>voice heard</w:t>
      </w:r>
      <w:r w:rsidRPr="006B1273">
        <w:rPr>
          <w:rStyle w:val="StyleUnderline"/>
        </w:rPr>
        <w:t>.</w:t>
      </w:r>
      <w:r w:rsidRPr="006B1273">
        <w:rPr>
          <w:sz w:val="16"/>
        </w:rPr>
        <w:t xml:space="preserve">12 Moreover, discrimination of union members would undermine this mechanism for voice. </w:t>
      </w:r>
      <w:r w:rsidRPr="00E850A6">
        <w:rPr>
          <w:rStyle w:val="StyleUnderline"/>
          <w:highlight w:val="green"/>
        </w:rPr>
        <w:t xml:space="preserve">If employees fear </w:t>
      </w:r>
      <w:r w:rsidRPr="00927E80">
        <w:rPr>
          <w:rStyle w:val="StyleUnderline"/>
        </w:rPr>
        <w:t xml:space="preserve">that </w:t>
      </w:r>
      <w:r w:rsidRPr="00E850A6">
        <w:rPr>
          <w:rStyle w:val="StyleUnderline"/>
          <w:highlight w:val="green"/>
        </w:rPr>
        <w:t xml:space="preserve">they will be retaliated against </w:t>
      </w:r>
      <w:r w:rsidRPr="00927E80">
        <w:rPr>
          <w:rStyle w:val="StyleUnderline"/>
        </w:rPr>
        <w:t>if they speak out</w:t>
      </w:r>
      <w:r w:rsidRPr="00E850A6">
        <w:rPr>
          <w:rStyle w:val="StyleUnderline"/>
          <w:highlight w:val="green"/>
        </w:rPr>
        <w:t>, they will clearly be hesitant to voice their concerns</w:t>
      </w:r>
      <w:r w:rsidRPr="006B1273">
        <w:rPr>
          <w:sz w:val="16"/>
        </w:rPr>
        <w:t>. Nondiscrimination of union members is, therefore, a demand of the ideal of contestation. These two points imply that the standard of cooperation should include a norm against the discrimination union members and respect for the right to form unions.</w:t>
      </w:r>
    </w:p>
    <w:p w14:paraId="6D5CDBD3" w14:textId="7C55641B" w:rsidR="00C400F1" w:rsidRDefault="00C400F1" w:rsidP="00C400F1">
      <w:pPr>
        <w:pStyle w:val="Heading3"/>
      </w:pPr>
      <w:r>
        <w:t>Method</w:t>
      </w:r>
    </w:p>
    <w:p w14:paraId="3EEE98F0" w14:textId="77777777" w:rsidR="00332F73" w:rsidRPr="000635C0" w:rsidRDefault="00332F73" w:rsidP="00332F73">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626E141D" w14:textId="77777777" w:rsidR="00332F73" w:rsidRPr="000635C0" w:rsidRDefault="00332F73" w:rsidP="00332F73">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34069013" w14:textId="77777777" w:rsidR="00332F73" w:rsidRPr="000635C0" w:rsidRDefault="00332F73" w:rsidP="00332F73">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7AD2062F" w14:textId="77777777" w:rsidR="00332F73" w:rsidRPr="000635C0" w:rsidRDefault="00332F73" w:rsidP="00332F73">
      <w:pPr>
        <w:pStyle w:val="Heading4"/>
        <w:rPr>
          <w:rFonts w:asciiTheme="minorHAnsi" w:hAnsiTheme="minorHAnsi" w:cstheme="minorHAnsi"/>
        </w:rPr>
      </w:pPr>
      <w:r w:rsidRPr="000635C0">
        <w:rPr>
          <w:rFonts w:asciiTheme="minorHAnsi" w:hAnsiTheme="minorHAnsi" w:cstheme="minorHAnsi"/>
        </w:rPr>
        <w:t xml:space="preserve">– competing interps – reasonability narrows the theory debate to one issue of brightline, making it easy for the Neg to collapse to the issue in the long 2NR </w:t>
      </w:r>
    </w:p>
    <w:p w14:paraId="66443EBF" w14:textId="77777777" w:rsidR="00332F73" w:rsidRPr="000635C0" w:rsidRDefault="00332F73" w:rsidP="00332F73">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63280106" w14:textId="77777777" w:rsidR="00332F73" w:rsidRPr="000635C0" w:rsidRDefault="00332F73" w:rsidP="00332F73">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10BC22A4" w14:textId="77777777" w:rsidR="00332F73" w:rsidRPr="000635C0" w:rsidRDefault="00332F73" w:rsidP="00332F73">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counterinterp </w:t>
      </w:r>
    </w:p>
    <w:p w14:paraId="1C89B0CB" w14:textId="77777777" w:rsidR="00332F73" w:rsidRPr="000635C0" w:rsidRDefault="00332F73" w:rsidP="00332F73">
      <w:pPr>
        <w:pStyle w:val="Heading4"/>
        <w:rPr>
          <w:rFonts w:asciiTheme="minorHAnsi" w:hAnsiTheme="minorHAnsi" w:cstheme="minorHAnsi"/>
        </w:rPr>
      </w:pPr>
      <w:r w:rsidRPr="000635C0">
        <w:rPr>
          <w:rFonts w:asciiTheme="minorHAnsi" w:hAnsiTheme="minorHAnsi" w:cstheme="minorHAnsi"/>
        </w:rPr>
        <w:t xml:space="preserve">A] Timeskew – 6 Minute 2NR with collapse to whatever I undercover means that you can win theory and substance, but I need to go for both in half the time and split it between the 2 layers. </w:t>
      </w:r>
    </w:p>
    <w:p w14:paraId="69500C99" w14:textId="77777777" w:rsidR="00332F73" w:rsidRPr="000635C0" w:rsidRDefault="00332F73" w:rsidP="00332F73">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3F0033E8" w14:textId="77777777" w:rsidR="00332F73" w:rsidRPr="000635C0" w:rsidRDefault="00332F73" w:rsidP="00332F73">
      <w:pPr>
        <w:pStyle w:val="Heading4"/>
        <w:spacing w:line="240" w:lineRule="auto"/>
        <w:rPr>
          <w:rFonts w:asciiTheme="minorHAnsi" w:hAnsiTheme="minorHAnsi" w:cstheme="minorHAnsi"/>
        </w:rPr>
      </w:pPr>
      <w:r w:rsidRPr="000635C0">
        <w:t xml:space="preserve">4] Nothing in the 1AC has triggered it, but </w:t>
      </w:r>
      <w:r w:rsidRPr="000635C0">
        <w:rPr>
          <w:rFonts w:asciiTheme="minorHAnsi" w:hAnsiTheme="minorHAnsi" w:cstheme="minorHAnsi"/>
        </w:rPr>
        <w:t xml:space="preserve">Presumption and permissibility affirm – </w:t>
      </w:r>
    </w:p>
    <w:p w14:paraId="05D41B75" w14:textId="77777777" w:rsidR="00332F73" w:rsidRPr="000635C0" w:rsidRDefault="00332F73" w:rsidP="00332F73">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ie if I told you my name is Daniel you would believe me </w:t>
      </w:r>
    </w:p>
    <w:p w14:paraId="352E189E" w14:textId="77777777" w:rsidR="00332F73" w:rsidRPr="000635C0" w:rsidRDefault="00332F73" w:rsidP="00332F73">
      <w:pPr>
        <w:pStyle w:val="Heading4"/>
        <w:spacing w:line="240" w:lineRule="auto"/>
        <w:rPr>
          <w:rFonts w:asciiTheme="minorHAnsi" w:hAnsiTheme="minorHAnsi" w:cstheme="minorHAnsi"/>
        </w:rPr>
      </w:pPr>
      <w:r w:rsidRPr="000635C0">
        <w:rPr>
          <w:rFonts w:asciiTheme="minorHAnsi" w:hAnsiTheme="minorHAnsi" w:cstheme="minorHAnsi"/>
        </w:rPr>
        <w:t xml:space="preserve">b) If agents have to justify why every action is morally good we would have to justify actions that are morally neutral ie drinking water </w:t>
      </w:r>
    </w:p>
    <w:p w14:paraId="136AC30D" w14:textId="118FAE56" w:rsidR="00332F73" w:rsidRPr="000635C0" w:rsidRDefault="00332F73" w:rsidP="00332F73">
      <w:pPr>
        <w:pStyle w:val="Heading4"/>
        <w:spacing w:line="240" w:lineRule="auto"/>
        <w:rPr>
          <w:rFonts w:eastAsia="Times New Roman"/>
        </w:rPr>
      </w:pPr>
      <w:r w:rsidRPr="000635C0">
        <w:rPr>
          <w:rFonts w:asciiTheme="minorHAnsi" w:hAnsiTheme="minorHAnsi" w:cstheme="minorHAnsi"/>
        </w:rPr>
        <w:t xml:space="preserve">c) </w:t>
      </w:r>
      <w:r w:rsidRPr="000635C0">
        <w:rPr>
          <w:rFonts w:eastAsia="Times New Roman"/>
        </w:rPr>
        <w:t>empirics</w:t>
      </w:r>
    </w:p>
    <w:p w14:paraId="01C98F69" w14:textId="77777777" w:rsidR="00332F73" w:rsidRPr="000635C0" w:rsidRDefault="00332F73" w:rsidP="00332F73">
      <w:pPr>
        <w:spacing w:after="0" w:line="276" w:lineRule="auto"/>
        <w:rPr>
          <w:rFonts w:asciiTheme="minorHAnsi" w:eastAsia="Times New Roman" w:hAnsiTheme="minorHAnsi" w:cstheme="minorHAnsi"/>
          <w:sz w:val="16"/>
          <w:szCs w:val="16"/>
        </w:rPr>
      </w:pPr>
      <w:r w:rsidRPr="000635C0">
        <w:rPr>
          <w:rFonts w:asciiTheme="minorHAnsi" w:eastAsia="Times New Roman" w:hAnsiTheme="minorHAnsi" w:cstheme="minorHAnsi"/>
          <w:b/>
          <w:bCs/>
          <w:sz w:val="26"/>
          <w:szCs w:val="26"/>
        </w:rPr>
        <w:t>Shah 19, </w:t>
      </w:r>
      <w:r w:rsidRPr="000635C0">
        <w:rPr>
          <w:rFonts w:asciiTheme="minorHAnsi" w:eastAsia="Times New Roman" w:hAnsiTheme="minorHAnsi" w:cstheme="minorHAnsi"/>
          <w:sz w:val="16"/>
          <w:szCs w:val="16"/>
        </w:rPr>
        <w:t>[Shah, Sachin. “A STATISTICAL ANALYSIS OF SIDE-BIAS ON THE 2019 JANUARY-FEBRUARY LINCOLN-DOUGLAS DEBATE TOPIC.” NSD Update, National Symposium of Debate, 16 Feb. 2019, </w:t>
      </w:r>
      <w:hyperlink r:id="rId15" w:history="1">
        <w:r w:rsidRPr="000635C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635C0">
        <w:rPr>
          <w:rFonts w:asciiTheme="minorHAnsi" w:eastAsia="Times New Roman" w:hAnsiTheme="minorHAnsi" w:cstheme="minorHAnsi"/>
          <w:sz w:val="16"/>
          <w:szCs w:val="16"/>
        </w:rPr>
        <w:t xml:space="preserve"> ]//LHPSS accessed 9/4/19 </w:t>
      </w:r>
    </w:p>
    <w:p w14:paraId="72EE66E7" w14:textId="135A045A" w:rsidR="00332F73" w:rsidRPr="00332F73" w:rsidRDefault="00332F73" w:rsidP="00332F73">
      <w:pPr>
        <w:spacing w:after="0" w:line="276" w:lineRule="auto"/>
        <w:rPr>
          <w:rFonts w:asciiTheme="minorHAnsi" w:eastAsia="Times New Roman" w:hAnsiTheme="minorHAnsi" w:cstheme="minorHAnsi"/>
        </w:rPr>
      </w:pPr>
      <w:r w:rsidRPr="000635C0">
        <w:rPr>
          <w:rFonts w:asciiTheme="minorHAnsi" w:eastAsia="Times New Roman" w:hAnsiTheme="minorHAnsi" w:cstheme="minorHAnsi"/>
          <w:sz w:val="14"/>
          <w:szCs w:val="14"/>
        </w:rPr>
        <w:t>As a final note, it is also interesting to look at the trend over multiple topics. In the rounds </w:t>
      </w:r>
      <w:r w:rsidRPr="000635C0">
        <w:rPr>
          <w:rFonts w:asciiTheme="minorHAnsi" w:eastAsia="Times New Roman" w:hAnsiTheme="minorHAnsi" w:cstheme="minorHAnsi"/>
          <w:b/>
          <w:bCs/>
          <w:u w:val="single"/>
        </w:rPr>
        <w:t>from</w:t>
      </w:r>
      <w:r w:rsidRPr="000635C0">
        <w:rPr>
          <w:rFonts w:asciiTheme="minorHAnsi" w:eastAsia="Times New Roman" w:hAnsiTheme="minorHAnsi" w:cstheme="minorHAnsi"/>
          <w:sz w:val="14"/>
          <w:szCs w:val="14"/>
        </w:rPr>
        <w:t> 93 TOC bid distributing tournaments (</w:t>
      </w:r>
      <w:r w:rsidRPr="000635C0">
        <w:rPr>
          <w:rFonts w:asciiTheme="minorHAnsi" w:eastAsia="Times New Roman" w:hAnsiTheme="minorHAnsi" w:cstheme="minorHAnsi"/>
          <w:b/>
          <w:bCs/>
          <w:u w:val="single"/>
        </w:rPr>
        <w:t>20</w:t>
      </w:r>
      <w:r w:rsidRPr="00864830">
        <w:rPr>
          <w:rFonts w:asciiTheme="minorHAnsi" w:eastAsia="Times New Roman" w:hAnsiTheme="minorHAnsi" w:cstheme="minorHAnsi"/>
          <w:b/>
          <w:bCs/>
          <w:highlight w:val="green"/>
          <w:u w:val="single"/>
          <w:shd w:val="clear" w:color="auto" w:fill="FFFF00"/>
        </w:rPr>
        <w:t>17</w:t>
      </w:r>
      <w:r w:rsidRPr="00864830">
        <w:rPr>
          <w:rFonts w:asciiTheme="minorHAnsi" w:eastAsia="Times New Roman" w:hAnsiTheme="minorHAnsi" w:cstheme="minorHAnsi"/>
          <w:b/>
          <w:bCs/>
          <w:highlight w:val="green"/>
          <w:u w:val="single"/>
        </w:rPr>
        <w:t> </w:t>
      </w:r>
      <w:r w:rsidRPr="00864830">
        <w:rPr>
          <w:rFonts w:asciiTheme="minorHAnsi" w:eastAsia="Times New Roman" w:hAnsiTheme="minorHAnsi" w:cstheme="minorHAnsi"/>
          <w:b/>
          <w:bCs/>
          <w:highlight w:val="green"/>
          <w:u w:val="single"/>
          <w:shd w:val="clear" w:color="auto" w:fill="FFFF00"/>
        </w:rPr>
        <w:t>–</w:t>
      </w:r>
      <w:r w:rsidRPr="000635C0">
        <w:rPr>
          <w:rFonts w:asciiTheme="minorHAnsi" w:eastAsia="Times New Roman" w:hAnsiTheme="minorHAnsi" w:cstheme="minorHAnsi"/>
          <w:b/>
          <w:bCs/>
          <w:u w:val="single"/>
        </w:rPr>
        <w:t> 20</w:t>
      </w:r>
      <w:r w:rsidRPr="00864830">
        <w:rPr>
          <w:rFonts w:asciiTheme="minorHAnsi" w:eastAsia="Times New Roman" w:hAnsiTheme="minorHAnsi" w:cstheme="minorHAnsi"/>
          <w:b/>
          <w:bCs/>
          <w:highlight w:val="green"/>
          <w:u w:val="single"/>
          <w:shd w:val="clear" w:color="auto" w:fill="FFFF00"/>
        </w:rPr>
        <w:t>19</w:t>
      </w:r>
      <w:r w:rsidRPr="000635C0">
        <w:rPr>
          <w:rFonts w:asciiTheme="minorHAnsi" w:eastAsia="Times New Roman" w:hAnsiTheme="minorHAnsi" w:cstheme="minorHAnsi"/>
          <w:sz w:val="14"/>
          <w:szCs w:val="14"/>
        </w:rPr>
        <w:t> YTD), </w:t>
      </w:r>
      <w:r w:rsidRPr="00864830">
        <w:rPr>
          <w:rFonts w:asciiTheme="minorHAnsi" w:eastAsia="Times New Roman" w:hAnsiTheme="minorHAnsi" w:cstheme="minorHAnsi"/>
          <w:b/>
          <w:bCs/>
          <w:highlight w:val="green"/>
          <w:u w:val="single"/>
          <w:shd w:val="clear" w:color="auto" w:fill="FFFF00"/>
        </w:rPr>
        <w:t>the neg</w:t>
      </w:r>
      <w:r w:rsidRPr="000635C0">
        <w:rPr>
          <w:rFonts w:asciiTheme="minorHAnsi" w:eastAsia="Times New Roman" w:hAnsiTheme="minorHAnsi" w:cstheme="minorHAnsi"/>
          <w:sz w:val="14"/>
          <w:szCs w:val="14"/>
        </w:rPr>
        <w:t>ative </w:t>
      </w:r>
      <w:r w:rsidRPr="00864830">
        <w:rPr>
          <w:rFonts w:asciiTheme="minorHAnsi" w:eastAsia="Times New Roman" w:hAnsiTheme="minorHAnsi" w:cstheme="minorHAnsi"/>
          <w:b/>
          <w:bCs/>
          <w:highlight w:val="green"/>
          <w:u w:val="single"/>
          <w:shd w:val="clear" w:color="auto" w:fill="FFFF00"/>
        </w:rPr>
        <w:t>won 52.99% of ballots</w:t>
      </w:r>
      <w:r w:rsidRPr="000635C0">
        <w:rPr>
          <w:rFonts w:asciiTheme="minorHAnsi" w:eastAsia="Times New Roman" w:hAnsiTheme="minorHAnsi" w:cstheme="minorHAnsi"/>
          <w:sz w:val="14"/>
          <w:szCs w:val="14"/>
        </w:rPr>
        <w:t> (</w:t>
      </w:r>
      <w:r w:rsidRPr="000635C0">
        <w:rPr>
          <w:rFonts w:asciiTheme="minorHAnsi" w:eastAsia="Times New Roman" w:hAnsiTheme="minorHAnsi" w:cstheme="minorHAnsi"/>
          <w:b/>
          <w:bCs/>
          <w:u w:val="single"/>
        </w:rPr>
        <w:t>p-value &lt; 0.0001)</w:t>
      </w:r>
      <w:r w:rsidRPr="000635C0">
        <w:rPr>
          <w:rFonts w:asciiTheme="minorHAnsi" w:eastAsia="Times New Roman" w:hAnsiTheme="minorHAnsi" w:cstheme="minorHAnsi"/>
          <w:sz w:val="14"/>
          <w:szCs w:val="14"/>
        </w:rPr>
        <w:t> and 54.63% of upset rounds (p-value &lt; 0.0001). </w:t>
      </w:r>
      <w:r w:rsidRPr="00864830">
        <w:rPr>
          <w:rFonts w:asciiTheme="minorHAnsi" w:eastAsia="Times New Roman" w:hAnsiTheme="minorHAnsi" w:cstheme="minorHAnsi"/>
          <w:b/>
          <w:bCs/>
          <w:highlight w:val="green"/>
          <w:u w:val="single"/>
          <w:shd w:val="clear" w:color="auto" w:fill="FFFF00"/>
        </w:rPr>
        <w:t>This suggests the bias might be structural</w:t>
      </w:r>
      <w:r w:rsidRPr="000635C0">
        <w:rPr>
          <w:rFonts w:asciiTheme="minorHAnsi" w:eastAsia="Times New Roman" w:hAnsiTheme="minorHAnsi" w:cstheme="minorHAnsi"/>
          <w:b/>
          <w:bCs/>
          <w:u w:val="single"/>
        </w:rPr>
        <w:t>, and not topic specific, as this data spans six different topics.</w:t>
      </w:r>
      <w:r w:rsidRPr="000635C0">
        <w:rPr>
          <w:rFonts w:asciiTheme="minorHAnsi" w:eastAsia="Times New Roman" w:hAnsiTheme="minorHAnsi" w:cstheme="minorHAnsi"/>
        </w:rPr>
        <w:t xml:space="preserve">  </w:t>
      </w:r>
    </w:p>
    <w:p w14:paraId="3449E851" w14:textId="0AA7EB5A" w:rsidR="00C400F1" w:rsidRDefault="00C400F1" w:rsidP="00C400F1">
      <w:pPr>
        <w:pStyle w:val="Heading3"/>
      </w:pPr>
      <w:r>
        <w:t>Adv</w:t>
      </w:r>
    </w:p>
    <w:p w14:paraId="0189229C" w14:textId="77777777" w:rsidR="00C400F1" w:rsidRDefault="00C400F1" w:rsidP="00C400F1">
      <w:pPr>
        <w:pStyle w:val="Heading4"/>
      </w:pPr>
      <w:r>
        <w:t xml:space="preserve">Plan – A just government of the People’s Republic of China ought to </w:t>
      </w:r>
      <w:r w:rsidRPr="007A4168">
        <w:t>recognize an unconditional right of workers to strike.</w:t>
      </w:r>
    </w:p>
    <w:p w14:paraId="18211F20" w14:textId="77777777" w:rsidR="00C400F1" w:rsidRPr="007A7A2D" w:rsidRDefault="00C400F1" w:rsidP="00C400F1">
      <w:pPr>
        <w:pStyle w:val="Heading4"/>
      </w:pPr>
      <w:r>
        <w:t xml:space="preserve">Lack of Chinese Right to Strike </w:t>
      </w:r>
      <w:r>
        <w:rPr>
          <w:u w:val="single"/>
        </w:rPr>
        <w:t>devastates</w:t>
      </w:r>
      <w:r>
        <w:t xml:space="preserve"> Collective Bargaining – undermines any legal leverage for Strikes.</w:t>
      </w:r>
    </w:p>
    <w:p w14:paraId="49B3C626" w14:textId="77777777" w:rsidR="00C400F1" w:rsidRPr="00DE1165" w:rsidRDefault="00C400F1" w:rsidP="00C400F1">
      <w:r w:rsidRPr="00DE1165">
        <w:rPr>
          <w:rStyle w:val="Style13ptBold"/>
        </w:rPr>
        <w:t>Friedman 17</w:t>
      </w:r>
      <w:r>
        <w:t xml:space="preserve"> </w:t>
      </w:r>
      <w:r w:rsidRPr="00DE1165">
        <w:t>Eli Friedman 4-20-2017 "Collective Bargaining in China is Dead: The Situation is Excellent"</w:t>
      </w:r>
      <w:r>
        <w:t xml:space="preserve"> </w:t>
      </w:r>
      <w:hyperlink r:id="rId16"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10C56A23" w14:textId="6D41E756" w:rsidR="00C400F1" w:rsidRDefault="00C400F1" w:rsidP="00C400F1">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132D8C6D" w14:textId="77777777" w:rsidR="002018F8" w:rsidRPr="007A4168" w:rsidRDefault="002018F8" w:rsidP="002018F8">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5570DF27" w14:textId="77777777" w:rsidR="002018F8" w:rsidRPr="00A44704" w:rsidRDefault="002018F8" w:rsidP="002018F8">
      <w:r w:rsidRPr="00A44704">
        <w:rPr>
          <w:rStyle w:val="Style13ptBold"/>
        </w:rPr>
        <w:t>Dongfang 11</w:t>
      </w:r>
      <w:r>
        <w:t xml:space="preserve"> </w:t>
      </w:r>
      <w:r w:rsidRPr="00A44704">
        <w:t>Han Dongfang 4-6-2011 "Liberate China's Workers"</w:t>
      </w:r>
      <w:r>
        <w:t xml:space="preserve"> </w:t>
      </w:r>
      <w:hyperlink r:id="rId17"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1454C59B" w14:textId="0509C26F" w:rsidR="002018F8" w:rsidRPr="00D74C52" w:rsidRDefault="002018F8" w:rsidP="00C400F1">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688FE786" w14:textId="77777777" w:rsidR="00C400F1" w:rsidRDefault="00C400F1" w:rsidP="00C400F1">
      <w:pPr>
        <w:pStyle w:val="Heading4"/>
      </w:pPr>
      <w:r>
        <w:t xml:space="preserve">The Right to Strike </w:t>
      </w:r>
      <w:r>
        <w:rPr>
          <w:u w:val="single"/>
        </w:rPr>
        <w:t>re-balances</w:t>
      </w:r>
      <w:r>
        <w:t xml:space="preserve"> China’s Economy. </w:t>
      </w:r>
    </w:p>
    <w:p w14:paraId="73B1E13C" w14:textId="77777777" w:rsidR="00C400F1" w:rsidRDefault="00C400F1" w:rsidP="00C400F1">
      <w:r w:rsidRPr="00A44704">
        <w:rPr>
          <w:rStyle w:val="Style13ptBold"/>
        </w:rPr>
        <w:t>Roberts 10</w:t>
      </w:r>
      <w:r>
        <w:t xml:space="preserve"> </w:t>
      </w:r>
      <w:r w:rsidRPr="00A44704">
        <w:t>Dexter Roberts 8-5-2010 "Is the Right to Strike Coming to China"</w:t>
      </w:r>
      <w:r>
        <w:t xml:space="preserve"> </w:t>
      </w:r>
      <w:hyperlink r:id="rId18" w:history="1">
        <w:r w:rsidRPr="00227C9E">
          <w:rPr>
            <w:rStyle w:val="Hyperlink"/>
          </w:rPr>
          <w:t>https://archive.md/hjNI7</w:t>
        </w:r>
      </w:hyperlink>
      <w:r>
        <w:t xml:space="preserve"> (Editor at Bloomberg)//Elmer</w:t>
      </w:r>
    </w:p>
    <w:p w14:paraId="0A1AA7AC" w14:textId="77777777" w:rsidR="00C400F1" w:rsidRDefault="00C400F1" w:rsidP="00C400F1">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57A1FBC8" w14:textId="77777777" w:rsidR="00C400F1" w:rsidRPr="003432AE" w:rsidRDefault="00C400F1" w:rsidP="00C400F1">
      <w:pPr>
        <w:pStyle w:val="Heading4"/>
      </w:pPr>
      <w:r>
        <w:t xml:space="preserve">Chinese Economic Decline leads to </w:t>
      </w:r>
      <w:r>
        <w:rPr>
          <w:u w:val="single"/>
        </w:rPr>
        <w:t>all-out War</w:t>
      </w:r>
      <w:r>
        <w:t xml:space="preserve"> – specifically over </w:t>
      </w:r>
      <w:r>
        <w:rPr>
          <w:u w:val="single"/>
        </w:rPr>
        <w:t>Taiwan</w:t>
      </w:r>
      <w:r>
        <w:t>.</w:t>
      </w:r>
    </w:p>
    <w:p w14:paraId="7C451DF7" w14:textId="77777777" w:rsidR="00C400F1" w:rsidRPr="00065A8D" w:rsidRDefault="00C400F1" w:rsidP="00C400F1">
      <w:r w:rsidRPr="00065A8D">
        <w:rPr>
          <w:rStyle w:val="Style13ptBold"/>
        </w:rPr>
        <w:t>Joske 18</w:t>
      </w:r>
      <w:r>
        <w:t xml:space="preserve"> Stephen Joske 10-23-2018 “</w:t>
      </w:r>
      <w:r w:rsidRPr="00A23A0A">
        <w:t>China’s Coming Financial Crisis And The National Security Connection</w:t>
      </w:r>
      <w:r>
        <w:t xml:space="preserve">” </w:t>
      </w:r>
      <w:hyperlink r:id="rId19"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29B85AB" w14:textId="77777777" w:rsidR="00C400F1" w:rsidRPr="00065A8D" w:rsidRDefault="00C400F1" w:rsidP="00C400F1">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5B8004BA" w14:textId="77777777" w:rsidR="00C400F1" w:rsidRDefault="00C400F1" w:rsidP="00C400F1">
      <w:pPr>
        <w:pStyle w:val="Heading4"/>
      </w:pPr>
      <w:r>
        <w:t xml:space="preserve">Nuke war causes extinction AND outweighs </w:t>
      </w:r>
      <w:r w:rsidRPr="00C339DB">
        <w:rPr>
          <w:u w:val="single"/>
        </w:rPr>
        <w:t>other</w:t>
      </w:r>
      <w:r>
        <w:t xml:space="preserve"> existential risks</w:t>
      </w:r>
    </w:p>
    <w:p w14:paraId="5E24E0AA" w14:textId="77777777" w:rsidR="00C400F1" w:rsidRPr="00E530E8" w:rsidRDefault="00C400F1" w:rsidP="00C400F1">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791635">
          <w:rPr>
            <w:rStyle w:val="Hyperlink"/>
          </w:rPr>
          <w:t>http://www.reachingcriticalwill.org/images/documents/Disarmament-fora/OEWG/2016/Documents/NGO13.pdf</w:t>
        </w:r>
      </w:hyperlink>
      <w:r>
        <w:t xml:space="preserve"> //Re-cut by Elmer</w:t>
      </w:r>
    </w:p>
    <w:p w14:paraId="47CBBF10" w14:textId="77777777" w:rsidR="00C400F1" w:rsidRPr="00C30ECF" w:rsidRDefault="00C400F1" w:rsidP="00C400F1">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6FC8BB9" w14:textId="6DA9FF16" w:rsidR="00C400F1" w:rsidRDefault="008B276A" w:rsidP="008B276A">
      <w:pPr>
        <w:pStyle w:val="Heading3"/>
      </w:pPr>
      <w:r>
        <w:t>Add ons</w:t>
      </w:r>
    </w:p>
    <w:p w14:paraId="37ADE6CB" w14:textId="77777777" w:rsidR="008B276A" w:rsidRPr="00C46568" w:rsidRDefault="008B276A" w:rsidP="008B276A">
      <w:pPr>
        <w:pStyle w:val="Heading4"/>
      </w:pPr>
      <w:r>
        <w:t xml:space="preserve">China’s Economy is on the </w:t>
      </w:r>
      <w:r>
        <w:rPr>
          <w:u w:val="single"/>
        </w:rPr>
        <w:t>brink of collapse</w:t>
      </w:r>
      <w:r>
        <w:t xml:space="preserve"> – only solving poverty can </w:t>
      </w:r>
      <w:r>
        <w:rPr>
          <w:u w:val="single"/>
        </w:rPr>
        <w:t>reverse it</w:t>
      </w:r>
      <w:r>
        <w:t>.</w:t>
      </w:r>
    </w:p>
    <w:p w14:paraId="257BBC49" w14:textId="77777777" w:rsidR="008B276A" w:rsidRPr="00C46568" w:rsidRDefault="008B276A" w:rsidP="008B276A">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2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16F2FB63" w14:textId="77777777" w:rsidR="008B276A" w:rsidRPr="00047E55" w:rsidRDefault="008B276A" w:rsidP="008B276A">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needs people to actually use</w:t>
      </w:r>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2DABECF3" w14:textId="77777777" w:rsidR="008B276A" w:rsidRPr="008B276A" w:rsidRDefault="008B276A" w:rsidP="008B276A"/>
    <w:p w14:paraId="21AEB429" w14:textId="77777777" w:rsidR="008B276A" w:rsidRDefault="008B276A" w:rsidP="008B276A">
      <w:pPr>
        <w:pStyle w:val="Heading4"/>
      </w:pPr>
      <w:r>
        <w:t>Taiwan goes Nuclear.</w:t>
      </w:r>
    </w:p>
    <w:p w14:paraId="46424E94" w14:textId="77777777" w:rsidR="008B276A" w:rsidRPr="007B7203" w:rsidRDefault="008B276A" w:rsidP="008B276A">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22" w:history="1">
        <w:r w:rsidRPr="006F1C8F">
          <w:rPr>
            <w:rStyle w:val="Hyperlink"/>
          </w:rPr>
          <w:t>https://www.foreignaffairs.com/articles/china/2018-10-15/beijings-nuclear-option</w:t>
        </w:r>
      </w:hyperlink>
      <w:r>
        <w:t>, published Nov/Dec 2018]//re-cut by Elmer</w:t>
      </w:r>
    </w:p>
    <w:p w14:paraId="78CD5AC1" w14:textId="77777777" w:rsidR="008B276A" w:rsidRDefault="008B276A" w:rsidP="008B276A">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103A251E" w14:textId="77777777" w:rsidR="008B276A" w:rsidRPr="008B276A" w:rsidRDefault="008B276A" w:rsidP="008B276A"/>
    <w:sectPr w:rsidR="008B276A" w:rsidRPr="008B27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46520"/>
    <w:rsid w:val="000139A3"/>
    <w:rsid w:val="0002403F"/>
    <w:rsid w:val="00066A26"/>
    <w:rsid w:val="000A2A8B"/>
    <w:rsid w:val="000B3B28"/>
    <w:rsid w:val="00100833"/>
    <w:rsid w:val="00104529"/>
    <w:rsid w:val="00105942"/>
    <w:rsid w:val="00107396"/>
    <w:rsid w:val="00144A4C"/>
    <w:rsid w:val="00176AB0"/>
    <w:rsid w:val="00177B7D"/>
    <w:rsid w:val="0018322D"/>
    <w:rsid w:val="001B5776"/>
    <w:rsid w:val="001E527A"/>
    <w:rsid w:val="001F78CE"/>
    <w:rsid w:val="002018F8"/>
    <w:rsid w:val="00232BAF"/>
    <w:rsid w:val="00236318"/>
    <w:rsid w:val="00251FC7"/>
    <w:rsid w:val="00261C9F"/>
    <w:rsid w:val="002855A7"/>
    <w:rsid w:val="002B146A"/>
    <w:rsid w:val="002B5E17"/>
    <w:rsid w:val="002C48E8"/>
    <w:rsid w:val="002D492D"/>
    <w:rsid w:val="002E40AA"/>
    <w:rsid w:val="00313384"/>
    <w:rsid w:val="00315690"/>
    <w:rsid w:val="00316B75"/>
    <w:rsid w:val="00325646"/>
    <w:rsid w:val="00332F73"/>
    <w:rsid w:val="003460F2"/>
    <w:rsid w:val="0038158C"/>
    <w:rsid w:val="003902BA"/>
    <w:rsid w:val="003905D9"/>
    <w:rsid w:val="003A09E2"/>
    <w:rsid w:val="00407037"/>
    <w:rsid w:val="004605D6"/>
    <w:rsid w:val="00494EFC"/>
    <w:rsid w:val="004C60E8"/>
    <w:rsid w:val="004E3579"/>
    <w:rsid w:val="004E728B"/>
    <w:rsid w:val="004F39E0"/>
    <w:rsid w:val="004F47FF"/>
    <w:rsid w:val="00516B44"/>
    <w:rsid w:val="005350C7"/>
    <w:rsid w:val="00537BD5"/>
    <w:rsid w:val="00550987"/>
    <w:rsid w:val="0057268A"/>
    <w:rsid w:val="005D2912"/>
    <w:rsid w:val="005D3343"/>
    <w:rsid w:val="005F7636"/>
    <w:rsid w:val="00603B4E"/>
    <w:rsid w:val="006065BD"/>
    <w:rsid w:val="00645FA9"/>
    <w:rsid w:val="00646520"/>
    <w:rsid w:val="00647866"/>
    <w:rsid w:val="00665003"/>
    <w:rsid w:val="006A2AD0"/>
    <w:rsid w:val="006C2375"/>
    <w:rsid w:val="006C6993"/>
    <w:rsid w:val="006D4ECC"/>
    <w:rsid w:val="0071234E"/>
    <w:rsid w:val="00722258"/>
    <w:rsid w:val="007243E5"/>
    <w:rsid w:val="00734EB6"/>
    <w:rsid w:val="00766EA0"/>
    <w:rsid w:val="00795718"/>
    <w:rsid w:val="007A2226"/>
    <w:rsid w:val="007D12D6"/>
    <w:rsid w:val="007F5B66"/>
    <w:rsid w:val="00823A1C"/>
    <w:rsid w:val="00845B9D"/>
    <w:rsid w:val="00860984"/>
    <w:rsid w:val="00863FE6"/>
    <w:rsid w:val="00864D16"/>
    <w:rsid w:val="008B276A"/>
    <w:rsid w:val="008B3ECB"/>
    <w:rsid w:val="008B4E85"/>
    <w:rsid w:val="008C1B2E"/>
    <w:rsid w:val="008E48DB"/>
    <w:rsid w:val="0091627E"/>
    <w:rsid w:val="00916ACB"/>
    <w:rsid w:val="00923BEA"/>
    <w:rsid w:val="00927E80"/>
    <w:rsid w:val="009376F5"/>
    <w:rsid w:val="0097032B"/>
    <w:rsid w:val="009C1EBB"/>
    <w:rsid w:val="009D2EAD"/>
    <w:rsid w:val="009D54B2"/>
    <w:rsid w:val="009E1922"/>
    <w:rsid w:val="009E6E7B"/>
    <w:rsid w:val="009F7ED2"/>
    <w:rsid w:val="00A93661"/>
    <w:rsid w:val="00A95652"/>
    <w:rsid w:val="00AA16DD"/>
    <w:rsid w:val="00AC0AB8"/>
    <w:rsid w:val="00B33C6D"/>
    <w:rsid w:val="00B4508F"/>
    <w:rsid w:val="00B55AD5"/>
    <w:rsid w:val="00B8057C"/>
    <w:rsid w:val="00B96707"/>
    <w:rsid w:val="00BD6238"/>
    <w:rsid w:val="00BF593B"/>
    <w:rsid w:val="00BF773A"/>
    <w:rsid w:val="00BF7E81"/>
    <w:rsid w:val="00C03EF3"/>
    <w:rsid w:val="00C13773"/>
    <w:rsid w:val="00C17CC8"/>
    <w:rsid w:val="00C400F1"/>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DB3D12"/>
    <w:rsid w:val="00E15E75"/>
    <w:rsid w:val="00E5262C"/>
    <w:rsid w:val="00E77218"/>
    <w:rsid w:val="00E850A6"/>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70FBF"/>
  <w15:chartTrackingRefBased/>
  <w15:docId w15:val="{7C0203D0-0E07-4BDA-BF63-CDE1F820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6520"/>
    <w:rPr>
      <w:rFonts w:ascii="Calibri" w:hAnsi="Calibri" w:cs="Calibri"/>
    </w:rPr>
  </w:style>
  <w:style w:type="paragraph" w:styleId="Heading1">
    <w:name w:val="heading 1"/>
    <w:aliases w:val="Pocket"/>
    <w:basedOn w:val="Normal"/>
    <w:next w:val="Normal"/>
    <w:link w:val="Heading1Char"/>
    <w:qFormat/>
    <w:rsid w:val="006465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65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65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6465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65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520"/>
  </w:style>
  <w:style w:type="character" w:customStyle="1" w:styleId="Heading1Char">
    <w:name w:val="Heading 1 Char"/>
    <w:aliases w:val="Pocket Char"/>
    <w:basedOn w:val="DefaultParagraphFont"/>
    <w:link w:val="Heading1"/>
    <w:rsid w:val="006465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652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652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64652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64652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6520"/>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646520"/>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646520"/>
    <w:rPr>
      <w:color w:val="auto"/>
      <w:u w:val="none"/>
    </w:rPr>
  </w:style>
  <w:style w:type="character" w:styleId="FollowedHyperlink">
    <w:name w:val="FollowedHyperlink"/>
    <w:basedOn w:val="DefaultParagraphFont"/>
    <w:uiPriority w:val="99"/>
    <w:semiHidden/>
    <w:unhideWhenUsed/>
    <w:rsid w:val="00646520"/>
    <w:rPr>
      <w:color w:val="auto"/>
      <w:u w:val="non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AA16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A2A8B"/>
    <w:pPr>
      <w:ind w:left="720"/>
      <w:jc w:val="both"/>
    </w:pPr>
    <w:rPr>
      <w:b/>
      <w:iCs/>
      <w:u w:val="single"/>
    </w:rPr>
  </w:style>
  <w:style w:type="character" w:customStyle="1" w:styleId="AnalyticsChar">
    <w:name w:val="Analytics Char"/>
    <w:basedOn w:val="DefaultParagraphFont"/>
    <w:link w:val="Analytics"/>
    <w:rsid w:val="000A2A8B"/>
    <w:rPr>
      <w:rFonts w:ascii="Times New Roman" w:hAnsi="Times New Roman"/>
    </w:rPr>
  </w:style>
  <w:style w:type="paragraph" w:customStyle="1" w:styleId="Analytics">
    <w:name w:val="Analytics"/>
    <w:basedOn w:val="Normal"/>
    <w:link w:val="AnalyticsChar"/>
    <w:qFormat/>
    <w:rsid w:val="000A2A8B"/>
    <w:pPr>
      <w:tabs>
        <w:tab w:val="left" w:pos="1980"/>
      </w:tabs>
      <w:spacing w:line="480" w:lineRule="auto"/>
    </w:pPr>
    <w:rPr>
      <w:rFonts w:ascii="Times New Roman" w:hAnsi="Times New Roman" w:cstheme="minorBidi"/>
    </w:rPr>
  </w:style>
  <w:style w:type="paragraph" w:styleId="ListParagraph">
    <w:name w:val="List Paragraph"/>
    <w:aliases w:val="6 font"/>
    <w:basedOn w:val="Normal"/>
    <w:uiPriority w:val="99"/>
    <w:unhideWhenUsed/>
    <w:qFormat/>
    <w:rsid w:val="00C400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topia.org/article/camera-oncamera-dilemma" TargetMode="External"/><Relationship Id="rId13" Type="http://schemas.openxmlformats.org/officeDocument/2006/relationships/hyperlink" Target="https://www.theguardian.com/society/2016/sep/01/what-you-need-to-know-about-the-junior-doctors-strike" TargetMode="External"/><Relationship Id="rId18" Type="http://schemas.openxmlformats.org/officeDocument/2006/relationships/hyperlink" Target="https://archive.md/hjNI7" TargetMode="External"/><Relationship Id="rId3" Type="http://schemas.openxmlformats.org/officeDocument/2006/relationships/styles" Target="styles.xml"/><Relationship Id="rId21" Type="http://schemas.openxmlformats.org/officeDocument/2006/relationships/hyperlink" Target="https://archive.md/M4qjY" TargetMode="External"/><Relationship Id="rId7" Type="http://schemas.openxmlformats.org/officeDocument/2006/relationships/image" Target="media/image1.png"/><Relationship Id="rId12" Type="http://schemas.openxmlformats.org/officeDocument/2006/relationships/hyperlink" Target="https://plato.stanford.edu/entries/autonomy-moral/" TargetMode="External"/><Relationship Id="rId17" Type="http://schemas.openxmlformats.org/officeDocument/2006/relationships/hyperlink" Target="https://archive.md/7RvDG" TargetMode="External"/><Relationship Id="rId2" Type="http://schemas.openxmlformats.org/officeDocument/2006/relationships/numbering" Target="numbering.xml"/><Relationship Id="rId16" Type="http://schemas.openxmlformats.org/officeDocument/2006/relationships/hyperlink" Target="https://www.chinoiresie.info/collective-bargaining-in-china-is-dead-the-situation-is-excellent/" TargetMode="External"/><Relationship Id="rId20"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www.tabroom.com/index/tourn/index.mhtml?webpage_id=14418&amp;tourn_id=20143" TargetMode="External"/><Relationship Id="rId11" Type="http://schemas.openxmlformats.org/officeDocument/2006/relationships/hyperlink" Target="https://www.ncbi.nlm.nih.gov/pmc/articles/PMC668669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sdupdate.com/2019/a-statistical-analysis-of-side-bias-on-the-2019-january-february-lincoln-douglas-debate-topic/" TargetMode="External"/><Relationship Id="rId23" Type="http://schemas.openxmlformats.org/officeDocument/2006/relationships/fontTable" Target="fontTable.xml"/><Relationship Id="rId10" Type="http://schemas.openxmlformats.org/officeDocument/2006/relationships/hyperlink" Target="https://www.jstor.org/stable/pdf/2176470.pdf" TargetMode="External"/><Relationship Id="rId19" Type="http://schemas.openxmlformats.org/officeDocument/2006/relationships/hyperlink" Target="https://warontherocks.com/2018/10/chinas-coming-financial-crisis-and-the-national-security-connection/" TargetMode="External"/><Relationship Id="rId4" Type="http://schemas.openxmlformats.org/officeDocument/2006/relationships/settings" Target="settings.xml"/><Relationship Id="rId9" Type="http://schemas.openxmlformats.org/officeDocument/2006/relationships/hyperlink" Target="https://link.springer.com/article/10.1007/s13194-020-00294-w" TargetMode="External"/><Relationship Id="rId14" Type="http://schemas.openxmlformats.org/officeDocument/2006/relationships/hyperlink" Target="https://theconversation.com/university-lecturer-explains-why-academics-are-striking-over-pension-cuts-93039" TargetMode="External"/><Relationship Id="rId22" Type="http://schemas.openxmlformats.org/officeDocument/2006/relationships/hyperlink" Target="https://www.foreignaffairs.com/articles/china/2018-10-15/beijings-nuclear-op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13178</Words>
  <Characters>75116</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27</cp:revision>
  <dcterms:created xsi:type="dcterms:W3CDTF">2021-11-20T23:02:00Z</dcterms:created>
  <dcterms:modified xsi:type="dcterms:W3CDTF">2021-11-21T00:28:00Z</dcterms:modified>
</cp:coreProperties>
</file>