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47183" w14:textId="17ACE538" w:rsidR="00C115C3" w:rsidRDefault="00C115C3" w:rsidP="00C115C3">
      <w:pPr>
        <w:pStyle w:val="Heading2"/>
      </w:pPr>
      <w:r>
        <w:t>1</w:t>
      </w:r>
    </w:p>
    <w:p w14:paraId="0EC87F09" w14:textId="77777777" w:rsidR="00C115C3" w:rsidRDefault="00C115C3" w:rsidP="00C115C3">
      <w:pPr>
        <w:pStyle w:val="Heading4"/>
      </w:pPr>
      <w:r>
        <w:t xml:space="preserve">Ethics must be derived from the Noumenal world – </w:t>
      </w:r>
    </w:p>
    <w:p w14:paraId="3CBE39A3" w14:textId="77777777" w:rsidR="00C115C3" w:rsidRDefault="00C115C3" w:rsidP="00C115C3">
      <w:pPr>
        <w:pStyle w:val="Heading4"/>
      </w:pPr>
      <w:r>
        <w:t xml:space="preserve">1] </w:t>
      </w:r>
      <w:r w:rsidRPr="0096498F">
        <w:rPr>
          <w:u w:val="single"/>
        </w:rPr>
        <w:t>External Worlds Skepticism</w:t>
      </w:r>
      <w:r>
        <w:t xml:space="preserve"> – </w:t>
      </w:r>
    </w:p>
    <w:p w14:paraId="68B5F2FC" w14:textId="77777777" w:rsidR="00C115C3" w:rsidRDefault="00C115C3" w:rsidP="00C115C3">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7" w:history="1">
        <w:r w:rsidRPr="007E3799">
          <w:rPr>
            <w:rStyle w:val="Hyperlink"/>
          </w:rPr>
          <w:t>https://1000wordphilosophy.com/2014/02/06/external-world-skepticism/</w:t>
        </w:r>
      </w:hyperlink>
      <w:r>
        <w:t xml:space="preserve"> //Xu]</w:t>
      </w:r>
    </w:p>
    <w:p w14:paraId="2737A668" w14:textId="77777777" w:rsidR="00C115C3" w:rsidRPr="00684743" w:rsidRDefault="00C115C3" w:rsidP="00C115C3">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 xml:space="preserve">uch that it will seem to you that things are some </w:t>
      </w:r>
      <w:proofErr w:type="gramStart"/>
      <w:r w:rsidRPr="00776448">
        <w:rPr>
          <w:rStyle w:val="Emphasis"/>
        </w:rPr>
        <w:t>way</w:t>
      </w:r>
      <w:proofErr w:type="gramEnd"/>
      <w:r w:rsidRPr="00776448">
        <w:rPr>
          <w:rStyle w:val="Emphasis"/>
        </w:rPr>
        <w:t xml:space="preserve"> when they are not that way at all. Accordingly</w:t>
      </w:r>
      <w:r w:rsidRPr="00684743">
        <w:rPr>
          <w:sz w:val="16"/>
        </w:rPr>
        <w:t xml:space="preserve">, things are </w:t>
      </w:r>
      <w:proofErr w:type="gramStart"/>
      <w:r w:rsidRPr="00684743">
        <w:rPr>
          <w:sz w:val="16"/>
        </w:rPr>
        <w:t>actually nothing</w:t>
      </w:r>
      <w:proofErr w:type="gramEnd"/>
      <w:r w:rsidRPr="00684743">
        <w:rPr>
          <w:sz w:val="16"/>
        </w:rPr>
        <w:t xml:space="preserve"> like P. For example, suppose it seems to you as though you are in a room with a table and chair in it and that you are reading from a computer screen, etc. If (1) is true, then you </w:t>
      </w:r>
      <w:proofErr w:type="gramStart"/>
      <w:r w:rsidRPr="00684743">
        <w:rPr>
          <w:sz w:val="16"/>
        </w:rPr>
        <w:t>actually are</w:t>
      </w:r>
      <w:proofErr w:type="gramEnd"/>
      <w:r w:rsidRPr="00684743">
        <w:rPr>
          <w:sz w:val="16"/>
        </w:rPr>
        <w:t xml:space="preserv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1CF7BD19" w14:textId="77777777" w:rsidR="00C115C3" w:rsidRPr="009021AD" w:rsidRDefault="00C115C3" w:rsidP="00C115C3">
      <w:pPr>
        <w:rPr>
          <w:sz w:val="16"/>
          <w:szCs w:val="16"/>
        </w:rPr>
      </w:pPr>
      <w:r w:rsidRPr="009021AD">
        <w:rPr>
          <w:sz w:val="16"/>
          <w:szCs w:val="16"/>
        </w:rPr>
        <w:t>*Footnote 1*</w:t>
      </w:r>
    </w:p>
    <w:p w14:paraId="671E2F56" w14:textId="77777777" w:rsidR="00C115C3" w:rsidRPr="00776448" w:rsidRDefault="00C115C3" w:rsidP="00C115C3">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0C0AEC7C" w14:textId="77777777" w:rsidR="00C115C3" w:rsidRPr="009021AD" w:rsidRDefault="00C115C3" w:rsidP="00C115C3">
      <w:pPr>
        <w:rPr>
          <w:sz w:val="16"/>
          <w:szCs w:val="16"/>
        </w:rPr>
      </w:pPr>
      <w:r w:rsidRPr="009021AD">
        <w:rPr>
          <w:sz w:val="16"/>
          <w:szCs w:val="16"/>
        </w:rPr>
        <w:t>*Paragraph Following the First*</w:t>
      </w:r>
    </w:p>
    <w:p w14:paraId="1A1EF64A" w14:textId="77777777" w:rsidR="00C115C3" w:rsidRPr="001B4866" w:rsidRDefault="00C115C3" w:rsidP="00C115C3">
      <w:pPr>
        <w:rPr>
          <w:sz w:val="16"/>
        </w:rPr>
      </w:pPr>
      <w:proofErr w:type="gramStart"/>
      <w:r w:rsidRPr="001B4866">
        <w:rPr>
          <w:sz w:val="16"/>
        </w:rPr>
        <w:t>Philosophers</w:t>
      </w:r>
      <w:proofErr w:type="gramEnd"/>
      <w:r w:rsidRPr="001B4866">
        <w:rPr>
          <w:sz w:val="16"/>
        </w:rPr>
        <w:t xml:space="preserve"> call (2) a skeptical scenario. In skeptical scenarios, you are radically misled, deceived, or bamboozled by your evidence in such a way that how things seem to you is different from how things </w:t>
      </w:r>
      <w:proofErr w:type="gramStart"/>
      <w:r w:rsidRPr="001B4866">
        <w:rPr>
          <w:sz w:val="16"/>
        </w:rPr>
        <w:t>actually are</w:t>
      </w:r>
      <w:proofErr w:type="gramEnd"/>
      <w:r w:rsidRPr="001B4866">
        <w:rPr>
          <w:sz w:val="16"/>
        </w:rPr>
        <w:t xml:space="preserv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30DB32ED" w14:textId="77777777" w:rsidR="00C115C3" w:rsidRDefault="00C115C3" w:rsidP="00C115C3">
      <w:pPr>
        <w:pStyle w:val="Heading4"/>
      </w:pPr>
      <w:r>
        <w:t xml:space="preserve">2] </w:t>
      </w:r>
      <w:r w:rsidRPr="0096498F">
        <w:rPr>
          <w:u w:val="single"/>
        </w:rPr>
        <w:t>Causal Determinism</w:t>
      </w:r>
      <w:r>
        <w:t xml:space="preserve"> – </w:t>
      </w:r>
    </w:p>
    <w:p w14:paraId="643D70DB" w14:textId="77777777" w:rsidR="00C115C3" w:rsidRDefault="00C115C3" w:rsidP="00C115C3">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241F7BB2" w14:textId="77777777" w:rsidR="00C115C3" w:rsidRDefault="00C115C3" w:rsidP="00C115C3">
      <w:pPr>
        <w:rPr>
          <w:sz w:val="16"/>
        </w:rPr>
      </w:pPr>
      <w:r w:rsidRPr="00D82DA0">
        <w:rPr>
          <w:sz w:val="16"/>
        </w:rPr>
        <w:t xml:space="preserve">Here one’s life is regarded as the phenomenal representation or expression of a single choice, the choice of one’s character or fundamental principle. </w:t>
      </w:r>
      <w:r w:rsidRPr="00A60634">
        <w:rPr>
          <w:rStyle w:val="Emphasis"/>
        </w:rPr>
        <w:t xml:space="preserve">This </w:t>
      </w:r>
      <w:r w:rsidRPr="00A60634">
        <w:rPr>
          <w:rStyle w:val="Emphasis"/>
          <w:highlight w:val="green"/>
        </w:rPr>
        <w:t>choice must be understood as occurring</w:t>
      </w:r>
      <w:r w:rsidRPr="00A60634">
        <w:rPr>
          <w:rStyle w:val="Emphasis"/>
        </w:rPr>
        <w:t xml:space="preserve"> outside of time, </w:t>
      </w:r>
      <w:r w:rsidRPr="00A60634">
        <w:rPr>
          <w:rStyle w:val="Emphasis"/>
          <w:highlight w:val="green"/>
        </w:rPr>
        <w:t>in the noumenal world</w:t>
      </w:r>
      <w:r w:rsidRPr="00A60634">
        <w:rPr>
          <w:rStyle w:val="Emphasis"/>
        </w:rPr>
        <w:t>.</w:t>
      </w:r>
      <w:r w:rsidRPr="00D82DA0">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A60634">
        <w:rPr>
          <w:rStyle w:val="Emphasis"/>
        </w:rPr>
        <w:t xml:space="preserve">As Kant sees it, human </w:t>
      </w:r>
      <w:r w:rsidRPr="00A60634">
        <w:rPr>
          <w:rStyle w:val="Emphasis"/>
          <w:highlight w:val="green"/>
        </w:rPr>
        <w:t>beings are subject to</w:t>
      </w:r>
      <w:r w:rsidRPr="00A60634">
        <w:rPr>
          <w:rStyle w:val="Emphasis"/>
        </w:rPr>
        <w:t xml:space="preserve"> certain incentives - </w:t>
      </w:r>
      <w:r w:rsidRPr="00A60634">
        <w:rPr>
          <w:rStyle w:val="Emphasis"/>
          <w:highlight w:val="green"/>
        </w:rPr>
        <w:t>impulses</w:t>
      </w:r>
      <w:r w:rsidRPr="00A60634">
        <w:rPr>
          <w:rStyle w:val="Emphasis"/>
        </w:rPr>
        <w:t xml:space="preserve"> which present themselves to us as candidates, so to speak, </w:t>
      </w:r>
      <w:r w:rsidRPr="00A60634">
        <w:rPr>
          <w:rStyle w:val="Emphasis"/>
          <w:highlight w:val="green"/>
        </w:rPr>
        <w:t>to be reasons for action</w:t>
      </w:r>
      <w:r w:rsidRPr="00A60634">
        <w:rPr>
          <w:rStyle w:val="Emphasis"/>
        </w:rPr>
        <w:t>.</w:t>
      </w:r>
      <w:r w:rsidRPr="00D82DA0">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w:t>
      </w:r>
      <w:proofErr w:type="gramStart"/>
      <w:r w:rsidRPr="00D82DA0">
        <w:rPr>
          <w:sz w:val="16"/>
        </w:rPr>
        <w:t>us, and</w:t>
      </w:r>
      <w:proofErr w:type="gramEnd"/>
      <w:r w:rsidRPr="00D82DA0">
        <w:rPr>
          <w:sz w:val="16"/>
        </w:rPr>
        <w:t xml:space="preserve"> makes our phenomenal actions imputable to us. (R 31- 32/26-27) When first exposed to Kant’s view, one may be tempted to try to picture how and where the choice of one’s character enters the processes which ultimately issue in action. </w:t>
      </w:r>
      <w:proofErr w:type="gramStart"/>
      <w:r w:rsidRPr="00A60634">
        <w:rPr>
          <w:rStyle w:val="Emphasis"/>
        </w:rPr>
        <w:t>Suppose,</w:t>
      </w:r>
      <w:proofErr w:type="gramEnd"/>
      <w:r w:rsidRPr="00A60634">
        <w:rPr>
          <w:rStyle w:val="Emphasis"/>
        </w:rPr>
        <w:t xml:space="preserve"> with violent oversimplification, that it is a law of nature that </w:t>
      </w:r>
      <w:r w:rsidRPr="00A60634">
        <w:rPr>
          <w:rStyle w:val="Emphasis"/>
          <w:highlight w:val="green"/>
        </w:rPr>
        <w:t>children raised in</w:t>
      </w:r>
      <w:r w:rsidRPr="00A60634">
        <w:rPr>
          <w:rStyle w:val="Emphasis"/>
        </w:rPr>
        <w:t xml:space="preserve"> certain conditions of </w:t>
      </w:r>
      <w:r w:rsidRPr="00A60634">
        <w:rPr>
          <w:rStyle w:val="Emphasis"/>
          <w:highlight w:val="green"/>
        </w:rPr>
        <w:t>poverty and insecurity tend to become</w:t>
      </w:r>
      <w:r w:rsidRPr="00A60634">
        <w:rPr>
          <w:rStyle w:val="Emphasis"/>
        </w:rPr>
        <w:t xml:space="preserve"> somewhat </w:t>
      </w:r>
      <w:r w:rsidRPr="00A60634">
        <w:rPr>
          <w:rStyle w:val="Emphasis"/>
          <w:highlight w:val="green"/>
        </w:rPr>
        <w:t>selfish as adults</w:t>
      </w:r>
      <w:r w:rsidRPr="00A60634">
        <w:rPr>
          <w:rStyle w:val="Emphasis"/>
        </w:rPr>
        <w:t xml:space="preserve">, </w:t>
      </w:r>
      <w:r w:rsidRPr="00D82DA0">
        <w:rPr>
          <w:sz w:val="16"/>
        </w:rPr>
        <w:t>and suppose that such a childhood has had this effect on Marilyn.</w:t>
      </w:r>
      <w:r w:rsidRPr="00A60634">
        <w:rPr>
          <w:rStyle w:val="Emphasis"/>
        </w:rPr>
        <w:t xml:space="preserve"> Are we to say to her: “</w:t>
      </w:r>
      <w:r w:rsidRPr="00A60634">
        <w:rPr>
          <w:rStyle w:val="Emphasis"/>
          <w:highlight w:val="green"/>
        </w:rPr>
        <w:t>Your childhood insecurity gave you an incentive to be selfish</w:t>
      </w:r>
      <w:r w:rsidRPr="00A60634">
        <w:rPr>
          <w:rStyle w:val="Emphasis"/>
        </w:rPr>
        <w:t xml:space="preserve">, but </w:t>
      </w:r>
      <w:r w:rsidRPr="00A60634">
        <w:rPr>
          <w:rStyle w:val="Emphasis"/>
          <w:highlight w:val="green"/>
        </w:rPr>
        <w:t>it is still</w:t>
      </w:r>
      <w:r w:rsidRPr="00A60634">
        <w:rPr>
          <w:rStyle w:val="Emphasis"/>
        </w:rPr>
        <w:t xml:space="preserve"> your own </w:t>
      </w:r>
      <w:r w:rsidRPr="00A60634">
        <w:rPr>
          <w:rStyle w:val="Emphasis"/>
          <w:highlight w:val="green"/>
        </w:rPr>
        <w:t>fault</w:t>
      </w:r>
      <w:r w:rsidRPr="00A60634">
        <w:rPr>
          <w:rStyle w:val="Emphasis"/>
        </w:rPr>
        <w:t xml:space="preserve"> if you elevate that incentive into a reason?”</w:t>
      </w:r>
      <w:r w:rsidRPr="00D82DA0">
        <w:rPr>
          <w:sz w:val="16"/>
        </w:rPr>
        <w:t xml:space="preserve"> Then we are thinking that Marilyn’s freedom inserts itself in between the causes in her background and their ultimate </w:t>
      </w:r>
      <w:proofErr w:type="spellStart"/>
      <w:proofErr w:type="gramStart"/>
      <w:r w:rsidRPr="00D82DA0">
        <w:rPr>
          <w:sz w:val="16"/>
        </w:rPr>
        <w:t>effect.xxiii</w:t>
      </w:r>
      <w:proofErr w:type="spellEnd"/>
      <w:proofErr w:type="gramEnd"/>
      <w:r w:rsidRPr="00D82DA0">
        <w:rPr>
          <w:sz w:val="16"/>
        </w:rPr>
        <w:t xml:space="preserve">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w:t>
      </w:r>
      <w:proofErr w:type="gramStart"/>
      <w:r w:rsidRPr="00D82DA0">
        <w:rPr>
          <w:sz w:val="16"/>
        </w:rPr>
        <w:t>process, or</w:t>
      </w:r>
      <w:proofErr w:type="gramEnd"/>
      <w:r w:rsidRPr="00D82DA0">
        <w:rPr>
          <w:sz w:val="16"/>
        </w:rPr>
        <w:t xml:space="preserve"> standing behind the laws of nature from which this historical process necessarily follows. And both of these pictures seem </w:t>
      </w:r>
      <w:proofErr w:type="spellStart"/>
      <w:proofErr w:type="gramStart"/>
      <w:r w:rsidRPr="00D82DA0">
        <w:rPr>
          <w:sz w:val="16"/>
        </w:rPr>
        <w:t>crazy.xxiv</w:t>
      </w:r>
      <w:proofErr w:type="spellEnd"/>
      <w:proofErr w:type="gramEnd"/>
      <w:r w:rsidRPr="00D82DA0">
        <w:rPr>
          <w:sz w:val="16"/>
        </w:rPr>
        <w:t xml:space="preserve"> And of course they are crazy. Kant’s response to this problem is to maintain that the question should not be asked. </w:t>
      </w:r>
      <w:r w:rsidRPr="00553964">
        <w:rPr>
          <w:rStyle w:val="Emphasis"/>
          <w:highlight w:val="green"/>
        </w:rPr>
        <w:t>To ask how</w:t>
      </w:r>
      <w:r w:rsidRPr="00553964">
        <w:rPr>
          <w:rStyle w:val="Emphasis"/>
        </w:rPr>
        <w:t xml:space="preserve"> </w:t>
      </w:r>
      <w:r w:rsidRPr="00553964">
        <w:rPr>
          <w:rStyle w:val="Emphasis"/>
          <w:highlight w:val="green"/>
        </w:rPr>
        <w:t>freedom and determinism are related is to inquire</w:t>
      </w:r>
      <w:r w:rsidRPr="00553964">
        <w:rPr>
          <w:rStyle w:val="Emphasis"/>
        </w:rPr>
        <w:t xml:space="preserve"> into the relation </w:t>
      </w:r>
      <w:r w:rsidRPr="00553964">
        <w:rPr>
          <w:rStyle w:val="Emphasis"/>
          <w:highlight w:val="green"/>
        </w:rPr>
        <w:t>between the noumenal and phenomenal worlds</w:t>
      </w:r>
      <w:r w:rsidRPr="00553964">
        <w:rPr>
          <w:rStyle w:val="Emphasis"/>
        </w:rPr>
        <w:t xml:space="preserve">, a relation which it is in principle </w:t>
      </w:r>
      <w:r w:rsidRPr="00553964">
        <w:rPr>
          <w:rStyle w:val="Emphasis"/>
          <w:highlight w:val="green"/>
        </w:rPr>
        <w:t>impossible to know</w:t>
      </w:r>
      <w:r w:rsidRPr="00553964">
        <w:rPr>
          <w:rStyle w:val="Emphasis"/>
        </w:rPr>
        <w:t xml:space="preserve"> anything about. </w:t>
      </w:r>
      <w:r w:rsidRPr="00D82DA0">
        <w:rPr>
          <w:sz w:val="16"/>
        </w:rPr>
        <w:t xml:space="preserve">But our understanding of what this response amounts </w:t>
      </w:r>
      <w:proofErr w:type="gramStart"/>
      <w:r w:rsidRPr="00D82DA0">
        <w:rPr>
          <w:sz w:val="16"/>
        </w:rPr>
        <w:t>to will</w:t>
      </w:r>
      <w:proofErr w:type="gramEnd"/>
      <w:r w:rsidRPr="00D82DA0">
        <w:rPr>
          <w:sz w:val="16"/>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A60634">
        <w:rPr>
          <w:rStyle w:val="Emphasis"/>
        </w:rPr>
        <w:t xml:space="preserve">This view gives rise to familiar paradoxes about </w:t>
      </w:r>
      <w:r w:rsidRPr="00A60634">
        <w:rPr>
          <w:rStyle w:val="Emphasis"/>
          <w:highlight w:val="green"/>
        </w:rPr>
        <w:t>how evil actions</w:t>
      </w:r>
      <w:r w:rsidRPr="00A60634">
        <w:rPr>
          <w:rStyle w:val="Emphasis"/>
        </w:rPr>
        <w:t xml:space="preserve"> are even possible, and how we </w:t>
      </w:r>
      <w:r w:rsidRPr="00A60634">
        <w:rPr>
          <w:rStyle w:val="Emphasis"/>
          <w:highlight w:val="green"/>
        </w:rPr>
        <w:t>could ever be held responsible</w:t>
      </w:r>
      <w:r w:rsidRPr="00A60634">
        <w:rPr>
          <w:rStyle w:val="Emphasis"/>
        </w:rPr>
        <w:t xml:space="preserve"> for them if they </w:t>
      </w:r>
      <w:proofErr w:type="spellStart"/>
      <w:r w:rsidRPr="00A60634">
        <w:rPr>
          <w:rStyle w:val="Emphasis"/>
        </w:rPr>
        <w:t>were.xxv</w:t>
      </w:r>
      <w:proofErr w:type="spellEnd"/>
      <w:r w:rsidRPr="00D82DA0">
        <w:rPr>
          <w:sz w:val="16"/>
        </w:rPr>
        <w:t xml:space="preserve"> </w:t>
      </w:r>
    </w:p>
    <w:p w14:paraId="66D911FC" w14:textId="77777777" w:rsidR="00C115C3" w:rsidRPr="00EF497D" w:rsidRDefault="00C115C3" w:rsidP="00C115C3">
      <w:pPr>
        <w:pStyle w:val="Heading4"/>
      </w:pPr>
      <w:r>
        <w:t xml:space="preserve">In the Noumenal World, the only agential constant is practical reason. </w:t>
      </w:r>
    </w:p>
    <w:p w14:paraId="3093E4D6" w14:textId="77777777" w:rsidR="00C115C3" w:rsidRPr="001470B4" w:rsidRDefault="00C115C3" w:rsidP="00C115C3">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34BEBBFC" w14:textId="77777777" w:rsidR="00C115C3" w:rsidRDefault="00C115C3" w:rsidP="00C115C3">
      <w:pPr>
        <w:rPr>
          <w:sz w:val="16"/>
        </w:rPr>
      </w:pPr>
      <w:r w:rsidRPr="00D82DA0">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w:t>
      </w:r>
      <w:proofErr w:type="spellStart"/>
      <w:r w:rsidRPr="00D82DA0">
        <w:rPr>
          <w:sz w:val="16"/>
        </w:rPr>
        <w:t>such.xxvi</w:t>
      </w:r>
      <w:proofErr w:type="spellEnd"/>
      <w:r w:rsidRPr="00D82DA0">
        <w:rPr>
          <w:sz w:val="16"/>
        </w:rPr>
        <w:t xml:space="preserve"> </w:t>
      </w:r>
      <w:r w:rsidRPr="00A60634">
        <w:rPr>
          <w:rStyle w:val="Emphasis"/>
        </w:rPr>
        <w:t xml:space="preserve">As thinkers and choosers </w:t>
      </w:r>
      <w:r w:rsidRPr="00A60634">
        <w:rPr>
          <w:rStyle w:val="Emphasis"/>
          <w:highlight w:val="green"/>
        </w:rPr>
        <w:t>we must</w:t>
      </w:r>
      <w:r w:rsidRPr="00A60634">
        <w:rPr>
          <w:rStyle w:val="Emphasis"/>
        </w:rPr>
        <w:t xml:space="preserve"> regard ourselves as active beings, even though we cannot experience ourselves as active beings, and so we </w:t>
      </w:r>
      <w:r w:rsidRPr="00A60634">
        <w:rPr>
          <w:rStyle w:val="Emphasis"/>
          <w:highlight w:val="green"/>
        </w:rPr>
        <w:t>place ourselves among the noumena</w:t>
      </w:r>
      <w:r w:rsidRPr="00A60634">
        <w:rPr>
          <w:rStyle w:val="Emphasis"/>
        </w:rPr>
        <w:t xml:space="preserve">, necessarily, whenever we think and act. </w:t>
      </w:r>
      <w:r w:rsidRPr="00D82DA0">
        <w:rPr>
          <w:sz w:val="16"/>
        </w:rPr>
        <w:t>According to this interpretation, the laws of the phenomenal world are laws that describe and explain our behavior.</w:t>
      </w:r>
      <w:r w:rsidRPr="00A60634">
        <w:rPr>
          <w:rStyle w:val="Emphasis"/>
        </w:rPr>
        <w:t xml:space="preserve"> But the </w:t>
      </w:r>
      <w:r w:rsidRPr="00553964">
        <w:rPr>
          <w:rStyle w:val="Emphasis"/>
          <w:highlight w:val="green"/>
        </w:rPr>
        <w:t>laws of the noumenal</w:t>
      </w:r>
      <w:r w:rsidRPr="00A60634">
        <w:rPr>
          <w:rStyle w:val="Emphasis"/>
        </w:rPr>
        <w:t xml:space="preserve"> world are laws which are </w:t>
      </w:r>
      <w:r w:rsidRPr="00553964">
        <w:rPr>
          <w:rStyle w:val="Emphasis"/>
          <w:highlight w:val="green"/>
        </w:rPr>
        <w:t>address</w:t>
      </w:r>
      <w:r w:rsidRPr="00A60634">
        <w:rPr>
          <w:rStyle w:val="Emphasis"/>
        </w:rPr>
        <w:t xml:space="preserve">ed to </w:t>
      </w:r>
      <w:r w:rsidRPr="00553964">
        <w:rPr>
          <w:rStyle w:val="Emphasis"/>
          <w:highlight w:val="green"/>
        </w:rPr>
        <w:t>us as active beings</w:t>
      </w:r>
      <w:r w:rsidRPr="00A60634">
        <w:rPr>
          <w:rStyle w:val="Emphasis"/>
        </w:rPr>
        <w:t xml:space="preserve">; their business is not to describe and explain at all, but </w:t>
      </w:r>
      <w:r w:rsidRPr="00553964">
        <w:rPr>
          <w:rStyle w:val="Emphasis"/>
          <w:highlight w:val="green"/>
        </w:rPr>
        <w:t>to</w:t>
      </w:r>
      <w:r w:rsidRPr="00553964">
        <w:rPr>
          <w:rStyle w:val="Emphasis"/>
        </w:rPr>
        <w:t xml:space="preserve"> govern what we </w:t>
      </w:r>
      <w:proofErr w:type="spellStart"/>
      <w:proofErr w:type="gramStart"/>
      <w:r w:rsidRPr="00553964">
        <w:rPr>
          <w:rStyle w:val="Emphasis"/>
        </w:rPr>
        <w:t>do</w:t>
      </w:r>
      <w:r w:rsidRPr="00A60634">
        <w:rPr>
          <w:rStyle w:val="Emphasis"/>
        </w:rPr>
        <w:t>.</w:t>
      </w:r>
      <w:r w:rsidRPr="00D82DA0">
        <w:rPr>
          <w:sz w:val="16"/>
        </w:rPr>
        <w:t>xxvii</w:t>
      </w:r>
      <w:proofErr w:type="spellEnd"/>
      <w:proofErr w:type="gramEnd"/>
      <w:r w:rsidRPr="00D82DA0">
        <w:rPr>
          <w:sz w:val="16"/>
        </w:rPr>
        <w:t xml:space="preserve"> Reason has two employments, theoretical and practical. We view ourselves as phenomena when we take on the theoretical task of describing and explaining our behavior; </w:t>
      </w:r>
      <w:r w:rsidRPr="00553964">
        <w:rPr>
          <w:rStyle w:val="Emphasis"/>
        </w:rPr>
        <w:t xml:space="preserve">we view ourselves as noumena when our practical task is one of </w:t>
      </w:r>
      <w:r w:rsidRPr="00553964">
        <w:rPr>
          <w:rStyle w:val="Emphasis"/>
          <w:highlight w:val="green"/>
        </w:rPr>
        <w:t>decid</w:t>
      </w:r>
      <w:r w:rsidRPr="00553964">
        <w:rPr>
          <w:rStyle w:val="Emphasis"/>
        </w:rPr>
        <w:t xml:space="preserve">ing </w:t>
      </w:r>
      <w:r w:rsidRPr="00553964">
        <w:rPr>
          <w:rStyle w:val="Emphasis"/>
          <w:highlight w:val="green"/>
        </w:rPr>
        <w:t xml:space="preserve">what to </w:t>
      </w:r>
      <w:proofErr w:type="spellStart"/>
      <w:r w:rsidRPr="00553964">
        <w:rPr>
          <w:rStyle w:val="Emphasis"/>
          <w:highlight w:val="green"/>
        </w:rPr>
        <w:t>do</w:t>
      </w:r>
      <w:r w:rsidRPr="00553964">
        <w:rPr>
          <w:rStyle w:val="Emphasis"/>
        </w:rPr>
        <w:t>.</w:t>
      </w:r>
      <w:r w:rsidRPr="00D82DA0">
        <w:rPr>
          <w:sz w:val="16"/>
        </w:rPr>
        <w:t>xxviii</w:t>
      </w:r>
      <w:proofErr w:type="spellEnd"/>
      <w:r w:rsidRPr="00D82DA0">
        <w:rPr>
          <w:sz w:val="16"/>
        </w:rPr>
        <w:t xml:space="preserve"> The two standpoints cannot be mixed because these two enterprises - explanation and decision - are mutually </w:t>
      </w:r>
      <w:proofErr w:type="spellStart"/>
      <w:r w:rsidRPr="00D82DA0">
        <w:rPr>
          <w:sz w:val="16"/>
        </w:rPr>
        <w:t>exclusive.xxix</w:t>
      </w:r>
      <w:proofErr w:type="spellEnd"/>
      <w:r w:rsidRPr="00D82DA0">
        <w:rPr>
          <w:sz w:val="16"/>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60634">
        <w:rPr>
          <w:rStyle w:val="Emphasis"/>
        </w:rPr>
        <w:t xml:space="preserve">For </w:t>
      </w:r>
      <w:r w:rsidRPr="00A60634">
        <w:rPr>
          <w:rStyle w:val="Emphasis"/>
          <w:highlight w:val="green"/>
        </w:rPr>
        <w:t>freedom</w:t>
      </w:r>
      <w:r w:rsidRPr="00A60634">
        <w:rPr>
          <w:rStyle w:val="Emphasis"/>
        </w:rPr>
        <w:t xml:space="preserve"> </w:t>
      </w:r>
      <w:r w:rsidRPr="00A60634">
        <w:rPr>
          <w:rStyle w:val="Emphasis"/>
          <w:highlight w:val="green"/>
        </w:rPr>
        <w:t>is</w:t>
      </w:r>
      <w:r w:rsidRPr="00A60634">
        <w:rPr>
          <w:rStyle w:val="Emphasis"/>
        </w:rPr>
        <w:t xml:space="preserve"> a concept with a practical employment, </w:t>
      </w:r>
      <w:r w:rsidRPr="00A60634">
        <w:rPr>
          <w:rStyle w:val="Emphasis"/>
          <w:highlight w:val="green"/>
        </w:rPr>
        <w:t>used in</w:t>
      </w:r>
      <w:r w:rsidRPr="00A60634">
        <w:rPr>
          <w:rStyle w:val="Emphasis"/>
        </w:rPr>
        <w:t xml:space="preserve"> the choice and </w:t>
      </w:r>
      <w:r w:rsidRPr="00A60634">
        <w:rPr>
          <w:rStyle w:val="Emphasis"/>
          <w:highlight w:val="green"/>
        </w:rPr>
        <w:t>justification of action</w:t>
      </w:r>
      <w:r w:rsidRPr="00A60634">
        <w:rPr>
          <w:rStyle w:val="Emphasis"/>
        </w:rPr>
        <w:t xml:space="preserve">, not in explanation or prediction; </w:t>
      </w:r>
      <w:r w:rsidRPr="00A60634">
        <w:rPr>
          <w:rStyle w:val="Emphasis"/>
          <w:highlight w:val="green"/>
        </w:rPr>
        <w:t>while causality</w:t>
      </w:r>
      <w:r w:rsidRPr="00A60634">
        <w:rPr>
          <w:rStyle w:val="Emphasis"/>
        </w:rPr>
        <w:t xml:space="preserve"> </w:t>
      </w:r>
      <w:r w:rsidRPr="00A60634">
        <w:rPr>
          <w:rStyle w:val="Emphasis"/>
          <w:highlight w:val="green"/>
        </w:rPr>
        <w:t>is</w:t>
      </w:r>
      <w:r w:rsidRPr="00A60634">
        <w:rPr>
          <w:rStyle w:val="Emphasis"/>
        </w:rPr>
        <w:t xml:space="preserve"> a concept of theory, </w:t>
      </w:r>
      <w:r w:rsidRPr="00A60634">
        <w:rPr>
          <w:rStyle w:val="Emphasis"/>
          <w:highlight w:val="green"/>
        </w:rPr>
        <w:t>used to</w:t>
      </w:r>
      <w:r w:rsidRPr="00A60634">
        <w:rPr>
          <w:rStyle w:val="Emphasis"/>
        </w:rPr>
        <w:t xml:space="preserve"> explain and </w:t>
      </w:r>
      <w:r w:rsidRPr="00A60634">
        <w:rPr>
          <w:rStyle w:val="Emphasis"/>
          <w:highlight w:val="green"/>
        </w:rPr>
        <w:t>predict</w:t>
      </w:r>
      <w:r w:rsidRPr="00A60634">
        <w:rPr>
          <w:rStyle w:val="Emphasis"/>
        </w:rPr>
        <w:t xml:space="preserve"> actions </w:t>
      </w:r>
      <w:r w:rsidRPr="00A60634">
        <w:rPr>
          <w:rStyle w:val="Emphasis"/>
          <w:highlight w:val="green"/>
        </w:rPr>
        <w:t>but not</w:t>
      </w:r>
      <w:r w:rsidRPr="00A60634">
        <w:rPr>
          <w:rStyle w:val="Emphasis"/>
        </w:rPr>
        <w:t xml:space="preserve"> to </w:t>
      </w:r>
      <w:r w:rsidRPr="00A60634">
        <w:rPr>
          <w:rStyle w:val="Emphasis"/>
          <w:highlight w:val="green"/>
        </w:rPr>
        <w:t>justify</w:t>
      </w:r>
      <w:r w:rsidRPr="00A60634">
        <w:rPr>
          <w:rStyle w:val="Emphasis"/>
        </w:rPr>
        <w:t xml:space="preserve"> </w:t>
      </w:r>
      <w:proofErr w:type="spellStart"/>
      <w:r w:rsidRPr="00A60634">
        <w:rPr>
          <w:rStyle w:val="Emphasis"/>
        </w:rPr>
        <w:t>them.</w:t>
      </w:r>
      <w:r w:rsidRPr="00D82DA0">
        <w:rPr>
          <w:sz w:val="16"/>
        </w:rPr>
        <w:t>xxx</w:t>
      </w:r>
      <w:proofErr w:type="spellEnd"/>
      <w:r w:rsidRPr="00D82DA0">
        <w:rPr>
          <w:sz w:val="16"/>
        </w:rPr>
        <w:t xml:space="preserve"> There is no standpoint from which we are doing </w:t>
      </w:r>
      <w:proofErr w:type="gramStart"/>
      <w:r w:rsidRPr="00D82DA0">
        <w:rPr>
          <w:sz w:val="16"/>
        </w:rPr>
        <w:t>both of these</w:t>
      </w:r>
      <w:proofErr w:type="gramEnd"/>
      <w:r w:rsidRPr="00D82DA0">
        <w:rPr>
          <w:sz w:val="16"/>
        </w:rPr>
        <w:t xml:space="preserve"> things at once, and so there is no place from which to ask a question that includes both concepts in its answer.</w:t>
      </w:r>
    </w:p>
    <w:p w14:paraId="143E8F03" w14:textId="77777777" w:rsidR="00C115C3" w:rsidRDefault="00C115C3" w:rsidP="00C115C3">
      <w:pPr>
        <w:pStyle w:val="Heading4"/>
      </w:pPr>
      <w:r>
        <w:t xml:space="preserve">O/W – A]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B] </w:t>
      </w:r>
      <w:r w:rsidRPr="00B745B8">
        <w:rPr>
          <w:u w:val="single"/>
        </w:rPr>
        <w:t>Action Theory</w:t>
      </w:r>
      <w:r>
        <w:t xml:space="preserve"> – any action can be broken down into an infinite number of sub-actions. Without an account of </w:t>
      </w:r>
      <w:r>
        <w:rPr>
          <w:u w:val="single"/>
        </w:rPr>
        <w:t>what an action is</w:t>
      </w:r>
      <w:r>
        <w:t xml:space="preserve">, it’s impossible to ask questions about which actions are good. Practical reason solves – the intent to follow through on a maxim unites </w:t>
      </w:r>
      <w:proofErr w:type="spellStart"/>
      <w:r>
        <w:t>subactions</w:t>
      </w:r>
      <w:proofErr w:type="spellEnd"/>
      <w:r>
        <w:t xml:space="preserve"> into a </w:t>
      </w:r>
      <w:proofErr w:type="gramStart"/>
      <w:r>
        <w:t>full actions</w:t>
      </w:r>
      <w:proofErr w:type="gramEnd"/>
      <w:r>
        <w:t>.</w:t>
      </w:r>
    </w:p>
    <w:p w14:paraId="3F011F1C" w14:textId="77777777" w:rsidR="00C115C3" w:rsidRDefault="00C115C3" w:rsidP="00C115C3">
      <w:pPr>
        <w:pStyle w:val="Heading4"/>
      </w:pPr>
      <w:r>
        <w:t xml:space="preserve">That justifies </w:t>
      </w:r>
      <w:r w:rsidRPr="0012411B">
        <w:rPr>
          <w:u w:val="single"/>
        </w:rPr>
        <w:t>universal laws of morality</w:t>
      </w:r>
      <w:r>
        <w:t xml:space="preserve">. </w:t>
      </w:r>
    </w:p>
    <w:p w14:paraId="291357C7" w14:textId="77777777" w:rsidR="00C115C3" w:rsidRDefault="00C115C3" w:rsidP="00C115C3">
      <w:pPr>
        <w:pStyle w:val="Heading4"/>
      </w:pPr>
      <w:r>
        <w:t xml:space="preserve">1] </w:t>
      </w:r>
      <w:r w:rsidRPr="00C74776">
        <w:rPr>
          <w:u w:val="single"/>
        </w:rPr>
        <w:t>Principle of Equality</w:t>
      </w:r>
      <w:r>
        <w:t xml:space="preserve"> – there’s no distinction between practical reasoners – its incoherent to claim that 1+1=2 just for me. </w:t>
      </w:r>
    </w:p>
    <w:p w14:paraId="661B48A1" w14:textId="77777777" w:rsidR="00C115C3" w:rsidRDefault="00C115C3" w:rsidP="00C115C3">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3FBE3270" w14:textId="77777777" w:rsidR="00C115C3" w:rsidRDefault="00C115C3" w:rsidP="00C115C3">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7EA1C661" w14:textId="77777777" w:rsidR="00C115C3" w:rsidRDefault="00C115C3" w:rsidP="00C115C3">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1F447352" w14:textId="77777777" w:rsidR="00C115C3" w:rsidRDefault="00C115C3" w:rsidP="00C115C3">
      <w:pPr>
        <w:pStyle w:val="Heading4"/>
      </w:pPr>
      <w:r>
        <w:t xml:space="preserve">2] Ideal Theory Good – a] end point – we’d constantly be fixing injustices as a precondition to ethical action so we never get to the bottom of what is </w:t>
      </w:r>
      <w:proofErr w:type="gramStart"/>
      <w:r>
        <w:t>actually ethical</w:t>
      </w:r>
      <w:proofErr w:type="gramEnd"/>
      <w:r>
        <w:t xml:space="preserve"> b] relevance – every society has different injustices that occur – the resolution is a universal values statement which means you cannot universalize any theory under nonideal theory.</w:t>
      </w:r>
    </w:p>
    <w:p w14:paraId="2008E2D6" w14:textId="77777777" w:rsidR="00C115C3" w:rsidRDefault="00C115C3" w:rsidP="00C115C3"/>
    <w:p w14:paraId="0FF3019D" w14:textId="77777777" w:rsidR="00C115C3" w:rsidRDefault="00C115C3" w:rsidP="00C115C3">
      <w:pPr>
        <w:pStyle w:val="Heading2"/>
      </w:pPr>
      <w:r>
        <w:t>Offense</w:t>
      </w:r>
    </w:p>
    <w:p w14:paraId="78919DA7" w14:textId="77777777" w:rsidR="00C115C3" w:rsidRDefault="00C115C3" w:rsidP="00C115C3">
      <w:pPr>
        <w:pStyle w:val="Heading4"/>
      </w:pPr>
      <w:r>
        <w:t xml:space="preserve">1] Non-objective reporting is a form of lying. </w:t>
      </w:r>
    </w:p>
    <w:p w14:paraId="055A03A9" w14:textId="77777777" w:rsidR="00C115C3" w:rsidRDefault="00C115C3" w:rsidP="00C115C3">
      <w:r>
        <w:t xml:space="preserve">Michael </w:t>
      </w:r>
      <w:proofErr w:type="spellStart"/>
      <w:r w:rsidRPr="00FB1A99">
        <w:rPr>
          <w:b/>
          <w:bCs/>
          <w:sz w:val="26"/>
          <w:szCs w:val="26"/>
        </w:rPr>
        <w:t>Koliska</w:t>
      </w:r>
      <w:proofErr w:type="spellEnd"/>
      <w:r>
        <w:t xml:space="preserve"> and Linda </w:t>
      </w:r>
      <w:r w:rsidRPr="00FB1A99">
        <w:rPr>
          <w:b/>
          <w:bCs/>
          <w:sz w:val="26"/>
          <w:szCs w:val="26"/>
        </w:rPr>
        <w:t>Steiner, 15</w:t>
      </w:r>
      <w:r w:rsidRPr="001E07E9">
        <w:t xml:space="preserve"> [</w:t>
      </w:r>
      <w:r>
        <w:t xml:space="preserve">Michael </w:t>
      </w:r>
      <w:proofErr w:type="spellStart"/>
      <w:r>
        <w:t>Koliska</w:t>
      </w:r>
      <w:proofErr w:type="spellEnd"/>
      <w:r w:rsidRPr="001E07E9">
        <w:t xml:space="preserve">, (Dr. Michael </w:t>
      </w:r>
      <w:proofErr w:type="spellStart"/>
      <w:r w:rsidRPr="001E07E9">
        <w:t>Koliska</w:t>
      </w:r>
      <w:proofErr w:type="spellEnd"/>
      <w:r w:rsidRPr="001E07E9">
        <w:t xml:space="preserve"> is an assistant professor in the Communication, Culture, and Technology master’s program at Georgetown University. His primary research focuses on the practices, performances and effects of authenticity, </w:t>
      </w:r>
      <w:proofErr w:type="gramStart"/>
      <w:r w:rsidRPr="001E07E9">
        <w:t>accountability</w:t>
      </w:r>
      <w:proofErr w:type="gramEnd"/>
      <w:r w:rsidRPr="001E07E9">
        <w:t xml:space="preserve"> and transparency on trust in both “traditional” and computational journalism. Specifically, he explores how technology alters the newsroom sociology such as production and accountability processes that influence public perception of journalism’s legitimacy. Dr. </w:t>
      </w:r>
      <w:proofErr w:type="spellStart"/>
      <w:r w:rsidRPr="001E07E9">
        <w:t>Koliska’s</w:t>
      </w:r>
      <w:proofErr w:type="spellEnd"/>
      <w:r w:rsidRPr="001E07E9">
        <w:t xml:space="preserve"> work on these issues has appeared in the International Journal of Communication, Journalism Studies, Journalism Practice, Digital Journalism, Journalism, Journal of Media </w:t>
      </w:r>
      <w:proofErr w:type="gramStart"/>
      <w:r w:rsidRPr="001E07E9">
        <w:t>Ethics</w:t>
      </w:r>
      <w:proofErr w:type="gramEnd"/>
      <w:r w:rsidRPr="001E07E9">
        <w:t xml:space="preserve"> and others.)</w:t>
      </w:r>
      <w:r>
        <w:t xml:space="preserve"> Linda Steiner, (</w:t>
      </w:r>
      <w:r w:rsidRPr="001E07E9">
        <w:t xml:space="preserve">Linda Claire Steiner is a professor at Philip Merrill College of Journalism, University of Maryland. She is also the editor-in-chief of the journal Journalism &amp; Communication </w:t>
      </w:r>
      <w:proofErr w:type="gramStart"/>
      <w:r w:rsidRPr="001E07E9">
        <w:t>Monographs, and</w:t>
      </w:r>
      <w:proofErr w:type="gramEnd"/>
      <w:r w:rsidRPr="001E07E9">
        <w:t xml:space="preserve"> sits on the editorial board of Critical Studies in Media Communication.</w:t>
      </w:r>
      <w:r>
        <w:t>)</w:t>
      </w:r>
      <w:r w:rsidRPr="001E07E9">
        <w:t xml:space="preserve">]. " </w:t>
      </w:r>
      <w:r>
        <w:t xml:space="preserve">TRANSPARENCY AND TRUST IN JOURNALISM: AN EXAMINATION OF VALUES, PRACTICES AND EFFECTS </w:t>
      </w:r>
      <w:r w:rsidRPr="001E07E9">
        <w:t>" Accessed 3-1-2022.</w:t>
      </w:r>
      <w:r>
        <w:t xml:space="preserve"> </w:t>
      </w:r>
      <w:r w:rsidRPr="001E07E9">
        <w:t>https://drum.lib.umd.edu/bitstream/handle/1903/17031/Koliska_umd_0117E_16478.pdf?sequence=1 //</w:t>
      </w:r>
      <w:proofErr w:type="spellStart"/>
      <w:r>
        <w:t>duongie</w:t>
      </w:r>
      <w:proofErr w:type="spellEnd"/>
      <w:r>
        <w:t xml:space="preserve"> + Xu</w:t>
      </w:r>
    </w:p>
    <w:p w14:paraId="694B24C3" w14:textId="77777777" w:rsidR="00C115C3" w:rsidRDefault="00C115C3" w:rsidP="00C115C3">
      <w:pPr>
        <w:rPr>
          <w:u w:val="single"/>
        </w:rPr>
      </w:pPr>
      <w:r w:rsidRPr="001E07E9">
        <w:rPr>
          <w:u w:val="single"/>
        </w:rPr>
        <w:t xml:space="preserve">More </w:t>
      </w:r>
      <w:r w:rsidRPr="001E07E9">
        <w:rPr>
          <w:highlight w:val="green"/>
          <w:u w:val="single"/>
        </w:rPr>
        <w:t xml:space="preserve">responsibility </w:t>
      </w:r>
      <w:r w:rsidRPr="009E1FB2">
        <w:rPr>
          <w:u w:val="single"/>
        </w:rPr>
        <w:t>toward</w:t>
      </w:r>
      <w:r w:rsidRPr="001E07E9">
        <w:rPr>
          <w:u w:val="single"/>
        </w:rPr>
        <w:t xml:space="preserve"> the public and a climate “</w:t>
      </w:r>
      <w:r w:rsidRPr="009E1FB2">
        <w:rPr>
          <w:highlight w:val="green"/>
          <w:u w:val="single"/>
        </w:rPr>
        <w:t>of</w:t>
      </w:r>
      <w:r w:rsidRPr="001E07E9">
        <w:rPr>
          <w:u w:val="single"/>
        </w:rPr>
        <w:t xml:space="preserve"> public hostility to the media”</w:t>
      </w:r>
      <w:r w:rsidRPr="00576ADF">
        <w:rPr>
          <w:sz w:val="16"/>
        </w:rPr>
        <w:t xml:space="preserve"> led to a reevaluation of the media codes of ethics (including the movie, </w:t>
      </w:r>
      <w:proofErr w:type="gramStart"/>
      <w:r w:rsidRPr="00576ADF">
        <w:rPr>
          <w:sz w:val="16"/>
        </w:rPr>
        <w:t>radio</w:t>
      </w:r>
      <w:proofErr w:type="gramEnd"/>
      <w:r w:rsidRPr="00576ADF">
        <w:rPr>
          <w:sz w:val="16"/>
        </w:rPr>
        <w:t xml:space="preserve"> and television industry) between the 1930s and early 1950s (Siebert et al., 1956, p. 86). For the </w:t>
      </w:r>
      <w:r w:rsidRPr="001E07E9">
        <w:rPr>
          <w:highlight w:val="green"/>
          <w:u w:val="single"/>
        </w:rPr>
        <w:t>news media</w:t>
      </w:r>
      <w:r w:rsidRPr="001E07E9">
        <w:rPr>
          <w:u w:val="single"/>
        </w:rPr>
        <w:t xml:space="preserve"> this </w:t>
      </w:r>
      <w:r w:rsidRPr="001E07E9">
        <w:rPr>
          <w:highlight w:val="green"/>
          <w:u w:val="single"/>
        </w:rPr>
        <w:t>meant</w:t>
      </w:r>
      <w:r w:rsidRPr="001E07E9">
        <w:rPr>
          <w:u w:val="single"/>
        </w:rPr>
        <w:t xml:space="preserve"> specifically the </w:t>
      </w:r>
      <w:r w:rsidRPr="001E07E9">
        <w:rPr>
          <w:highlight w:val="green"/>
          <w:u w:val="single"/>
        </w:rPr>
        <w:t>development of</w:t>
      </w:r>
      <w:r w:rsidRPr="001E07E9">
        <w:rPr>
          <w:u w:val="single"/>
        </w:rPr>
        <w:t xml:space="preserve"> accurate and </w:t>
      </w:r>
      <w:r w:rsidRPr="001E07E9">
        <w:rPr>
          <w:highlight w:val="green"/>
          <w:u w:val="single"/>
        </w:rPr>
        <w:t>objective reporting</w:t>
      </w:r>
      <w:r w:rsidRPr="001E07E9">
        <w:rPr>
          <w:u w:val="single"/>
        </w:rPr>
        <w:t>.</w:t>
      </w:r>
      <w:r w:rsidRPr="00576ADF">
        <w:rPr>
          <w:sz w:val="16"/>
        </w:rPr>
        <w:t xml:space="preserve"> The Hutchins Commission (CFP, 1947) </w:t>
      </w:r>
      <w:r w:rsidRPr="001E07E9">
        <w:rPr>
          <w:u w:val="single"/>
        </w:rPr>
        <w:t xml:space="preserve">suggested that for a free, </w:t>
      </w:r>
      <w:r w:rsidRPr="001E07E9">
        <w:rPr>
          <w:highlight w:val="green"/>
          <w:u w:val="single"/>
        </w:rPr>
        <w:t>democratic society</w:t>
      </w:r>
      <w:r w:rsidRPr="001E07E9">
        <w:rPr>
          <w:u w:val="single"/>
        </w:rPr>
        <w:t xml:space="preserve"> “the first </w:t>
      </w:r>
      <w:r w:rsidRPr="001E07E9">
        <w:rPr>
          <w:highlight w:val="green"/>
          <w:u w:val="single"/>
        </w:rPr>
        <w:t>require</w:t>
      </w:r>
      <w:r w:rsidRPr="001E07E9">
        <w:rPr>
          <w:u w:val="single"/>
        </w:rPr>
        <w:t xml:space="preserve">ment is that the </w:t>
      </w:r>
      <w:r w:rsidRPr="001E07E9">
        <w:rPr>
          <w:highlight w:val="green"/>
          <w:u w:val="single"/>
        </w:rPr>
        <w:t>media should be accurate</w:t>
      </w:r>
      <w:r w:rsidRPr="001E07E9">
        <w:rPr>
          <w:u w:val="single"/>
        </w:rPr>
        <w:t>”</w:t>
      </w:r>
      <w:r w:rsidRPr="00576ADF">
        <w:rPr>
          <w:sz w:val="16"/>
        </w:rPr>
        <w:t xml:space="preserve"> (p. 21). The commission stressed the fact that </w:t>
      </w:r>
      <w:r w:rsidRPr="001E07E9">
        <w:rPr>
          <w:highlight w:val="green"/>
          <w:u w:val="single"/>
        </w:rPr>
        <w:t>media “should not lie”</w:t>
      </w:r>
      <w:r w:rsidRPr="001E07E9">
        <w:rPr>
          <w:u w:val="single"/>
        </w:rPr>
        <w:t xml:space="preserve"> and that it is the </w:t>
      </w:r>
      <w:r w:rsidRPr="001E07E9">
        <w:rPr>
          <w:highlight w:val="green"/>
          <w:u w:val="single"/>
        </w:rPr>
        <w:t>media’s responsibility to</w:t>
      </w:r>
      <w:r w:rsidRPr="001E07E9">
        <w:rPr>
          <w:u w:val="single"/>
        </w:rPr>
        <w:t xml:space="preserve"> provide the context of </w:t>
      </w:r>
      <w:r w:rsidRPr="001E07E9">
        <w:rPr>
          <w:highlight w:val="green"/>
          <w:u w:val="single"/>
        </w:rPr>
        <w:t>facts, without</w:t>
      </w:r>
      <w:r w:rsidRPr="001E07E9">
        <w:rPr>
          <w:u w:val="single"/>
        </w:rPr>
        <w:t xml:space="preserve"> which it may be </w:t>
      </w:r>
      <w:r w:rsidRPr="001E07E9">
        <w:rPr>
          <w:highlight w:val="green"/>
          <w:u w:val="single"/>
        </w:rPr>
        <w:t>misleading or untrue</w:t>
      </w:r>
      <w:r w:rsidRPr="00576ADF">
        <w:rPr>
          <w:sz w:val="16"/>
        </w:rPr>
        <w:t xml:space="preserve"> (p. 21). According to the Commission: “</w:t>
      </w:r>
      <w:r w:rsidRPr="001E07E9">
        <w:rPr>
          <w:u w:val="single"/>
        </w:rPr>
        <w:t xml:space="preserve">It is no longer enough to report the fact truthfully. It is now </w:t>
      </w:r>
      <w:r w:rsidRPr="001E07E9">
        <w:rPr>
          <w:highlight w:val="green"/>
          <w:u w:val="single"/>
        </w:rPr>
        <w:t>necessary to report</w:t>
      </w:r>
      <w:r w:rsidRPr="001E07E9">
        <w:rPr>
          <w:u w:val="single"/>
        </w:rPr>
        <w:t xml:space="preserve"> the </w:t>
      </w:r>
      <w:r w:rsidRPr="001E07E9">
        <w:rPr>
          <w:highlight w:val="green"/>
          <w:u w:val="single"/>
        </w:rPr>
        <w:t>truth</w:t>
      </w:r>
      <w:r w:rsidRPr="001E07E9">
        <w:rPr>
          <w:u w:val="single"/>
        </w:rPr>
        <w:t xml:space="preserve"> </w:t>
      </w:r>
      <w:r w:rsidRPr="001E07E9">
        <w:rPr>
          <w:highlight w:val="green"/>
          <w:u w:val="single"/>
        </w:rPr>
        <w:t>about</w:t>
      </w:r>
      <w:r w:rsidRPr="001E07E9">
        <w:rPr>
          <w:u w:val="single"/>
        </w:rPr>
        <w:t xml:space="preserve"> the </w:t>
      </w:r>
      <w:r w:rsidRPr="001E07E9">
        <w:rPr>
          <w:highlight w:val="green"/>
          <w:u w:val="single"/>
        </w:rPr>
        <w:t>fact</w:t>
      </w:r>
      <w:r w:rsidRPr="00576ADF">
        <w:rPr>
          <w:sz w:val="16"/>
        </w:rPr>
        <w:t xml:space="preserve">” (p. 22). In that respect, </w:t>
      </w:r>
      <w:r w:rsidRPr="001E07E9">
        <w:rPr>
          <w:u w:val="single"/>
        </w:rPr>
        <w:t xml:space="preserve">accuracy in reporting arose to be central to the self-regulation efforts of news media organizations </w:t>
      </w:r>
      <w:proofErr w:type="gramStart"/>
      <w:r w:rsidRPr="001E07E9">
        <w:rPr>
          <w:u w:val="single"/>
        </w:rPr>
        <w:t>in order for</w:t>
      </w:r>
      <w:proofErr w:type="gramEnd"/>
      <w:r w:rsidRPr="001E07E9">
        <w:rPr>
          <w:u w:val="single"/>
        </w:rPr>
        <w:t xml:space="preserve"> them to be publicly accountable.</w:t>
      </w:r>
    </w:p>
    <w:p w14:paraId="02CE39CA" w14:textId="77777777" w:rsidR="00C115C3" w:rsidRDefault="00C115C3" w:rsidP="00C115C3">
      <w:pPr>
        <w:pStyle w:val="Heading4"/>
      </w:pPr>
      <w:r>
        <w:t xml:space="preserve">That’s immoral – 2 warrants. </w:t>
      </w:r>
    </w:p>
    <w:p w14:paraId="3C8BB1E8" w14:textId="77777777" w:rsidR="00C115C3" w:rsidRPr="00967CE1" w:rsidRDefault="00C115C3" w:rsidP="00C115C3">
      <w:r w:rsidRPr="00BF0DEE">
        <w:rPr>
          <w:rStyle w:val="Style13ptBold"/>
        </w:rPr>
        <w:t>MCAE ND</w:t>
      </w:r>
      <w:r>
        <w:t xml:space="preserve"> [</w:t>
      </w:r>
      <w:r w:rsidRPr="00210417">
        <w:t>MARKKULA CENTER FOR APPLIED ETHICS</w:t>
      </w:r>
      <w:r>
        <w:t xml:space="preserve"> (</w:t>
      </w:r>
      <w:r w:rsidRPr="00FC3DA3">
        <w:t>explores ethical issues in corporate governance, global business, leadership, executive compensation, and other areas of business ethics</w:t>
      </w:r>
      <w:r>
        <w:t xml:space="preserve"> </w:t>
      </w:r>
      <w:r w:rsidRPr="00FC3DA3">
        <w:t>at Santa Clara Universit</w:t>
      </w:r>
      <w:r>
        <w:t>y). “</w:t>
      </w:r>
      <w:r w:rsidRPr="007D7A43">
        <w:t>Lyin</w:t>
      </w:r>
      <w:r>
        <w:t xml:space="preserve">g”. No Date. Accessed 3/1/2022. </w:t>
      </w:r>
      <w:hyperlink r:id="rId8" w:anchor=":~:text=The%20philosopher%20Immanuel%20Kant%20said,that%20he%20called%20human%20dignity" w:history="1">
        <w:r w:rsidRPr="008D03EE">
          <w:rPr>
            <w:rStyle w:val="Hyperlink"/>
          </w:rPr>
          <w:t>https://www.scu.edu/ethics/ethics-resources/ethical-decision-making/lying/#:~:text=The%20philosopher%20Immanuel%20Kant%20said,that%20he%20called%20human%20dignity</w:t>
        </w:r>
      </w:hyperlink>
      <w:r w:rsidRPr="00967CE1">
        <w:t>.</w:t>
      </w:r>
      <w:r>
        <w:t xml:space="preserve"> //Xu]</w:t>
      </w:r>
    </w:p>
    <w:p w14:paraId="5634DB9D" w14:textId="77777777" w:rsidR="00C115C3" w:rsidRDefault="00C115C3" w:rsidP="00C115C3">
      <w:pPr>
        <w:rPr>
          <w:rStyle w:val="Emphasis"/>
        </w:rPr>
      </w:pPr>
      <w:r w:rsidRPr="00202BA5">
        <w:rPr>
          <w:rStyle w:val="Emphasis"/>
        </w:rPr>
        <w:t xml:space="preserve">The philosopher Immanuel </w:t>
      </w:r>
      <w:r w:rsidRPr="00202BA5">
        <w:rPr>
          <w:rStyle w:val="Emphasis"/>
          <w:highlight w:val="green"/>
        </w:rPr>
        <w:t>Kant said that lying was always</w:t>
      </w:r>
      <w:r w:rsidRPr="00202BA5">
        <w:rPr>
          <w:rStyle w:val="Emphasis"/>
        </w:rPr>
        <w:t xml:space="preserve"> morally </w:t>
      </w:r>
      <w:r w:rsidRPr="00202BA5">
        <w:rPr>
          <w:rStyle w:val="Emphasis"/>
          <w:highlight w:val="green"/>
        </w:rPr>
        <w:t>wrong</w:t>
      </w:r>
      <w:r w:rsidRPr="00202BA5">
        <w:rPr>
          <w:rStyle w:val="Emphasis"/>
        </w:rPr>
        <w:t xml:space="preserve">. </w:t>
      </w:r>
      <w:r w:rsidRPr="00202BA5">
        <w:t>He argued that all persons are born with an "intrinsic worth" that he called human dignity. This dignity derives from the fact that humans are uniquely rational agents, capable of freely making their own decisions, setting their own goals, and guiding their conduct by reason. To be human, said Kant, is to have the rational power of free choice; to be ethical, he continued, is to respect that power in oneself and others.</w:t>
      </w:r>
      <w:r>
        <w:t xml:space="preserve"> </w:t>
      </w:r>
      <w:r w:rsidRPr="00202BA5">
        <w:t>Lies are morally wrong, then, for two reasons</w:t>
      </w:r>
      <w:r w:rsidRPr="00202BA5">
        <w:rPr>
          <w:rStyle w:val="Emphasis"/>
        </w:rPr>
        <w:t xml:space="preserve">. </w:t>
      </w:r>
      <w:r w:rsidRPr="00202BA5">
        <w:rPr>
          <w:rStyle w:val="Emphasis"/>
          <w:highlight w:val="green"/>
        </w:rPr>
        <w:t>First</w:t>
      </w:r>
      <w:r w:rsidRPr="00202BA5">
        <w:rPr>
          <w:rStyle w:val="Emphasis"/>
        </w:rPr>
        <w:t xml:space="preserve">, </w:t>
      </w:r>
      <w:r w:rsidRPr="00202BA5">
        <w:rPr>
          <w:rStyle w:val="Emphasis"/>
          <w:highlight w:val="green"/>
        </w:rPr>
        <w:t>lying corrupts the</w:t>
      </w:r>
      <w:r w:rsidRPr="00202BA5">
        <w:rPr>
          <w:rStyle w:val="Emphasis"/>
        </w:rPr>
        <w:t xml:space="preserve"> most important quality of my </w:t>
      </w:r>
      <w:r w:rsidRPr="00202BA5">
        <w:rPr>
          <w:rStyle w:val="Emphasis"/>
          <w:highlight w:val="green"/>
        </w:rPr>
        <w:t>being</w:t>
      </w:r>
      <w:r w:rsidRPr="00202BA5">
        <w:rPr>
          <w:rStyle w:val="Emphasis"/>
        </w:rPr>
        <w:t xml:space="preserve"> human: my ability </w:t>
      </w:r>
      <w:r w:rsidRPr="00202BA5">
        <w:rPr>
          <w:rStyle w:val="Emphasis"/>
          <w:highlight w:val="green"/>
        </w:rPr>
        <w:t>to make free, rational choices</w:t>
      </w:r>
      <w:r w:rsidRPr="00202BA5">
        <w:rPr>
          <w:rStyle w:val="Emphasis"/>
        </w:rPr>
        <w:t xml:space="preserve">. Each lie I tell </w:t>
      </w:r>
      <w:r w:rsidRPr="00202BA5">
        <w:rPr>
          <w:rStyle w:val="Emphasis"/>
          <w:highlight w:val="green"/>
        </w:rPr>
        <w:t>contradicts</w:t>
      </w:r>
      <w:r w:rsidRPr="00202BA5">
        <w:rPr>
          <w:rStyle w:val="Emphasis"/>
        </w:rPr>
        <w:t xml:space="preserve"> the part of me that gives me </w:t>
      </w:r>
      <w:r w:rsidRPr="00202BA5">
        <w:rPr>
          <w:rStyle w:val="Emphasis"/>
          <w:highlight w:val="green"/>
        </w:rPr>
        <w:t>moral worth</w:t>
      </w:r>
      <w:r w:rsidRPr="00202BA5">
        <w:rPr>
          <w:rStyle w:val="Emphasis"/>
        </w:rPr>
        <w:t xml:space="preserve">. </w:t>
      </w:r>
      <w:r w:rsidRPr="00202BA5">
        <w:rPr>
          <w:rStyle w:val="Emphasis"/>
          <w:highlight w:val="green"/>
        </w:rPr>
        <w:t>Second</w:t>
      </w:r>
      <w:r w:rsidRPr="00202BA5">
        <w:rPr>
          <w:rStyle w:val="Emphasis"/>
        </w:rPr>
        <w:t xml:space="preserve">, my lies </w:t>
      </w:r>
      <w:r w:rsidRPr="00202BA5">
        <w:rPr>
          <w:rStyle w:val="Emphasis"/>
          <w:highlight w:val="green"/>
        </w:rPr>
        <w:t xml:space="preserve">rob others of </w:t>
      </w:r>
      <w:r w:rsidRPr="00202BA5">
        <w:rPr>
          <w:rStyle w:val="Emphasis"/>
        </w:rPr>
        <w:t xml:space="preserve">their </w:t>
      </w:r>
      <w:r w:rsidRPr="00202BA5">
        <w:rPr>
          <w:rStyle w:val="Emphasis"/>
          <w:highlight w:val="green"/>
        </w:rPr>
        <w:t xml:space="preserve">freedom to choose </w:t>
      </w:r>
      <w:r w:rsidRPr="00202BA5">
        <w:rPr>
          <w:rStyle w:val="Emphasis"/>
        </w:rPr>
        <w:t xml:space="preserve">rationally. </w:t>
      </w:r>
      <w:r w:rsidRPr="00202BA5">
        <w:t>When my lie leads people to decide other than they would had they known the truth, I have harmed their human dignity and autonomy.</w:t>
      </w:r>
      <w:r w:rsidRPr="00202BA5">
        <w:rPr>
          <w:rStyle w:val="Emphasis"/>
        </w:rPr>
        <w:t xml:space="preserve"> Kant believed that </w:t>
      </w:r>
      <w:r w:rsidRPr="00202BA5">
        <w:rPr>
          <w:rStyle w:val="Emphasis"/>
          <w:highlight w:val="green"/>
        </w:rPr>
        <w:t>to value</w:t>
      </w:r>
      <w:r w:rsidRPr="00202BA5">
        <w:rPr>
          <w:rStyle w:val="Emphasis"/>
        </w:rPr>
        <w:t xml:space="preserve"> </w:t>
      </w:r>
      <w:proofErr w:type="gramStart"/>
      <w:r w:rsidRPr="00202BA5">
        <w:rPr>
          <w:rStyle w:val="Emphasis"/>
        </w:rPr>
        <w:t>ourselves</w:t>
      </w:r>
      <w:proofErr w:type="gramEnd"/>
      <w:r w:rsidRPr="00202BA5">
        <w:rPr>
          <w:rStyle w:val="Emphasis"/>
        </w:rPr>
        <w:t xml:space="preserve"> and </w:t>
      </w:r>
      <w:r w:rsidRPr="00202BA5">
        <w:rPr>
          <w:rStyle w:val="Emphasis"/>
          <w:highlight w:val="green"/>
        </w:rPr>
        <w:t>others as ends</w:t>
      </w:r>
      <w:r w:rsidRPr="00202BA5">
        <w:rPr>
          <w:rStyle w:val="Emphasis"/>
        </w:rPr>
        <w:t xml:space="preserve"> instead of means, </w:t>
      </w:r>
      <w:r w:rsidRPr="00202BA5">
        <w:rPr>
          <w:rStyle w:val="Emphasis"/>
          <w:highlight w:val="green"/>
        </w:rPr>
        <w:t>we have perfect duties</w:t>
      </w:r>
      <w:r w:rsidRPr="00202BA5">
        <w:rPr>
          <w:rStyle w:val="Emphasis"/>
        </w:rPr>
        <w:t xml:space="preserve"> (i.e., no exceptions) </w:t>
      </w:r>
      <w:r w:rsidRPr="00202BA5">
        <w:rPr>
          <w:rStyle w:val="Emphasis"/>
          <w:highlight w:val="green"/>
        </w:rPr>
        <w:t>to avoid</w:t>
      </w:r>
      <w:r w:rsidRPr="00202BA5">
        <w:rPr>
          <w:rStyle w:val="Emphasis"/>
        </w:rPr>
        <w:t xml:space="preserve"> damaging, interfering with, or </w:t>
      </w:r>
      <w:r w:rsidRPr="00202BA5">
        <w:rPr>
          <w:rStyle w:val="Emphasis"/>
          <w:highlight w:val="green"/>
        </w:rPr>
        <w:t>misusing</w:t>
      </w:r>
      <w:r w:rsidRPr="00202BA5">
        <w:rPr>
          <w:rStyle w:val="Emphasis"/>
        </w:rPr>
        <w:t xml:space="preserve"> the ability to make </w:t>
      </w:r>
      <w:r w:rsidRPr="00202BA5">
        <w:rPr>
          <w:rStyle w:val="Emphasis"/>
          <w:highlight w:val="green"/>
        </w:rPr>
        <w:t>free decisions</w:t>
      </w:r>
      <w:r w:rsidRPr="00202BA5">
        <w:rPr>
          <w:rStyle w:val="Emphasis"/>
        </w:rPr>
        <w:t xml:space="preserve">; in other words - </w:t>
      </w:r>
      <w:r w:rsidRPr="00202BA5">
        <w:rPr>
          <w:rStyle w:val="Emphasis"/>
          <w:highlight w:val="green"/>
        </w:rPr>
        <w:t>no lying</w:t>
      </w:r>
      <w:r w:rsidRPr="00202BA5">
        <w:rPr>
          <w:rStyle w:val="Emphasis"/>
        </w:rPr>
        <w:t>.</w:t>
      </w:r>
    </w:p>
    <w:p w14:paraId="5EE244FF" w14:textId="49DBCC13" w:rsidR="00C115C3" w:rsidRPr="00C115C3" w:rsidRDefault="00C115C3" w:rsidP="00C115C3">
      <w:pPr>
        <w:pStyle w:val="Heading4"/>
      </w:pPr>
      <w:r w:rsidRPr="00AD58B6">
        <w:t xml:space="preserve">2] </w:t>
      </w:r>
      <w:proofErr w:type="spellStart"/>
      <w:r>
        <w:t>Lexico</w:t>
      </w:r>
      <w:proofErr w:type="spellEnd"/>
      <w:r>
        <w:t xml:space="preserve"> ND defines advocacy</w:t>
      </w:r>
      <w:r>
        <w:rPr>
          <w:rStyle w:val="FootnoteReference"/>
        </w:rPr>
        <w:footnoteReference w:id="1"/>
      </w:r>
      <w:r>
        <w:t xml:space="preserve"> as “</w:t>
      </w:r>
      <w:r w:rsidRPr="008E44FD">
        <w:rPr>
          <w:rStyle w:val="Emphasis"/>
        </w:rPr>
        <w:t xml:space="preserve">Public </w:t>
      </w:r>
      <w:r w:rsidRPr="00F072B6">
        <w:rPr>
          <w:rStyle w:val="Emphasis"/>
          <w:highlight w:val="green"/>
        </w:rPr>
        <w:t>support</w:t>
      </w:r>
      <w:r w:rsidRPr="008E44FD">
        <w:rPr>
          <w:rStyle w:val="Emphasis"/>
        </w:rPr>
        <w:t xml:space="preserve"> for or recommendation </w:t>
      </w:r>
      <w:r w:rsidRPr="00F072B6">
        <w:rPr>
          <w:rStyle w:val="Emphasis"/>
          <w:highlight w:val="green"/>
        </w:rPr>
        <w:t>of</w:t>
      </w:r>
      <w:r w:rsidRPr="008E44FD">
        <w:rPr>
          <w:rStyle w:val="Emphasis"/>
        </w:rPr>
        <w:t xml:space="preserve"> a </w:t>
      </w:r>
      <w:r w:rsidRPr="00F072B6">
        <w:rPr>
          <w:rStyle w:val="Emphasis"/>
          <w:highlight w:val="green"/>
        </w:rPr>
        <w:t>particular cause</w:t>
      </w:r>
      <w:r w:rsidRPr="008E44FD">
        <w:rPr>
          <w:rStyle w:val="Emphasis"/>
        </w:rPr>
        <w:t xml:space="preserve"> or policy</w:t>
      </w:r>
      <w:r>
        <w:t xml:space="preserve">” but that definitionally isn’t universalizable since it only cares about one cause and disrespects the ends of the agents that it disagrees with. </w:t>
      </w:r>
    </w:p>
    <w:p w14:paraId="5D4631A0" w14:textId="77777777" w:rsidR="00456D38" w:rsidRDefault="00456D38" w:rsidP="00456D38">
      <w:pPr>
        <w:pStyle w:val="Heading3"/>
      </w:pPr>
      <w:r>
        <w:t>1AC: Plan</w:t>
      </w:r>
    </w:p>
    <w:p w14:paraId="68EAB4F8" w14:textId="77777777" w:rsidR="00456D38" w:rsidRDefault="00456D38" w:rsidP="00456D38">
      <w:pPr>
        <w:pStyle w:val="Heading4"/>
      </w:pPr>
      <w:r>
        <w:t xml:space="preserve">I Affirm the Whole Resolution – </w:t>
      </w:r>
      <w:r w:rsidRPr="005A48E1">
        <w:t>Resolved: In a democracy, a free press ought to prioritize objectivity over advocacy.</w:t>
      </w:r>
    </w:p>
    <w:p w14:paraId="0F2D72E0" w14:textId="77777777" w:rsidR="00456D38" w:rsidRPr="005A48E1" w:rsidRDefault="00456D38" w:rsidP="00456D38">
      <w:pPr>
        <w:pStyle w:val="Heading4"/>
      </w:pPr>
      <w:r>
        <w:t xml:space="preserve">Objective Journalism lies in Objectivity of its </w:t>
      </w:r>
      <w:r>
        <w:rPr>
          <w:u w:val="single"/>
        </w:rPr>
        <w:t>methodology</w:t>
      </w:r>
      <w:r>
        <w:t xml:space="preserve">. </w:t>
      </w:r>
    </w:p>
    <w:p w14:paraId="5D9CBA9D" w14:textId="77777777" w:rsidR="00456D38" w:rsidRPr="005A48E1" w:rsidRDefault="00456D38" w:rsidP="00456D38">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0AFFE90" w14:textId="77777777" w:rsidR="00456D38" w:rsidRDefault="00456D38" w:rsidP="00456D38">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AC5B8DF" w14:textId="77777777" w:rsidR="00456D38" w:rsidRDefault="00456D38" w:rsidP="00456D38">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6E5225B1" w14:textId="77777777" w:rsidR="00456D38" w:rsidRPr="00023E93" w:rsidRDefault="00456D38" w:rsidP="00456D38">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0"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607CD99B" w14:textId="77777777" w:rsidR="00456D38" w:rsidRDefault="00456D38" w:rsidP="00456D38">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30B4F523" w14:textId="77777777" w:rsidR="00456D38" w:rsidRDefault="00456D38" w:rsidP="00456D38">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292D13C9" w14:textId="77777777" w:rsidR="00456D38" w:rsidRPr="0047477E" w:rsidRDefault="00456D38" w:rsidP="00456D38">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1"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415CD837" w14:textId="77777777" w:rsidR="00456D38" w:rsidRPr="00046167" w:rsidRDefault="00456D38" w:rsidP="00456D38">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21DF99CA" w14:textId="77777777" w:rsidR="00456D38" w:rsidRDefault="00456D38" w:rsidP="00456D38">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1A1B8BC3" w14:textId="77777777" w:rsidR="00456D38" w:rsidRPr="00274B44" w:rsidRDefault="00456D38" w:rsidP="00456D38">
      <w:r w:rsidRPr="00274B44">
        <w:rPr>
          <w:rStyle w:val="Style13ptBold"/>
        </w:rPr>
        <w:t>Ingram 18</w:t>
      </w:r>
      <w:r w:rsidRPr="00274B44">
        <w:t xml:space="preserve"> Matthew Ingram 6-14-2018 "Advocates are becoming journalists. Is that a good thing?"</w:t>
      </w:r>
      <w:r>
        <w:t xml:space="preserve"> </w:t>
      </w:r>
      <w:hyperlink r:id="rId12"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40A2C5AB" w14:textId="7181E2DA" w:rsidR="00456D38" w:rsidRPr="00456D38" w:rsidRDefault="00456D38" w:rsidP="00456D38">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3CABEAA8" w14:textId="63FE489E" w:rsidR="00C115C3" w:rsidRPr="00C115C3" w:rsidRDefault="00C115C3" w:rsidP="00E5742E">
      <w:pPr>
        <w:pStyle w:val="Heading2"/>
        <w:jc w:val="left"/>
      </w:pPr>
    </w:p>
    <w:p w14:paraId="04A11129" w14:textId="028FDC2C" w:rsidR="00E5742E" w:rsidRDefault="00E5742E" w:rsidP="00E5742E">
      <w:pPr>
        <w:pStyle w:val="Heading2"/>
      </w:pPr>
      <w:r>
        <w:t>U</w:t>
      </w:r>
      <w:r>
        <w:t>V</w:t>
      </w:r>
    </w:p>
    <w:p w14:paraId="321C0DC3" w14:textId="77777777" w:rsidR="00E5742E" w:rsidRPr="000635C0" w:rsidRDefault="00E5742E" w:rsidP="00E5742E">
      <w:pPr>
        <w:pStyle w:val="Heading4"/>
        <w:rPr>
          <w:rFonts w:asciiTheme="minorHAnsi" w:hAnsiTheme="minorHAnsi" w:cstheme="minorHAnsi"/>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7948D0B2" w14:textId="406B46E3" w:rsidR="00E5742E" w:rsidRDefault="00E5742E" w:rsidP="00E5742E">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6F0134C4" w14:textId="77777777" w:rsidR="004D47F5" w:rsidRPr="000635C0" w:rsidRDefault="004D47F5" w:rsidP="004D47F5">
      <w:pPr>
        <w:pStyle w:val="Heading4"/>
        <w:spacing w:line="240" w:lineRule="auto"/>
        <w:rPr>
          <w:rFonts w:asciiTheme="minorHAnsi" w:hAnsiTheme="minorHAnsi" w:cstheme="minorHAnsi"/>
        </w:rPr>
      </w:pPr>
      <w:r>
        <w:t>Nothing has triggered it, but p</w:t>
      </w:r>
      <w:r w:rsidRPr="000635C0">
        <w:rPr>
          <w:rFonts w:asciiTheme="minorHAnsi" w:hAnsiTheme="minorHAnsi" w:cstheme="minorHAnsi"/>
        </w:rPr>
        <w:t xml:space="preserve">resumption and permissibility affirm – </w:t>
      </w:r>
    </w:p>
    <w:p w14:paraId="1C523F83" w14:textId="77777777" w:rsidR="004D47F5" w:rsidRPr="00564A9A" w:rsidRDefault="004D47F5" w:rsidP="004D47F5">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w:t>
      </w:r>
      <w:r>
        <w:rPr>
          <w:rFonts w:asciiTheme="minorHAnsi" w:hAnsiTheme="minorHAnsi" w:cstheme="minorHAnsi"/>
        </w:rPr>
        <w:t>avid</w:t>
      </w:r>
      <w:r w:rsidRPr="000635C0">
        <w:rPr>
          <w:rFonts w:asciiTheme="minorHAnsi" w:hAnsiTheme="minorHAnsi" w:cstheme="minorHAnsi"/>
        </w:rPr>
        <w:t xml:space="preserve"> you would believe me </w:t>
      </w:r>
    </w:p>
    <w:p w14:paraId="6E8B3F1D" w14:textId="77777777" w:rsidR="004D47F5" w:rsidRPr="004D47F5" w:rsidRDefault="004D47F5" w:rsidP="004D47F5"/>
    <w:p w14:paraId="327481BF" w14:textId="74ABF9F5" w:rsidR="00C115C3" w:rsidRPr="00C115C3" w:rsidRDefault="00C115C3" w:rsidP="00E5742E">
      <w:pPr>
        <w:pStyle w:val="Heading2"/>
        <w:jc w:val="left"/>
      </w:pPr>
    </w:p>
    <w:sectPr w:rsidR="00C115C3" w:rsidRPr="00C115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A0B2" w14:textId="77777777" w:rsidR="004B41AD" w:rsidRDefault="004B41AD" w:rsidP="00C115C3">
      <w:pPr>
        <w:spacing w:after="0" w:line="240" w:lineRule="auto"/>
      </w:pPr>
      <w:r>
        <w:separator/>
      </w:r>
    </w:p>
  </w:endnote>
  <w:endnote w:type="continuationSeparator" w:id="0">
    <w:p w14:paraId="42859F24" w14:textId="77777777" w:rsidR="004B41AD" w:rsidRDefault="004B41AD" w:rsidP="00C11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F26F8" w14:textId="77777777" w:rsidR="004B41AD" w:rsidRDefault="004B41AD" w:rsidP="00C115C3">
      <w:pPr>
        <w:spacing w:after="0" w:line="240" w:lineRule="auto"/>
      </w:pPr>
      <w:r>
        <w:separator/>
      </w:r>
    </w:p>
  </w:footnote>
  <w:footnote w:type="continuationSeparator" w:id="0">
    <w:p w14:paraId="45FE5784" w14:textId="77777777" w:rsidR="004B41AD" w:rsidRDefault="004B41AD" w:rsidP="00C115C3">
      <w:pPr>
        <w:spacing w:after="0" w:line="240" w:lineRule="auto"/>
      </w:pPr>
      <w:r>
        <w:continuationSeparator/>
      </w:r>
    </w:p>
  </w:footnote>
  <w:footnote w:id="1">
    <w:p w14:paraId="769AE424" w14:textId="77777777" w:rsidR="00C115C3" w:rsidRDefault="00C115C3" w:rsidP="00C115C3">
      <w:pPr>
        <w:pStyle w:val="FootnoteText"/>
      </w:pPr>
      <w:r>
        <w:rPr>
          <w:rStyle w:val="FootnoteReference"/>
        </w:rPr>
        <w:footnoteRef/>
      </w:r>
      <w:r>
        <w:t xml:space="preserve"> Lexico Dictionary (</w:t>
      </w:r>
      <w:r w:rsidRPr="006921E1">
        <w:t>Lexico.com is a new collaboration between Dictionary.com and Oxford University Press (OUP) to help users worldwide with everyday language challenges. Lexico is powered by Oxford’s free English and Spanish dictionaries and features multi-language dictionary, thesaurus, and translation content</w:t>
      </w:r>
      <w:r>
        <w:t xml:space="preserve">). No Date. Accessed 3/3/2022. </w:t>
      </w:r>
      <w:hyperlink r:id="rId1" w:history="1">
        <w:r w:rsidRPr="00AA17E0">
          <w:rPr>
            <w:rStyle w:val="Hyperlink"/>
          </w:rPr>
          <w:t>https://www.lexico.com/en/definition/advocacy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F81"/>
    <w:rsid w:val="000B27BD"/>
    <w:rsid w:val="00127E61"/>
    <w:rsid w:val="00241F81"/>
    <w:rsid w:val="00456D38"/>
    <w:rsid w:val="004B41AD"/>
    <w:rsid w:val="004D47F5"/>
    <w:rsid w:val="00C115C3"/>
    <w:rsid w:val="00C66DF4"/>
    <w:rsid w:val="00E5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5178"/>
  <w15:chartTrackingRefBased/>
  <w15:docId w15:val="{9C5EDE41-7F19-49A1-9AF4-7E6B8AB6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6DF4"/>
    <w:rPr>
      <w:rFonts w:ascii="Calibri" w:hAnsi="Calibri" w:cs="Calibri"/>
    </w:rPr>
  </w:style>
  <w:style w:type="paragraph" w:styleId="Heading1">
    <w:name w:val="heading 1"/>
    <w:aliases w:val="Pocket"/>
    <w:basedOn w:val="Normal"/>
    <w:next w:val="Normal"/>
    <w:link w:val="Heading1Char"/>
    <w:qFormat/>
    <w:rsid w:val="00C66D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6D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6D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TAG,no read,No Spacing2111,ta,small space,Ta,t,nonunderlined,T,Heading 2 Char Char Char Char,No Spacing211,No Spacing12,No Spacing111111,Ca, Ch"/>
    <w:basedOn w:val="Normal"/>
    <w:next w:val="Normal"/>
    <w:link w:val="Heading4Char"/>
    <w:uiPriority w:val="3"/>
    <w:unhideWhenUsed/>
    <w:qFormat/>
    <w:rsid w:val="00C66D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6D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DF4"/>
  </w:style>
  <w:style w:type="character" w:customStyle="1" w:styleId="Heading1Char">
    <w:name w:val="Heading 1 Char"/>
    <w:aliases w:val="Pocket Char"/>
    <w:basedOn w:val="DefaultParagraphFont"/>
    <w:link w:val="Heading1"/>
    <w:rsid w:val="00C66D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6D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6DF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TAG Char,no read Char,No Spacing2111 Char,ta Char,small space Char,Ta Char,t Char,T Char"/>
    <w:basedOn w:val="DefaultParagraphFont"/>
    <w:link w:val="Heading4"/>
    <w:uiPriority w:val="3"/>
    <w:rsid w:val="00C66DF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
    <w:basedOn w:val="DefaultParagraphFont"/>
    <w:link w:val="textbold"/>
    <w:uiPriority w:val="7"/>
    <w:qFormat/>
    <w:rsid w:val="00C66D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6DF4"/>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C66DF4"/>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card Char,Small Text Char"/>
    <w:basedOn w:val="DefaultParagraphFont"/>
    <w:link w:val="NoSpacing"/>
    <w:uiPriority w:val="99"/>
    <w:unhideWhenUsed/>
    <w:rsid w:val="00C66DF4"/>
    <w:rPr>
      <w:color w:val="auto"/>
      <w:u w:val="none"/>
    </w:rPr>
  </w:style>
  <w:style w:type="character" w:styleId="FollowedHyperlink">
    <w:name w:val="FollowedHyperlink"/>
    <w:basedOn w:val="DefaultParagraphFont"/>
    <w:uiPriority w:val="99"/>
    <w:semiHidden/>
    <w:unhideWhenUsed/>
    <w:rsid w:val="00C66DF4"/>
    <w:rPr>
      <w:color w:val="auto"/>
      <w:u w:val="none"/>
    </w:rPr>
  </w:style>
  <w:style w:type="paragraph" w:customStyle="1" w:styleId="textbold">
    <w:name w:val="text bold"/>
    <w:basedOn w:val="Normal"/>
    <w:link w:val="Emphasis"/>
    <w:uiPriority w:val="7"/>
    <w:qFormat/>
    <w:rsid w:val="00C115C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C115C3"/>
    <w:pPr>
      <w:spacing w:after="0" w:line="240" w:lineRule="auto"/>
    </w:pPr>
    <w:rPr>
      <w:sz w:val="20"/>
      <w:szCs w:val="20"/>
    </w:rPr>
  </w:style>
  <w:style w:type="character" w:customStyle="1" w:styleId="FootnoteTextChar">
    <w:name w:val="Footnote Text Char"/>
    <w:basedOn w:val="DefaultParagraphFont"/>
    <w:link w:val="FootnoteText"/>
    <w:uiPriority w:val="99"/>
    <w:rsid w:val="00C115C3"/>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115C3"/>
    <w:rPr>
      <w:vertAlign w:val="superscript"/>
    </w:rPr>
  </w:style>
  <w:style w:type="paragraph" w:styleId="NoSpacing">
    <w:name w:val="No Spacing"/>
    <w:aliases w:val="Medium Grid 21,No Spacing31,No Spacing22,No Spacing3,Dont use,No Spacing41,No Spacing111112,Note Level 2,No Spacing23,tag,Tag and Cite,card,Small Text,Tag and Ci,Note Level 21,Debate Text,Card Format,DDI Tag,Card,No Spacing11,No Spacing111"/>
    <w:basedOn w:val="Heading1"/>
    <w:link w:val="Hyperlink"/>
    <w:autoRedefine/>
    <w:uiPriority w:val="99"/>
    <w:qFormat/>
    <w:rsid w:val="00C115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u.edu/ethics/ethics-resources/ethical-decision-making/ly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000wordphilosophy.com/2014/02/06/external-world-skepticism/" TargetMode="External"/><Relationship Id="rId12" Type="http://schemas.openxmlformats.org/officeDocument/2006/relationships/hyperlink" Target="https://www.cjr.org/analysis/advocates-journalism.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mmondreams.org/views/2012/10/25/objectivity-does-not-mean-neutrality-danger-false-equivalency-media" TargetMode="External"/><Relationship Id="rId5" Type="http://schemas.openxmlformats.org/officeDocument/2006/relationships/footnotes" Target="footnotes.xml"/><Relationship Id="rId10" Type="http://schemas.openxmlformats.org/officeDocument/2006/relationships/hyperlink" Target="https://web.archive.org/web/20130129094105/http://www.ethicaljournalismnetwork.org/2013/journalism%E2%80%99s-era-of-change-but-objectivity-still-plays-a-critical-role/" TargetMode="External"/><Relationship Id="rId4" Type="http://schemas.openxmlformats.org/officeDocument/2006/relationships/webSettings" Target="webSettings.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exico.com/en/definition/advoc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7371</Words>
  <Characters>42016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4</cp:revision>
  <dcterms:created xsi:type="dcterms:W3CDTF">2022-03-11T13:28:00Z</dcterms:created>
  <dcterms:modified xsi:type="dcterms:W3CDTF">2022-03-11T14:03:00Z</dcterms:modified>
</cp:coreProperties>
</file>