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4520" w14:textId="6AE1D109" w:rsidR="006D58D4" w:rsidRDefault="006D58D4" w:rsidP="006D58D4">
      <w:pPr>
        <w:pStyle w:val="Heading2"/>
      </w:pPr>
      <w:r>
        <w:t>OFF</w:t>
      </w:r>
    </w:p>
    <w:p w14:paraId="39A8DD03" w14:textId="61527DD3" w:rsidR="00B6704F" w:rsidRDefault="00B6704F" w:rsidP="00B6704F">
      <w:pPr>
        <w:pStyle w:val="Heading3"/>
      </w:pPr>
      <w:r>
        <w:lastRenderedPageBreak/>
        <w:t xml:space="preserve">1NC </w:t>
      </w:r>
      <w:r w:rsidR="00AE444F">
        <w:t>–</w:t>
      </w:r>
      <w:r>
        <w:t xml:space="preserve"> OFF</w:t>
      </w:r>
      <w:r w:rsidR="00AE444F">
        <w:t xml:space="preserve"> – new </w:t>
      </w:r>
      <w:proofErr w:type="spellStart"/>
      <w:r w:rsidR="00AE444F">
        <w:t>af</w:t>
      </w:r>
      <w:proofErr w:type="spellEnd"/>
      <w:r w:rsidR="00AE444F">
        <w:t xml:space="preserve"> bad</w:t>
      </w:r>
    </w:p>
    <w:p w14:paraId="2A19989B" w14:textId="6DA1E09E" w:rsidR="00B6704F" w:rsidRDefault="00B6704F" w:rsidP="00AE444F">
      <w:pPr>
        <w:pStyle w:val="Heading4"/>
        <w:numPr>
          <w:ilvl w:val="0"/>
          <w:numId w:val="11"/>
        </w:numPr>
      </w:pPr>
      <w:r>
        <w:t>Interpretation: Debaters must disclose affirmative frameworks, advocacy texts, thirty minutes before round if they haven’t read the affirmative before</w:t>
      </w:r>
    </w:p>
    <w:p w14:paraId="3300384B" w14:textId="20F0FE36" w:rsidR="00B6704F" w:rsidRDefault="00B6704F" w:rsidP="00B6704F">
      <w:pPr>
        <w:pStyle w:val="Heading4"/>
      </w:pPr>
      <w:r>
        <w:t xml:space="preserve">Violation: </w:t>
      </w:r>
      <w:r w:rsidR="00F95CDE">
        <w:rPr>
          <w:noProof/>
        </w:rPr>
        <w:drawing>
          <wp:inline distT="0" distB="0" distL="0" distR="0" wp14:anchorId="5855313C" wp14:editId="30B5AE27">
            <wp:extent cx="5943600" cy="263144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8"/>
                    <a:stretch>
                      <a:fillRect/>
                    </a:stretch>
                  </pic:blipFill>
                  <pic:spPr>
                    <a:xfrm>
                      <a:off x="0" y="0"/>
                      <a:ext cx="5943600" cy="2631440"/>
                    </a:xfrm>
                    <a:prstGeom prst="rect">
                      <a:avLst/>
                    </a:prstGeom>
                  </pic:spPr>
                </pic:pic>
              </a:graphicData>
            </a:graphic>
          </wp:inline>
        </w:drawing>
      </w:r>
    </w:p>
    <w:p w14:paraId="2A7C61C0" w14:textId="5B00C360" w:rsidR="00B6704F" w:rsidRDefault="00B6704F" w:rsidP="00B6704F">
      <w:pPr>
        <w:pStyle w:val="Heading4"/>
      </w:pPr>
      <w:r>
        <w:t>Standards:</w:t>
      </w:r>
    </w:p>
    <w:p w14:paraId="47541776" w14:textId="71AA3EB5" w:rsidR="003E71CD" w:rsidRPr="003E71CD" w:rsidRDefault="003E71CD" w:rsidP="003E71CD">
      <w:pPr>
        <w:pStyle w:val="Heading4"/>
      </w:pPr>
      <w:r>
        <w:rPr>
          <w:u w:val="single"/>
        </w:rPr>
        <w:t xml:space="preserve">Stable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5B61B2AD" w14:textId="77777777" w:rsidR="006E559B" w:rsidRPr="006E559B" w:rsidRDefault="006E559B" w:rsidP="006E559B"/>
    <w:p w14:paraId="57B0CD71" w14:textId="54448587" w:rsidR="006E559B" w:rsidRDefault="006E559B" w:rsidP="006E559B">
      <w:pPr>
        <w:pStyle w:val="Heading4"/>
      </w:pPr>
      <w:r>
        <w:t xml:space="preserve">Surprises are ableist- limited coping skills </w:t>
      </w:r>
      <w:proofErr w:type="gramStart"/>
      <w:r>
        <w:t>makes</w:t>
      </w:r>
      <w:proofErr w:type="gramEnd"/>
      <w:r>
        <w:t xml:space="preserve"> responding to new affirmatives contribute to stress and anxiety disorders that disproportionately affect populations with intellectual disability</w:t>
      </w:r>
    </w:p>
    <w:p w14:paraId="34C65CDD" w14:textId="77777777" w:rsidR="006E559B" w:rsidRDefault="006E559B" w:rsidP="006E559B">
      <w:r w:rsidRPr="008B7B72">
        <w:rPr>
          <w:b/>
        </w:rPr>
        <w:t>Miller 2008</w:t>
      </w:r>
      <w:r>
        <w:t xml:space="preserve"> (Michael L., Ph.D., university of Wyoming, “Teaching Relaxation Skills to Adults with Intellectual Disability and Generalized Anxiety Disorder” pg. 2)</w:t>
      </w:r>
    </w:p>
    <w:p w14:paraId="38E56AF2" w14:textId="38E7320D" w:rsidR="006E559B" w:rsidRDefault="006E559B" w:rsidP="006E559B">
      <w:pPr>
        <w:rPr>
          <w:rStyle w:val="StyleUnderline"/>
        </w:rPr>
      </w:pPr>
      <w:r w:rsidRPr="00522D90">
        <w:rPr>
          <w:sz w:val="16"/>
        </w:rPr>
        <w:t xml:space="preserve">Anxiety and Intellectual Disability </w:t>
      </w:r>
      <w:r w:rsidRPr="00881168">
        <w:rPr>
          <w:b/>
          <w:u w:val="single"/>
        </w:rPr>
        <w:t>Emotional regulation</w:t>
      </w:r>
      <w:r w:rsidRPr="00881168">
        <w:rPr>
          <w:sz w:val="16"/>
        </w:rPr>
        <w:t xml:space="preserve"> </w:t>
      </w:r>
      <w:r w:rsidRPr="00522D90">
        <w:rPr>
          <w:sz w:val="16"/>
        </w:rPr>
        <w:t xml:space="preserve">difficulties likely contribute to higher rates of psychopathology among people with intellectual disability in comparison to the typically developing population (Holden &amp; </w:t>
      </w:r>
      <w:proofErr w:type="spellStart"/>
      <w:r w:rsidRPr="00522D90">
        <w:rPr>
          <w:sz w:val="16"/>
        </w:rPr>
        <w:t>Gitlesen</w:t>
      </w:r>
      <w:proofErr w:type="spellEnd"/>
      <w:r w:rsidRPr="00522D90">
        <w:rPr>
          <w:sz w:val="16"/>
        </w:rPr>
        <w:t xml:space="preserve">, 2004). </w:t>
      </w:r>
      <w:r w:rsidRPr="00FC1BAD">
        <w:rPr>
          <w:b/>
          <w:highlight w:val="cyan"/>
          <w:u w:val="single"/>
        </w:rPr>
        <w:t>The development and use of emotion regulation skills are strongly influenced by neurological, cognitive, and behavioral factors</w:t>
      </w:r>
      <w:r w:rsidRPr="00FC1BAD">
        <w:rPr>
          <w:sz w:val="16"/>
          <w:highlight w:val="cyan"/>
        </w:rPr>
        <w:t xml:space="preserve"> </w:t>
      </w:r>
      <w:r w:rsidRPr="00522D90">
        <w:rPr>
          <w:sz w:val="16"/>
        </w:rPr>
        <w:t xml:space="preserve">(Calkins, 1994). People with intellectual disability are inherently susceptible to emotion regulation problems due to diffuse neurological damage (Becker, Armstrong, &amp; Chan, 1986; Moser, 1999), cognitive impairment (APA, 2000), and </w:t>
      </w:r>
      <w:r w:rsidRPr="00FC1BAD">
        <w:rPr>
          <w:b/>
          <w:highlight w:val="cyan"/>
          <w:u w:val="single"/>
        </w:rPr>
        <w:t>limited coping skills</w:t>
      </w:r>
      <w:r w:rsidRPr="00FC1BAD">
        <w:rPr>
          <w:sz w:val="16"/>
          <w:highlight w:val="cyan"/>
        </w:rPr>
        <w:t xml:space="preserve"> </w:t>
      </w:r>
      <w:r w:rsidRPr="00522D90">
        <w:rPr>
          <w:sz w:val="16"/>
        </w:rPr>
        <w:t xml:space="preserve">(Gualtieri, Matson, &amp; Keppel, 1989). Combined, </w:t>
      </w:r>
      <w:r w:rsidRPr="00FC1BAD">
        <w:rPr>
          <w:b/>
          <w:highlight w:val="cyan"/>
          <w:u w:val="single"/>
        </w:rPr>
        <w:t>these deficits likely contribute to repeated experiences of stress, fear, confusion, and self-control problems</w:t>
      </w:r>
      <w:r w:rsidRPr="00FC1BAD">
        <w:rPr>
          <w:sz w:val="16"/>
          <w:highlight w:val="cyan"/>
        </w:rPr>
        <w:t xml:space="preserve"> </w:t>
      </w:r>
      <w:r w:rsidRPr="00522D90">
        <w:rPr>
          <w:sz w:val="16"/>
        </w:rPr>
        <w:t>(</w:t>
      </w:r>
      <w:proofErr w:type="spellStart"/>
      <w:r w:rsidRPr="00522D90">
        <w:rPr>
          <w:sz w:val="16"/>
        </w:rPr>
        <w:t>Rojahn</w:t>
      </w:r>
      <w:proofErr w:type="spellEnd"/>
      <w:r w:rsidRPr="00522D90">
        <w:rPr>
          <w:sz w:val="16"/>
        </w:rPr>
        <w:t xml:space="preserve"> &amp; Tasse, 1996). Not surprisingly</w:t>
      </w:r>
      <w:r w:rsidRPr="00FC1BAD">
        <w:rPr>
          <w:b/>
          <w:highlight w:val="cyan"/>
          <w:u w:val="single"/>
        </w:rPr>
        <w:t>, people with intellectual disability exhibit anxiety disorders at higher rates than the general population</w:t>
      </w:r>
      <w:r w:rsidRPr="00522D90">
        <w:rPr>
          <w:sz w:val="16"/>
        </w:rPr>
        <w:t xml:space="preserve"> (Donaldson &amp; </w:t>
      </w:r>
      <w:proofErr w:type="spellStart"/>
      <w:r w:rsidRPr="00522D90">
        <w:rPr>
          <w:sz w:val="16"/>
        </w:rPr>
        <w:t>Menolascino</w:t>
      </w:r>
      <w:proofErr w:type="spellEnd"/>
      <w:r w:rsidRPr="00522D90">
        <w:rPr>
          <w:sz w:val="16"/>
        </w:rPr>
        <w:t xml:space="preserve">, 1977). In fact, </w:t>
      </w:r>
      <w:r w:rsidRPr="00FC1BAD">
        <w:rPr>
          <w:rStyle w:val="StyleUnderline"/>
          <w:highlight w:val="cyan"/>
        </w:rPr>
        <w:lastRenderedPageBreak/>
        <w:t xml:space="preserve">approximately 25% of people with mild intellectual disability experience </w:t>
      </w:r>
      <w:r w:rsidRPr="00881168">
        <w:rPr>
          <w:rStyle w:val="StyleUnderline"/>
        </w:rPr>
        <w:t xml:space="preserve">clinically significant levels of </w:t>
      </w:r>
      <w:r w:rsidRPr="00FC1BAD">
        <w:rPr>
          <w:rStyle w:val="StyleUnderline"/>
          <w:highlight w:val="cyan"/>
        </w:rPr>
        <w:t xml:space="preserve">anxiety on a regular basis </w:t>
      </w:r>
      <w:r w:rsidRPr="00472C75">
        <w:rPr>
          <w:rStyle w:val="StyleUnderline"/>
        </w:rPr>
        <w:t xml:space="preserve">(Fahs, 1989; </w:t>
      </w:r>
      <w:proofErr w:type="spellStart"/>
      <w:r w:rsidRPr="00472C75">
        <w:rPr>
          <w:rStyle w:val="StyleUnderline"/>
        </w:rPr>
        <w:t>Menolascino</w:t>
      </w:r>
      <w:proofErr w:type="spellEnd"/>
      <w:r w:rsidRPr="00472C75">
        <w:rPr>
          <w:rStyle w:val="StyleUnderline"/>
        </w:rPr>
        <w:t xml:space="preserve">, </w:t>
      </w:r>
      <w:proofErr w:type="spellStart"/>
      <w:r w:rsidRPr="00472C75">
        <w:rPr>
          <w:rStyle w:val="StyleUnderline"/>
        </w:rPr>
        <w:t>Levitas</w:t>
      </w:r>
      <w:proofErr w:type="spellEnd"/>
      <w:r w:rsidRPr="00472C75">
        <w:rPr>
          <w:rStyle w:val="StyleUnderline"/>
        </w:rPr>
        <w:t>, &amp; Greiner, 1986).</w:t>
      </w:r>
    </w:p>
    <w:p w14:paraId="1724E969" w14:textId="77777777" w:rsidR="00113C96" w:rsidRDefault="00113C96" w:rsidP="00113C96">
      <w:pPr>
        <w:pStyle w:val="Heading4"/>
      </w:pPr>
      <w:r>
        <w:t xml:space="preserve">Fairness – it’s a </w:t>
      </w:r>
      <w:proofErr w:type="spellStart"/>
      <w:r>
        <w:t>prereq</w:t>
      </w:r>
      <w:proofErr w:type="spellEnd"/>
      <w:r>
        <w:t xml:space="preserve"> to judge evaluation </w:t>
      </w:r>
    </w:p>
    <w:p w14:paraId="7E1B2327" w14:textId="77777777" w:rsidR="00113C96" w:rsidRDefault="00113C96" w:rsidP="00113C96">
      <w:pPr>
        <w:pStyle w:val="Heading4"/>
      </w:pPr>
      <w:r>
        <w:t xml:space="preserve">Education – it’s the only portable impact </w:t>
      </w:r>
    </w:p>
    <w:p w14:paraId="72209057" w14:textId="77777777" w:rsidR="00113C96" w:rsidRPr="00113C96" w:rsidRDefault="00113C96" w:rsidP="00113C96">
      <w:pPr>
        <w:pStyle w:val="Heading4"/>
        <w:rPr>
          <w:color w:val="000000" w:themeColor="text1"/>
        </w:rPr>
      </w:pPr>
      <w:r w:rsidRPr="00113C96">
        <w:rPr>
          <w:color w:val="000000" w:themeColor="text1"/>
        </w:rPr>
        <w:t xml:space="preserve">Accessibility – psychic violence is a </w:t>
      </w:r>
      <w:proofErr w:type="spellStart"/>
      <w:r w:rsidRPr="00113C96">
        <w:rPr>
          <w:color w:val="000000" w:themeColor="text1"/>
        </w:rPr>
        <w:t>prereq</w:t>
      </w:r>
      <w:proofErr w:type="spellEnd"/>
      <w:r w:rsidRPr="00113C96">
        <w:rPr>
          <w:color w:val="000000" w:themeColor="text1"/>
        </w:rPr>
        <w:t xml:space="preserve"> to being in debate</w:t>
      </w:r>
    </w:p>
    <w:p w14:paraId="664E5F80" w14:textId="77777777" w:rsidR="00113C96" w:rsidRDefault="00113C96" w:rsidP="00113C96">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67B2A21D" w14:textId="77777777" w:rsidR="00113C96" w:rsidRDefault="00113C96" w:rsidP="00113C96">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w:t>
      </w:r>
      <w:proofErr w:type="spellStart"/>
      <w:r>
        <w:t>args</w:t>
      </w:r>
      <w:proofErr w:type="spellEnd"/>
      <w:r>
        <w:t xml:space="preserve">. </w:t>
      </w:r>
    </w:p>
    <w:p w14:paraId="4B0232F6" w14:textId="77777777" w:rsidR="00113C96" w:rsidRPr="00633FF2" w:rsidRDefault="00113C96" w:rsidP="00113C96">
      <w:pPr>
        <w:pStyle w:val="Heading4"/>
      </w:pPr>
      <w:r>
        <w:t xml:space="preserve">No </w:t>
      </w:r>
      <w:proofErr w:type="spellStart"/>
      <w:r>
        <w:t>rvi</w:t>
      </w:r>
      <w:proofErr w:type="spellEnd"/>
    </w:p>
    <w:p w14:paraId="2E69EDF2" w14:textId="77777777" w:rsidR="00113C96" w:rsidRDefault="00113C96" w:rsidP="00113C96">
      <w:pPr>
        <w:pStyle w:val="Heading4"/>
      </w:pPr>
      <w:r>
        <w:t xml:space="preserve">[a] Baiting—they’ll bait the theory debate and prep it out—justifies infinite abuse since they’ll get away with unacceptable practices </w:t>
      </w:r>
    </w:p>
    <w:p w14:paraId="30DA29F1" w14:textId="77777777" w:rsidR="00113C96" w:rsidRDefault="00113C96" w:rsidP="00113C96">
      <w:pPr>
        <w:pStyle w:val="Heading4"/>
      </w:pPr>
      <w:r>
        <w:t>[b] 1AR all-outs—they’ll collapse entirely to theory which crowds out substance and kills education.</w:t>
      </w:r>
    </w:p>
    <w:p w14:paraId="3C87D1E6" w14:textId="77777777" w:rsidR="00113C96" w:rsidRDefault="00113C96" w:rsidP="00113C96">
      <w:pPr>
        <w:pStyle w:val="Heading4"/>
      </w:pPr>
      <w:r>
        <w:t xml:space="preserve">[c] Chilling effect—people will be scared to read theory since they can lose </w:t>
      </w:r>
      <w:proofErr w:type="gramStart"/>
      <w:r>
        <w:t>off of</w:t>
      </w:r>
      <w:proofErr w:type="gramEnd"/>
      <w:r>
        <w:t xml:space="preserve"> it, so no one will check abuse.</w:t>
      </w:r>
    </w:p>
    <w:p w14:paraId="418C4C1B" w14:textId="64F67105" w:rsidR="00113C96" w:rsidRDefault="00113C96" w:rsidP="00113C96">
      <w:pPr>
        <w:pStyle w:val="Heading4"/>
      </w:pPr>
      <w:r>
        <w:t xml:space="preserve">[d] Norm—I shouldn’t be forced to keep advocating for a bad norm if I realize it’s bad in the middle of the round. </w:t>
      </w:r>
    </w:p>
    <w:p w14:paraId="31B2CD2B" w14:textId="7ADD7F82" w:rsidR="00113C96" w:rsidRPr="002E2D32" w:rsidRDefault="00113C96" w:rsidP="00113C96">
      <w:pPr>
        <w:pStyle w:val="Heading4"/>
        <w:rPr>
          <w:b w:val="0"/>
          <w:color w:val="000000"/>
        </w:rPr>
      </w:pPr>
      <w:r>
        <w:t>[</w:t>
      </w:r>
      <w:r w:rsidR="00F95CDE">
        <w:t>E</w:t>
      </w:r>
      <w:r>
        <w:t>] Illogical—doesn’t make sense to win just for being fair.</w:t>
      </w:r>
      <w:r w:rsidRPr="003E2541">
        <w:rPr>
          <w:b w:val="0"/>
          <w:color w:val="000000"/>
        </w:rPr>
        <w:t xml:space="preserve"> </w:t>
      </w:r>
    </w:p>
    <w:p w14:paraId="3375B0AE" w14:textId="77777777" w:rsidR="00113C96" w:rsidRDefault="00113C96" w:rsidP="00113C96">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4507D6AE" w14:textId="77777777" w:rsidR="00113C96" w:rsidRPr="007D594C" w:rsidRDefault="00113C96" w:rsidP="00113C96">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41874670" w14:textId="77777777" w:rsidR="006E559B" w:rsidRPr="006E559B" w:rsidRDefault="006E559B" w:rsidP="006E559B"/>
    <w:p w14:paraId="290BCDC0" w14:textId="686514E7" w:rsidR="00B6704F" w:rsidRDefault="00B6704F" w:rsidP="00B6704F">
      <w:pPr>
        <w:pStyle w:val="Heading3"/>
      </w:pPr>
      <w:r>
        <w:lastRenderedPageBreak/>
        <w:t xml:space="preserve">1NC </w:t>
      </w:r>
      <w:r w:rsidR="00AE444F">
        <w:t>–</w:t>
      </w:r>
      <w:r>
        <w:t xml:space="preserve"> OFF</w:t>
      </w:r>
      <w:r w:rsidR="00AE444F">
        <w:t xml:space="preserve"> – tech check</w:t>
      </w:r>
    </w:p>
    <w:p w14:paraId="43A4EC58" w14:textId="77777777" w:rsidR="00B6704F" w:rsidRPr="00B6704F" w:rsidRDefault="00B6704F" w:rsidP="00B6704F"/>
    <w:p w14:paraId="1A513772" w14:textId="77777777" w:rsidR="00B6704F" w:rsidRDefault="00B6704F" w:rsidP="00B6704F">
      <w:pPr>
        <w:pStyle w:val="Heading4"/>
      </w:pPr>
      <w:proofErr w:type="spellStart"/>
      <w:r>
        <w:t>Interp</w:t>
      </w:r>
      <w:proofErr w:type="spellEnd"/>
      <w:r>
        <w:t>: Debaters must show-up to the tech-check</w:t>
      </w:r>
    </w:p>
    <w:p w14:paraId="38C8DB1E" w14:textId="77777777" w:rsidR="00B6704F" w:rsidRDefault="00B6704F" w:rsidP="00B6704F">
      <w:r>
        <w:t>(</w:t>
      </w:r>
      <w:r w:rsidRPr="00F5082B">
        <w:rPr>
          <w:rStyle w:val="Style13ptBold"/>
        </w:rPr>
        <w:t xml:space="preserve">NSDA, </w:t>
      </w:r>
      <w:r>
        <w:t xml:space="preserve">National Speech and Debate Association) Online Speech and Debate Competition Tips No Date </w:t>
      </w:r>
      <w:hyperlink r:id="rId9" w:history="1">
        <w:r w:rsidRPr="00684654">
          <w:rPr>
            <w:rStyle w:val="Hyperlink"/>
          </w:rPr>
          <w:t>https://drive.google.com/uc?export=download&amp;id=15gZxwk_e7FdlEAiRU0yrqOUQDbExZ-4h</w:t>
        </w:r>
      </w:hyperlink>
      <w:r>
        <w:t xml:space="preserve"> DOA 9/18/21 Cho </w:t>
      </w:r>
    </w:p>
    <w:p w14:paraId="0C8AEB6A" w14:textId="4AD481B5" w:rsidR="00B6704F" w:rsidRDefault="00B6704F" w:rsidP="00B6704F">
      <w:pPr>
        <w:rPr>
          <w:sz w:val="16"/>
        </w:rPr>
      </w:pPr>
      <w:r w:rsidRPr="00F432CF">
        <w:rPr>
          <w:rStyle w:val="Emphasis"/>
          <w:highlight w:val="green"/>
        </w:rPr>
        <w:t>Test your tech</w:t>
      </w:r>
      <w:r w:rsidRPr="00F5082B">
        <w:rPr>
          <w:sz w:val="16"/>
        </w:rPr>
        <w:t xml:space="preserve">nology - It never hurts to test your technology more than once. In fact, </w:t>
      </w:r>
      <w:r w:rsidRPr="00F432CF">
        <w:rPr>
          <w:rStyle w:val="Emphasis"/>
          <w:highlight w:val="green"/>
        </w:rPr>
        <w:t xml:space="preserve">problems can arise because of mistakes such as forgetting to plug in </w:t>
      </w:r>
      <w:r w:rsidRPr="00F432CF">
        <w:rPr>
          <w:rStyle w:val="Emphasis"/>
        </w:rPr>
        <w:t>your</w:t>
      </w:r>
      <w:r w:rsidRPr="00F432CF">
        <w:rPr>
          <w:rStyle w:val="Emphasis"/>
          <w:highlight w:val="green"/>
        </w:rPr>
        <w:t xml:space="preserve"> computer </w:t>
      </w:r>
      <w:r w:rsidRPr="00F432CF">
        <w:rPr>
          <w:rStyle w:val="Emphasis"/>
        </w:rPr>
        <w:t>the night</w:t>
      </w:r>
      <w:r w:rsidRPr="00F5082B">
        <w:rPr>
          <w:sz w:val="16"/>
        </w:rPr>
        <w:t xml:space="preserve"> before. Test everything; if there is an issue that occurs right before the round, it is </w:t>
      </w:r>
      <w:r w:rsidRPr="00F432CF">
        <w:rPr>
          <w:rStyle w:val="Emphasis"/>
          <w:highlight w:val="green"/>
        </w:rPr>
        <w:t>best to have it resolved early</w:t>
      </w:r>
      <w:r w:rsidRPr="00F5082B">
        <w:rPr>
          <w:sz w:val="16"/>
        </w:rPr>
        <w:t>. If you have backup technology, you may also want to test that. If your computer dies, but you know how to use your phone and you have printed a copy of your case, you may be able to keep going in a pinch.</w:t>
      </w:r>
    </w:p>
    <w:p w14:paraId="5580D445" w14:textId="4A5C3AE6" w:rsidR="00B6704F" w:rsidRPr="00F5082B" w:rsidRDefault="00B6704F" w:rsidP="00B6704F">
      <w:pPr>
        <w:rPr>
          <w:sz w:val="16"/>
        </w:rPr>
      </w:pPr>
      <w:r>
        <w:rPr>
          <w:noProof/>
        </w:rPr>
        <w:lastRenderedPageBreak/>
        <w:drawing>
          <wp:inline distT="0" distB="0" distL="0" distR="0" wp14:anchorId="4F4C6F9B" wp14:editId="6938384D">
            <wp:extent cx="5943600" cy="6019800"/>
            <wp:effectExtent l="0" t="0" r="0" b="0"/>
            <wp:docPr id="1" name="Picture 1"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with medium confidence"/>
                    <pic:cNvPicPr/>
                  </pic:nvPicPr>
                  <pic:blipFill>
                    <a:blip r:embed="rId10"/>
                    <a:stretch>
                      <a:fillRect/>
                    </a:stretch>
                  </pic:blipFill>
                  <pic:spPr>
                    <a:xfrm>
                      <a:off x="0" y="0"/>
                      <a:ext cx="5943600" cy="6019800"/>
                    </a:xfrm>
                    <a:prstGeom prst="rect">
                      <a:avLst/>
                    </a:prstGeom>
                  </pic:spPr>
                </pic:pic>
              </a:graphicData>
            </a:graphic>
          </wp:inline>
        </w:drawing>
      </w:r>
    </w:p>
    <w:p w14:paraId="4875E8FF" w14:textId="60794B99" w:rsidR="00B6704F" w:rsidRDefault="00B6704F" w:rsidP="00B6704F">
      <w:pPr>
        <w:pStyle w:val="Heading4"/>
      </w:pPr>
      <w:r>
        <w:lastRenderedPageBreak/>
        <w:t xml:space="preserve">Violation: </w:t>
      </w:r>
      <w:r w:rsidR="005E10B7">
        <w:t>They didn’t show up</w:t>
      </w:r>
      <w:r>
        <w:t xml:space="preserve"> screenshots in doc</w:t>
      </w:r>
    </w:p>
    <w:p w14:paraId="5D70FC86" w14:textId="6FE1E776" w:rsidR="005E10B7" w:rsidRPr="005E10B7" w:rsidRDefault="005E10B7" w:rsidP="005E10B7">
      <w:r>
        <w:rPr>
          <w:noProof/>
        </w:rPr>
        <w:drawing>
          <wp:inline distT="0" distB="0" distL="0" distR="0" wp14:anchorId="48799C64" wp14:editId="6F241F02">
            <wp:extent cx="5943600" cy="3343275"/>
            <wp:effectExtent l="0" t="0" r="0" b="952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1"/>
                    <a:stretch>
                      <a:fillRect/>
                    </a:stretch>
                  </pic:blipFill>
                  <pic:spPr>
                    <a:xfrm>
                      <a:off x="0" y="0"/>
                      <a:ext cx="5943600" cy="3343275"/>
                    </a:xfrm>
                    <a:prstGeom prst="rect">
                      <a:avLst/>
                    </a:prstGeom>
                  </pic:spPr>
                </pic:pic>
              </a:graphicData>
            </a:graphic>
          </wp:inline>
        </w:drawing>
      </w:r>
    </w:p>
    <w:p w14:paraId="6E784DE9" w14:textId="77777777" w:rsidR="00B6704F" w:rsidRDefault="00B6704F" w:rsidP="00B6704F">
      <w:pPr>
        <w:pStyle w:val="Heading4"/>
      </w:pPr>
      <w:r>
        <w:t>1] Tech issues – testing tech pre-round is key to functional debates like audio quality and sound settings. O/</w:t>
      </w:r>
      <w:proofErr w:type="spellStart"/>
      <w:r>
        <w:t>Ws</w:t>
      </w:r>
      <w:proofErr w:type="spellEnd"/>
      <w:r>
        <w:t xml:space="preserve"> A] Sequencing – controls the internal link to other standards B] Reversibility – you could get disqualified for being late.</w:t>
      </w:r>
    </w:p>
    <w:p w14:paraId="1851C43B" w14:textId="78BA2648" w:rsidR="00B6704F" w:rsidRDefault="00B6704F" w:rsidP="00B6704F">
      <w:pPr>
        <w:pStyle w:val="Heading4"/>
      </w:pPr>
      <w:r>
        <w:t>2] Prep Skew – I had to spend 1</w:t>
      </w:r>
      <w:r>
        <w:t>0</w:t>
      </w:r>
      <w:r>
        <w:t xml:space="preserve"> minutes checking my tech while they could be prepping which irreparably skews the burdens in their favor. O/</w:t>
      </w:r>
      <w:proofErr w:type="spellStart"/>
      <w:r>
        <w:t>Ws</w:t>
      </w:r>
      <w:proofErr w:type="spellEnd"/>
      <w:r>
        <w:t xml:space="preserve"> on structural abuse since it’s the only verifiable impact.</w:t>
      </w:r>
    </w:p>
    <w:p w14:paraId="13E1C428" w14:textId="07C31E90" w:rsidR="00B6704F" w:rsidRDefault="00B6704F" w:rsidP="00B6704F">
      <w:pPr>
        <w:pStyle w:val="Heading4"/>
      </w:pPr>
      <w:r>
        <w:t>3]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63783C9F" w14:textId="16BA9673" w:rsidR="00F95CDE" w:rsidRDefault="00F95CDE" w:rsidP="00F95CDE"/>
    <w:p w14:paraId="0F2A88D4" w14:textId="6CC80237" w:rsidR="00F95CDE" w:rsidRPr="00F95CDE" w:rsidRDefault="00F95CDE" w:rsidP="00F95CDE">
      <w:pPr>
        <w:rPr>
          <w:rStyle w:val="Style13ptBold"/>
        </w:rPr>
      </w:pPr>
      <w:r w:rsidRPr="00F95CDE">
        <w:rPr>
          <w:rStyle w:val="Style13ptBold"/>
        </w:rPr>
        <w:t xml:space="preserve">Not specifying the actor and/or method of the </w:t>
      </w:r>
      <w:proofErr w:type="spellStart"/>
      <w:r w:rsidRPr="00F95CDE">
        <w:rPr>
          <w:rStyle w:val="Style13ptBold"/>
        </w:rPr>
        <w:t>aff</w:t>
      </w:r>
      <w:proofErr w:type="spellEnd"/>
      <w:r w:rsidRPr="00F95CDE">
        <w:rPr>
          <w:rStyle w:val="Style13ptBold"/>
        </w:rPr>
        <w:t xml:space="preserve"> is a voting issue - decimates core neg ground and nuanced method debates - Cross X is too late for the 1NC </w:t>
      </w:r>
      <w:proofErr w:type="spellStart"/>
      <w:r w:rsidRPr="00F95CDE">
        <w:rPr>
          <w:rStyle w:val="Style13ptBold"/>
        </w:rPr>
        <w:t>strat</w:t>
      </w:r>
      <w:proofErr w:type="spellEnd"/>
    </w:p>
    <w:p w14:paraId="113ADD87" w14:textId="77777777" w:rsidR="00B6704F" w:rsidRPr="00B6704F" w:rsidRDefault="00B6704F" w:rsidP="00B6704F"/>
    <w:p w14:paraId="6F4AD457" w14:textId="62664656" w:rsidR="00073D7A" w:rsidRDefault="00073D7A" w:rsidP="00073D7A">
      <w:pPr>
        <w:pStyle w:val="Heading3"/>
      </w:pPr>
      <w:r>
        <w:lastRenderedPageBreak/>
        <w:t>1NC – OFF</w:t>
      </w:r>
    </w:p>
    <w:p w14:paraId="08A52AB6" w14:textId="77777777" w:rsidR="00073D7A" w:rsidRDefault="00073D7A" w:rsidP="00073D7A">
      <w:pPr>
        <w:pStyle w:val="Heading4"/>
      </w:pPr>
      <w:r>
        <w:t>Interpretation: The affirmative debater must articulate a distinct ROB in the form of a delineated text in the first affirmative speech.</w:t>
      </w:r>
    </w:p>
    <w:p w14:paraId="436436F3" w14:textId="77777777" w:rsidR="00073D7A" w:rsidRDefault="00073D7A" w:rsidP="00073D7A">
      <w:pPr>
        <w:pStyle w:val="Heading4"/>
      </w:pPr>
      <w:r>
        <w:t>B. Violation: They don’t</w:t>
      </w:r>
    </w:p>
    <w:p w14:paraId="769CCFE8" w14:textId="77777777" w:rsidR="00073D7A" w:rsidRDefault="00073D7A" w:rsidP="00073D7A">
      <w:pPr>
        <w:pStyle w:val="Heading4"/>
      </w:pPr>
      <w:r>
        <w:t>C. Standards:</w:t>
      </w:r>
    </w:p>
    <w:p w14:paraId="78E0E9FE" w14:textId="4948E9ED" w:rsidR="00073D7A" w:rsidRDefault="00073D7A" w:rsidP="00073D7A">
      <w:pPr>
        <w:pStyle w:val="Heading4"/>
      </w:pPr>
      <w:r>
        <w:t>1. Strat Skew – Absent a text in the 1AC, they can read multiple pieces of offense under different ROBs and then read a new one in the 1AR that moots 7 minutes of case and allows them to auto-win with specific offense.</w:t>
      </w:r>
      <w:r w:rsidR="00113C96">
        <w:t xml:space="preserve"> Reading a new 1ar rob is a voter for</w:t>
      </w:r>
      <w:r>
        <w:t xml:space="preserve"> </w:t>
      </w:r>
      <w:r w:rsidR="00113C96">
        <w:t>s</w:t>
      </w:r>
      <w:r>
        <w:t xml:space="preserve">hiftiness </w:t>
      </w:r>
      <w:r w:rsidR="00113C96">
        <w:t>o/</w:t>
      </w:r>
      <w:proofErr w:type="spellStart"/>
      <w:r w:rsidR="00113C96">
        <w:t>ws</w:t>
      </w:r>
      <w:proofErr w:type="spellEnd"/>
      <w:r w:rsidR="00113C96">
        <w:t xml:space="preserve"> </w:t>
      </w:r>
      <w:r>
        <w:t>since it creates an irreversible skew for the negative that can’t be changed.</w:t>
      </w:r>
    </w:p>
    <w:p w14:paraId="677DB912" w14:textId="77777777" w:rsidR="00073D7A" w:rsidRDefault="00073D7A" w:rsidP="00073D7A">
      <w:pPr>
        <w:pStyle w:val="Heading4"/>
      </w:pPr>
      <w:r>
        <w:t xml:space="preserve">CX checks fails- A] Not flowed B] skews 6 min of prep during the </w:t>
      </w:r>
      <w:proofErr w:type="spellStart"/>
      <w:r>
        <w:t>aff</w:t>
      </w:r>
      <w:proofErr w:type="spellEnd"/>
      <w:r>
        <w:t xml:space="preserve"> C] They can proactively lie and there’s no way to check D] debaters can be intentionally shady. </w:t>
      </w:r>
    </w:p>
    <w:p w14:paraId="5D31D4DC" w14:textId="77777777" w:rsidR="00073D7A" w:rsidRDefault="00073D7A" w:rsidP="00073D7A">
      <w:pPr>
        <w:pStyle w:val="Heading4"/>
      </w:pPr>
      <w:r>
        <w:t xml:space="preserve">This spec shell isn’t regressive- it literally determines what the </w:t>
      </w:r>
      <w:proofErr w:type="gramStart"/>
      <w:r>
        <w:t>affirmatives</w:t>
      </w:r>
      <w:proofErr w:type="gramEnd"/>
      <w:r>
        <w:t xml:space="preserve"> framing mechanism is</w:t>
      </w:r>
    </w:p>
    <w:p w14:paraId="7F00631D" w14:textId="77777777" w:rsidR="00073D7A" w:rsidRPr="00073D7A" w:rsidRDefault="00073D7A" w:rsidP="00073D7A"/>
    <w:p w14:paraId="3670DB2C" w14:textId="443A8C17" w:rsidR="00073D7A" w:rsidRDefault="00073D7A" w:rsidP="00073D7A">
      <w:pPr>
        <w:pStyle w:val="Heading3"/>
      </w:pPr>
      <w:r>
        <w:t>1NC – OFF</w:t>
      </w:r>
    </w:p>
    <w:p w14:paraId="189C2EDC" w14:textId="3AB5BBF9" w:rsidR="00F935E5" w:rsidRPr="00C57DB0" w:rsidRDefault="00F935E5" w:rsidP="00F935E5">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w:t>
      </w:r>
      <w:r>
        <w:rPr>
          <w:lang w:val="en-CA"/>
        </w:rPr>
        <w:t xml:space="preserve"> </w:t>
      </w:r>
      <w:proofErr w:type="gramStart"/>
      <w:r>
        <w:rPr>
          <w:lang w:val="en-CA"/>
        </w:rPr>
        <w:t>Thus</w:t>
      </w:r>
      <w:proofErr w:type="gramEnd"/>
      <w:r>
        <w:rPr>
          <w:lang w:val="en-CA"/>
        </w:rPr>
        <w:t xml:space="preserve"> the rob is to disrupt communicative humanism. </w:t>
      </w:r>
      <w:r w:rsidRPr="00C57DB0">
        <w:rPr>
          <w:lang w:val="en-CA"/>
        </w:rPr>
        <w:t xml:space="preserve"> </w:t>
      </w:r>
    </w:p>
    <w:p w14:paraId="3ABE6598" w14:textId="77777777" w:rsidR="00F935E5" w:rsidRPr="00C57DB0" w:rsidRDefault="00F935E5" w:rsidP="00F935E5">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12" w:history="1">
        <w:r w:rsidRPr="00C57DB0">
          <w:rPr>
            <w:sz w:val="16"/>
            <w:szCs w:val="16"/>
          </w:rPr>
          <w:t>https://onlinelibrary.wiley.com/doi/abs/10.1111/comt.12054</w:t>
        </w:r>
      </w:hyperlink>
      <w:r w:rsidRPr="00C57DB0">
        <w:rPr>
          <w:sz w:val="16"/>
          <w:szCs w:val="16"/>
        </w:rPr>
        <w:t xml:space="preserve"> // Xu]</w:t>
      </w:r>
    </w:p>
    <w:p w14:paraId="151D1ADC" w14:textId="11E0F9A3" w:rsidR="00F935E5" w:rsidRPr="00F935E5" w:rsidRDefault="00F935E5" w:rsidP="00F935E5">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proofErr w:type="gramStart"/>
      <w:r w:rsidRPr="00C57DB0">
        <w:rPr>
          <w:rStyle w:val="StyleUnderline"/>
          <w:highlight w:val="green"/>
        </w:rPr>
        <w:t>yet</w:t>
      </w:r>
      <w:r w:rsidRPr="00C57DB0">
        <w:rPr>
          <w:rStyle w:val="StyleUnderline"/>
        </w:rPr>
        <w:t>,</w:t>
      </w:r>
      <w:proofErr w:type="gramEnd"/>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proofErr w:type="gramStart"/>
      <w:r w:rsidRPr="00C57DB0">
        <w:rPr>
          <w:sz w:val="14"/>
        </w:rPr>
        <w:t>principle</w:t>
      </w:r>
      <w:proofErr w:type="gramEnd"/>
      <w:r w:rsidRPr="00C57DB0">
        <w:rPr>
          <w:sz w:val="14"/>
        </w:rPr>
        <w:t xml:space="preserv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xml:space="preserve">. Like its humanist predecessor, and contrary to much of its rhetoric, posthumanism shows signs of structural exclusion dependent on having the right sort of informational body: malleable and flexible. Tony Davis insists that “All humanisms, until now, have </w:t>
      </w:r>
      <w:r w:rsidRPr="00C57DB0">
        <w:rPr>
          <w:sz w:val="14"/>
        </w:rPr>
        <w:lastRenderedPageBreak/>
        <w:t>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 xml:space="preserve">The liberal subject, as Katherine </w:t>
      </w:r>
      <w:proofErr w:type="spellStart"/>
      <w:r w:rsidRPr="00C57DB0">
        <w:rPr>
          <w:sz w:val="14"/>
        </w:rPr>
        <w:t>Hayles</w:t>
      </w:r>
      <w:proofErr w:type="spellEnd"/>
      <w:r w:rsidRPr="00C57DB0">
        <w:rPr>
          <w:sz w:val="14"/>
        </w:rPr>
        <w:t xml:space="preserve">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C57DB0">
        <w:rPr>
          <w:sz w:val="14"/>
        </w:rPr>
        <w:t>Wildon</w:t>
      </w:r>
      <w:proofErr w:type="spellEnd"/>
      <w:r w:rsidRPr="00C57DB0">
        <w:rPr>
          <w:sz w:val="14"/>
        </w:rPr>
        <w:t xml:space="preserve"> </w:t>
      </w:r>
      <w:proofErr w:type="spellStart"/>
      <w:r w:rsidRPr="00C57DB0">
        <w:rPr>
          <w:sz w:val="14"/>
        </w:rPr>
        <w:t>Carr</w:t>
      </w:r>
      <w:proofErr w:type="spellEnd"/>
      <w:r w:rsidRPr="00C57DB0">
        <w:rPr>
          <w:sz w:val="14"/>
        </w:rPr>
        <w:t xml:space="preserve">, a 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C57DB0">
        <w:rPr>
          <w:sz w:val="14"/>
        </w:rPr>
        <w:t>Mladen</w:t>
      </w:r>
      <w:proofErr w:type="spellEnd"/>
      <w:r w:rsidRPr="00C57DB0">
        <w:rPr>
          <w:sz w:val="14"/>
        </w:rPr>
        <w:t xml:space="preserve"> </w:t>
      </w:r>
      <w:proofErr w:type="spellStart"/>
      <w:r w:rsidRPr="00C57DB0">
        <w:rPr>
          <w:sz w:val="14"/>
        </w:rPr>
        <w:t>Dolar</w:t>
      </w:r>
      <w:proofErr w:type="spellEnd"/>
      <w:r w:rsidRPr="00C57DB0">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C57DB0">
        <w:rPr>
          <w:sz w:val="14"/>
        </w:rPr>
        <w:t>Dolar</w:t>
      </w:r>
      <w:proofErr w:type="spellEnd"/>
      <w:r w:rsidRPr="00C57DB0">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C57DB0">
        <w:rPr>
          <w:sz w:val="14"/>
        </w:rPr>
        <w:t>Dolar</w:t>
      </w:r>
      <w:proofErr w:type="spellEnd"/>
      <w:r w:rsidRPr="00C57DB0">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t>
      </w:r>
      <w:r w:rsidRPr="00C57DB0">
        <w:rPr>
          <w:sz w:val="14"/>
        </w:rPr>
        <w:lastRenderedPageBreak/>
        <w:t xml:space="preserve">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 xml:space="preserve">universal” identity and provoking </w:t>
      </w:r>
      <w:r w:rsidRPr="00C57DB0">
        <w:rPr>
          <w:rStyle w:val="StyleUnderline"/>
          <w:highlight w:val="green"/>
        </w:rPr>
        <w:lastRenderedPageBreak/>
        <w:t>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C57DB0">
        <w:rPr>
          <w:sz w:val="14"/>
        </w:rPr>
        <w:t>Nayar</w:t>
      </w:r>
      <w:proofErr w:type="spellEnd"/>
      <w:r w:rsidRPr="00C57DB0">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C57DB0">
        <w:rPr>
          <w:sz w:val="14"/>
        </w:rPr>
        <w:t>Hayles</w:t>
      </w:r>
      <w:proofErr w:type="spellEnd"/>
      <w:r w:rsidRPr="00C57DB0">
        <w:rPr>
          <w:sz w:val="14"/>
        </w:rPr>
        <w:t xml:space="preserve">,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C57DB0">
        <w:rPr>
          <w:sz w:val="14"/>
        </w:rPr>
        <w:t>Dolmage</w:t>
      </w:r>
      <w:proofErr w:type="spellEnd"/>
      <w:r w:rsidRPr="00C57DB0">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C57DB0">
        <w:rPr>
          <w:sz w:val="14"/>
        </w:rPr>
        <w:t>Kafer</w:t>
      </w:r>
      <w:proofErr w:type="spellEnd"/>
      <w:r w:rsidRPr="00C57DB0">
        <w:rPr>
          <w:sz w:val="14"/>
        </w:rPr>
        <w:t xml:space="preserve">,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w:t>
      </w:r>
      <w:proofErr w:type="spellStart"/>
      <w:r w:rsidRPr="00C57DB0">
        <w:rPr>
          <w:sz w:val="14"/>
        </w:rPr>
        <w:t>Hayles</w:t>
      </w:r>
      <w:proofErr w:type="spellEnd"/>
      <w:r w:rsidRPr="00C57DB0">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C57DB0">
        <w:rPr>
          <w:sz w:val="14"/>
        </w:rPr>
        <w:t>Hayles</w:t>
      </w:r>
      <w:proofErr w:type="spellEnd"/>
      <w:r w:rsidRPr="00C57DB0">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C57DB0">
        <w:rPr>
          <w:sz w:val="14"/>
        </w:rPr>
        <w:t>Hayles</w:t>
      </w:r>
      <w:proofErr w:type="spellEnd"/>
      <w:r w:rsidRPr="00C57DB0">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C57DB0">
        <w:rPr>
          <w:sz w:val="14"/>
        </w:rPr>
        <w:t>Hayles</w:t>
      </w:r>
      <w:proofErr w:type="spellEnd"/>
      <w:r w:rsidRPr="00C57DB0">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w:t>
      </w:r>
      <w:r w:rsidRPr="00C57DB0">
        <w:rPr>
          <w:sz w:val="14"/>
        </w:rPr>
        <w:lastRenderedPageBreak/>
        <w:t xml:space="preserve">exclusionary logic of the universal speaker. Yet, if one follows </w:t>
      </w:r>
      <w:proofErr w:type="spellStart"/>
      <w:r w:rsidRPr="00C57DB0">
        <w:rPr>
          <w:sz w:val="14"/>
        </w:rPr>
        <w:t>Dolmage</w:t>
      </w:r>
      <w:proofErr w:type="spellEnd"/>
      <w:r w:rsidRPr="00C57DB0">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C57DB0">
        <w:rPr>
          <w:sz w:val="14"/>
        </w:rPr>
        <w:t>Hayles</w:t>
      </w:r>
      <w:proofErr w:type="spellEnd"/>
      <w:r w:rsidRPr="00C57DB0">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w:t>
      </w:r>
      <w:proofErr w:type="spellStart"/>
      <w:r w:rsidRPr="00C57DB0">
        <w:rPr>
          <w:sz w:val="14"/>
        </w:rPr>
        <w:t>Nayar</w:t>
      </w:r>
      <w:proofErr w:type="spellEnd"/>
      <w:r w:rsidRPr="00C57DB0">
        <w:rPr>
          <w:sz w:val="14"/>
        </w:rPr>
        <w:t xml:space="preserve">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w:t>
      </w:r>
      <w:proofErr w:type="spellStart"/>
      <w:r w:rsidRPr="00C57DB0">
        <w:rPr>
          <w:rStyle w:val="StyleUnderline"/>
        </w:rPr>
        <w:t>Nayar</w:t>
      </w:r>
      <w:proofErr w:type="spellEnd"/>
      <w:r w:rsidRPr="00C57DB0">
        <w:rPr>
          <w:rStyle w:val="StyleUnderline"/>
        </w:rPr>
        <w:t xml:space="preserve"> those </w:t>
      </w:r>
      <w:r w:rsidRPr="00C57DB0">
        <w:rPr>
          <w:rStyle w:val="StyleUnderline"/>
          <w:highlight w:val="green"/>
        </w:rPr>
        <w:t>for which networks do not exist</w:t>
      </w:r>
      <w:r w:rsidRPr="00C57DB0">
        <w:rPr>
          <w:sz w:val="14"/>
        </w:rPr>
        <w:t xml:space="preserve">. While </w:t>
      </w:r>
      <w:proofErr w:type="spellStart"/>
      <w:r w:rsidRPr="00C57DB0">
        <w:rPr>
          <w:sz w:val="14"/>
        </w:rPr>
        <w:t>Nayar’s</w:t>
      </w:r>
      <w:proofErr w:type="spellEnd"/>
      <w:r w:rsidRPr="00C57DB0">
        <w:rPr>
          <w:sz w:val="14"/>
        </w:rPr>
        <w:t xml:space="preserve">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6E56FD10" w14:textId="77777777" w:rsidR="005E10B7" w:rsidRPr="00C57DB0" w:rsidRDefault="005E10B7" w:rsidP="005E10B7">
      <w:pPr>
        <w:pStyle w:val="Heading4"/>
        <w:spacing w:before="0" w:line="276" w:lineRule="auto"/>
      </w:pPr>
      <w:r w:rsidRPr="00C57DB0">
        <w:t>Kant basis his logic on ableist thought by believing able-bodied constructions of “reason” to be the defining factor of dignity</w:t>
      </w:r>
    </w:p>
    <w:p w14:paraId="1A3743B4" w14:textId="77777777" w:rsidR="005E10B7" w:rsidRPr="00C57DB0" w:rsidRDefault="005E10B7" w:rsidP="005E10B7">
      <w:pPr>
        <w:spacing w:line="276" w:lineRule="auto"/>
        <w:rPr>
          <w:rStyle w:val="Style13ptBold"/>
        </w:rPr>
      </w:pPr>
      <w:r w:rsidRPr="00C57DB0">
        <w:rPr>
          <w:rStyle w:val="Style13ptBold"/>
        </w:rPr>
        <w:t>Campbell ‘3</w:t>
      </w:r>
    </w:p>
    <w:p w14:paraId="552D11A7" w14:textId="77777777" w:rsidR="005E10B7" w:rsidRPr="00C57DB0" w:rsidRDefault="005E10B7" w:rsidP="005E10B7">
      <w:pPr>
        <w:spacing w:line="276" w:lineRule="auto"/>
        <w:rPr>
          <w:sz w:val="10"/>
          <w:szCs w:val="10"/>
        </w:rPr>
      </w:pPr>
      <w:r w:rsidRPr="00C57DB0">
        <w:rPr>
          <w:sz w:val="10"/>
          <w:szCs w:val="10"/>
        </w:rPr>
        <w:t>THE GREAT DIVIDE: ABLEISM AND TECHNOLOGIES OF DISABILITY PRODUCTION by Fiona Anne Kumari Campbell B.L.S. (Hons) Latrobe; J.P. (Qual) Qld. Centre for Social Change Research, School of Humanities and Human Services, Queensland University of Technology, Brisbane, Australia. Submitted in full requirement for the award of Doctor of Philosophy (PhD). 2003//KOHS-AG</w:t>
      </w:r>
    </w:p>
    <w:p w14:paraId="3D0B1586" w14:textId="77777777" w:rsidR="005E10B7" w:rsidRPr="00C57DB0" w:rsidRDefault="005E10B7" w:rsidP="005E10B7">
      <w:pPr>
        <w:spacing w:line="276" w:lineRule="auto"/>
        <w:rPr>
          <w:sz w:val="8"/>
        </w:rPr>
      </w:pPr>
      <w:r w:rsidRPr="00C57DB0">
        <w:rPr>
          <w:sz w:val="8"/>
        </w:rPr>
        <w:t>This section discusses the continuities and discontinuities of the formation of the Western self and foregoing concepts of ‘personhood’– and how these notions relate to matters of citizenship, participation in governance and notions of perfectibility and ‘worth’. It is not however meant to be an extended recitation of the ‘self’ within western philosophy</w:t>
      </w:r>
      <w:proofErr w:type="gramStart"/>
      <w:r w:rsidRPr="00C57DB0">
        <w:rPr>
          <w:sz w:val="8"/>
        </w:rPr>
        <w:t>136 .</w:t>
      </w:r>
      <w:proofErr w:type="gramEnd"/>
      <w:r w:rsidRPr="00C57DB0">
        <w:rPr>
          <w:sz w:val="8"/>
        </w:rPr>
        <w:t xml:space="preserve"> Rather, </w:t>
      </w:r>
      <w:r w:rsidRPr="00C57DB0">
        <w:rPr>
          <w:b/>
          <w:u w:val="single"/>
        </w:rPr>
        <w:t>my discussion will be confined to those elements of the liberal subjectification that build up a picture of a hegemonic sovereign self that is inherently ableist</w:t>
      </w:r>
      <w:r w:rsidRPr="00C57DB0">
        <w:rPr>
          <w:sz w:val="8"/>
        </w:rPr>
        <w:t xml:space="preserve">. Probably one of </w:t>
      </w:r>
      <w:r w:rsidRPr="00C57DB0">
        <w:rPr>
          <w:b/>
          <w:u w:val="single"/>
        </w:rPr>
        <w:t xml:space="preserve">the most influential </w:t>
      </w:r>
      <w:proofErr w:type="spellStart"/>
      <w:r w:rsidRPr="00C57DB0">
        <w:rPr>
          <w:b/>
          <w:u w:val="single"/>
        </w:rPr>
        <w:t>figurings</w:t>
      </w:r>
      <w:proofErr w:type="spellEnd"/>
      <w:r w:rsidRPr="00C57DB0">
        <w:rPr>
          <w:b/>
          <w:u w:val="single"/>
        </w:rPr>
        <w:t xml:space="preserve"> of enlightenment ‘man’ can be found in</w:t>
      </w:r>
      <w:r w:rsidRPr="00C57DB0">
        <w:rPr>
          <w:sz w:val="8"/>
        </w:rPr>
        <w:t xml:space="preserve"> the 1784 tract by Immanuel </w:t>
      </w:r>
      <w:r w:rsidRPr="00C57DB0">
        <w:rPr>
          <w:b/>
          <w:u w:val="single"/>
        </w:rPr>
        <w:t>Kant</w:t>
      </w:r>
      <w:r w:rsidRPr="00C57DB0">
        <w:rPr>
          <w:sz w:val="8"/>
        </w:rPr>
        <w:t xml:space="preserve"> entitled ‘What is Enlightenment?</w:t>
      </w:r>
      <w:proofErr w:type="gramStart"/>
      <w:r w:rsidRPr="00C57DB0">
        <w:rPr>
          <w:sz w:val="8"/>
        </w:rPr>
        <w:t>’(</w:t>
      </w:r>
      <w:proofErr w:type="gramEnd"/>
      <w:r w:rsidRPr="00C57DB0">
        <w:rPr>
          <w:sz w:val="8"/>
        </w:rPr>
        <w:t xml:space="preserve">Kant, 1996). In that piece, </w:t>
      </w:r>
      <w:r w:rsidRPr="00C57DB0">
        <w:rPr>
          <w:b/>
          <w:u w:val="single"/>
        </w:rPr>
        <w:t>Kant brought together an exposition of the relationship of full personhood to matters of reason and autonomy</w:t>
      </w:r>
      <w:proofErr w:type="gramStart"/>
      <w:r w:rsidRPr="00C57DB0">
        <w:rPr>
          <w:sz w:val="8"/>
        </w:rPr>
        <w:t>137 .</w:t>
      </w:r>
      <w:proofErr w:type="gramEnd"/>
      <w:r w:rsidRPr="00C57DB0">
        <w:rPr>
          <w:sz w:val="8"/>
        </w:rPr>
        <w:t xml:space="preserve"> </w:t>
      </w:r>
      <w:r w:rsidRPr="00C57DB0">
        <w:rPr>
          <w:b/>
          <w:highlight w:val="green"/>
          <w:u w:val="single"/>
        </w:rPr>
        <w:t>For Kant</w:t>
      </w:r>
      <w:r w:rsidRPr="00C57DB0">
        <w:rPr>
          <w:b/>
          <w:u w:val="single"/>
        </w:rPr>
        <w:t xml:space="preserve"> </w:t>
      </w:r>
      <w:r w:rsidRPr="00C57DB0">
        <w:rPr>
          <w:sz w:val="8"/>
        </w:rPr>
        <w:t xml:space="preserve">the essence of the enlightenment spirit could be summed up in the slogan </w:t>
      </w:r>
      <w:proofErr w:type="spellStart"/>
      <w:r w:rsidRPr="00C57DB0">
        <w:rPr>
          <w:sz w:val="8"/>
        </w:rPr>
        <w:t>Sapere</w:t>
      </w:r>
      <w:proofErr w:type="spellEnd"/>
      <w:r w:rsidRPr="00C57DB0">
        <w:rPr>
          <w:sz w:val="8"/>
        </w:rPr>
        <w:t xml:space="preserve"> </w:t>
      </w:r>
      <w:proofErr w:type="spellStart"/>
      <w:r w:rsidRPr="00C57DB0">
        <w:rPr>
          <w:sz w:val="8"/>
        </w:rPr>
        <w:t>aude</w:t>
      </w:r>
      <w:proofErr w:type="spellEnd"/>
      <w:r w:rsidRPr="00C57DB0">
        <w:rPr>
          <w:sz w:val="8"/>
        </w:rPr>
        <w:t xml:space="preserve">! ‘Have courage to use your own reason!’ This quality supposedly offers the resolution (justification) of conflicts between knowledge and power. As Jane Flax (1992: 447) puts it … </w:t>
      </w:r>
      <w:r w:rsidRPr="00C57DB0">
        <w:rPr>
          <w:b/>
          <w:highlight w:val="green"/>
          <w:u w:val="single"/>
        </w:rPr>
        <w:t>reason</w:t>
      </w:r>
      <w:r w:rsidRPr="00C57DB0">
        <w:rPr>
          <w:sz w:val="8"/>
        </w:rPr>
        <w:t xml:space="preserve"> both represents and </w:t>
      </w:r>
      <w:r w:rsidRPr="00C57DB0">
        <w:rPr>
          <w:b/>
          <w:highlight w:val="green"/>
          <w:u w:val="single"/>
        </w:rPr>
        <w:t>embodies truth</w:t>
      </w:r>
      <w:r w:rsidRPr="00C57DB0">
        <w:rPr>
          <w:sz w:val="8"/>
        </w:rPr>
        <w:t xml:space="preserve">. It partakes of universality in two additional ways: it operates identically in each </w:t>
      </w:r>
      <w:proofErr w:type="gramStart"/>
      <w:r w:rsidRPr="00C57DB0">
        <w:rPr>
          <w:sz w:val="8"/>
        </w:rPr>
        <w:t>subject</w:t>
      </w:r>
      <w:proofErr w:type="gramEnd"/>
      <w:r w:rsidRPr="00C57DB0">
        <w:rPr>
          <w:sz w:val="8"/>
        </w:rPr>
        <w:t xml:space="preserve"> and </w:t>
      </w:r>
      <w:r w:rsidRPr="00C57DB0">
        <w:rPr>
          <w:b/>
          <w:u w:val="single"/>
        </w:rPr>
        <w:t>it can grasp laws</w:t>
      </w:r>
      <w:r w:rsidRPr="00C57DB0">
        <w:rPr>
          <w:sz w:val="8"/>
        </w:rPr>
        <w:t xml:space="preserve"> that are objectively true; that is, are </w:t>
      </w:r>
      <w:r w:rsidRPr="00C57DB0">
        <w:rPr>
          <w:b/>
          <w:u w:val="single"/>
        </w:rPr>
        <w:t>eq</w:t>
      </w:r>
      <w:r w:rsidRPr="00C57DB0">
        <w:rPr>
          <w:b/>
          <w:highlight w:val="green"/>
          <w:u w:val="single"/>
        </w:rPr>
        <w:t>ually knowable</w:t>
      </w:r>
      <w:r w:rsidRPr="00C57DB0">
        <w:rPr>
          <w:b/>
          <w:u w:val="single"/>
        </w:rPr>
        <w:t xml:space="preserve"> and binding </w:t>
      </w:r>
      <w:r w:rsidRPr="00C57DB0">
        <w:rPr>
          <w:b/>
          <w:highlight w:val="green"/>
          <w:u w:val="single"/>
        </w:rPr>
        <w:t>on every person</w:t>
      </w:r>
      <w:r w:rsidRPr="00C57DB0">
        <w:rPr>
          <w:sz w:val="8"/>
        </w:rPr>
        <w:t xml:space="preserve"> … Such truths contain the instructions of comportment; how to act in the world or as Foucault would express it, encode ‘technologies of self.’ The bearer of reason, the disembodied and </w:t>
      </w:r>
      <w:proofErr w:type="spellStart"/>
      <w:r w:rsidRPr="00C57DB0">
        <w:rPr>
          <w:sz w:val="8"/>
        </w:rPr>
        <w:t>universalised</w:t>
      </w:r>
      <w:proofErr w:type="spellEnd"/>
      <w:r w:rsidRPr="00C57DB0">
        <w:rPr>
          <w:sz w:val="8"/>
        </w:rPr>
        <w:t xml:space="preserve"> he-man can arrive at a ‘view from nowhere’138; find authentic enlightenment by discerning the true [objective] nature of things. </w:t>
      </w:r>
      <w:r w:rsidRPr="00C57DB0">
        <w:rPr>
          <w:b/>
          <w:highlight w:val="green"/>
          <w:u w:val="single"/>
        </w:rPr>
        <w:t>Matters of</w:t>
      </w:r>
      <w:r w:rsidRPr="00C57DB0">
        <w:rPr>
          <w:b/>
          <w:u w:val="single"/>
        </w:rPr>
        <w:t xml:space="preserve"> bodily </w:t>
      </w:r>
      <w:proofErr w:type="spellStart"/>
      <w:r w:rsidRPr="00C57DB0">
        <w:rPr>
          <w:b/>
          <w:u w:val="single"/>
        </w:rPr>
        <w:t>locatedness</w:t>
      </w:r>
      <w:proofErr w:type="spellEnd"/>
      <w:r w:rsidRPr="00C57DB0">
        <w:rPr>
          <w:b/>
          <w:u w:val="single"/>
        </w:rPr>
        <w:t xml:space="preserve"> and </w:t>
      </w:r>
      <w:r w:rsidRPr="00C57DB0">
        <w:rPr>
          <w:b/>
          <w:highlight w:val="green"/>
          <w:u w:val="single"/>
        </w:rPr>
        <w:t>situated knowledges are</w:t>
      </w:r>
      <w:r w:rsidRPr="00C57DB0">
        <w:rPr>
          <w:b/>
          <w:u w:val="single"/>
        </w:rPr>
        <w:t xml:space="preserve"> easily </w:t>
      </w:r>
      <w:r w:rsidRPr="00C57DB0">
        <w:rPr>
          <w:b/>
          <w:highlight w:val="green"/>
          <w:u w:val="single"/>
        </w:rPr>
        <w:t xml:space="preserve">sidestepped, reduced to </w:t>
      </w:r>
      <w:r w:rsidRPr="00C57DB0">
        <w:rPr>
          <w:b/>
          <w:u w:val="single"/>
        </w:rPr>
        <w:t xml:space="preserve">the status of </w:t>
      </w:r>
      <w:r w:rsidRPr="00C57DB0">
        <w:rPr>
          <w:b/>
          <w:highlight w:val="green"/>
          <w:u w:val="single"/>
        </w:rPr>
        <w:t>persona non-gratia</w:t>
      </w:r>
      <w:r w:rsidRPr="00C57DB0">
        <w:rPr>
          <w:sz w:val="8"/>
        </w:rPr>
        <w:t xml:space="preserve">. The universal reach of reason139 gains potency when coupled to a self-assured individual autonomy. </w:t>
      </w:r>
      <w:r w:rsidRPr="00C57DB0">
        <w:rPr>
          <w:b/>
          <w:highlight w:val="green"/>
          <w:u w:val="single"/>
        </w:rPr>
        <w:t xml:space="preserve">Reason as truth </w:t>
      </w:r>
      <w:r w:rsidRPr="00C57DB0">
        <w:rPr>
          <w:b/>
          <w:u w:val="single"/>
        </w:rPr>
        <w:t xml:space="preserve">becomes discourse dependent and in turn </w:t>
      </w:r>
      <w:r w:rsidRPr="00C57DB0">
        <w:rPr>
          <w:b/>
          <w:highlight w:val="green"/>
          <w:u w:val="single"/>
        </w:rPr>
        <w:t>generates notions of ‘disability’ and ‘ability’</w:t>
      </w:r>
      <w:r w:rsidRPr="00C57DB0">
        <w:rPr>
          <w:sz w:val="8"/>
        </w:rPr>
        <w:t xml:space="preserve"> (able-</w:t>
      </w:r>
      <w:proofErr w:type="spellStart"/>
      <w:r w:rsidRPr="00C57DB0">
        <w:rPr>
          <w:sz w:val="8"/>
        </w:rPr>
        <w:t>bodiedness</w:t>
      </w:r>
      <w:proofErr w:type="spellEnd"/>
      <w:r w:rsidRPr="00C57DB0">
        <w:rPr>
          <w:sz w:val="8"/>
        </w:rPr>
        <w:t xml:space="preserve">). </w:t>
      </w:r>
      <w:r w:rsidRPr="00C57DB0">
        <w:rPr>
          <w:b/>
          <w:highlight w:val="green"/>
          <w:u w:val="single"/>
        </w:rPr>
        <w:t>The</w:t>
      </w:r>
      <w:r w:rsidRPr="00C57DB0">
        <w:rPr>
          <w:sz w:val="8"/>
        </w:rPr>
        <w:t xml:space="preserve"> human (adult) </w:t>
      </w:r>
      <w:r w:rsidRPr="00C57DB0">
        <w:rPr>
          <w:b/>
          <w:highlight w:val="green"/>
          <w:u w:val="single"/>
        </w:rPr>
        <w:t xml:space="preserve">subject is assumed </w:t>
      </w:r>
      <w:r w:rsidRPr="00C57DB0">
        <w:rPr>
          <w:b/>
          <w:u w:val="single"/>
        </w:rPr>
        <w:t xml:space="preserve">to be </w:t>
      </w:r>
      <w:r w:rsidRPr="00C57DB0">
        <w:rPr>
          <w:b/>
          <w:highlight w:val="green"/>
          <w:u w:val="single"/>
        </w:rPr>
        <w:t xml:space="preserve">an independent </w:t>
      </w:r>
      <w:proofErr w:type="spellStart"/>
      <w:r w:rsidRPr="00C57DB0">
        <w:rPr>
          <w:b/>
          <w:highlight w:val="green"/>
          <w:u w:val="single"/>
        </w:rPr>
        <w:t>centre</w:t>
      </w:r>
      <w:proofErr w:type="spellEnd"/>
      <w:r w:rsidRPr="00C57DB0">
        <w:rPr>
          <w:b/>
          <w:highlight w:val="green"/>
          <w:u w:val="single"/>
        </w:rPr>
        <w:t xml:space="preserve"> of self-consciousness</w:t>
      </w:r>
      <w:r w:rsidRPr="00C57DB0">
        <w:rPr>
          <w:sz w:val="8"/>
        </w:rPr>
        <w:t xml:space="preserve">, who holds autonomy to be intrinsically valuable.140 Neo-liberalism’s normative (autonomous) citizen in the words of C.B. Macpherson (1964: 3) is a nominal ‘possessive individual’: free in as much as he [sic] is proprietor of his person and capacities. The human essence is freedom from dependence on the will of others, and freedom is a function of possession … Society consists of relations of exchange between proprietors (emphasis added). This imaging of the neo-liberal subject insists that all people fit Macpherson’s regulatory ideal. It is probably more correct to say that </w:t>
      </w:r>
      <w:r w:rsidRPr="00C57DB0">
        <w:rPr>
          <w:b/>
          <w:u w:val="single"/>
        </w:rPr>
        <w:t xml:space="preserve">the thrust of shaping </w:t>
      </w:r>
      <w:r w:rsidRPr="00C57DB0">
        <w:rPr>
          <w:b/>
          <w:highlight w:val="green"/>
          <w:u w:val="single"/>
        </w:rPr>
        <w:t>identity is geared towards a</w:t>
      </w:r>
      <w:r w:rsidRPr="00C57DB0">
        <w:rPr>
          <w:b/>
          <w:u w:val="single"/>
        </w:rPr>
        <w:t xml:space="preserve"> ‘best fit’, </w:t>
      </w:r>
      <w:r w:rsidRPr="00C57DB0">
        <w:rPr>
          <w:b/>
          <w:highlight w:val="green"/>
          <w:u w:val="single"/>
        </w:rPr>
        <w:t>normalizing</w:t>
      </w:r>
      <w:r w:rsidRPr="00C57DB0">
        <w:rPr>
          <w:b/>
          <w:u w:val="single"/>
        </w:rPr>
        <w:t xml:space="preserve"> or morphed </w:t>
      </w:r>
      <w:r w:rsidRPr="00C57DB0">
        <w:rPr>
          <w:b/>
          <w:highlight w:val="green"/>
          <w:u w:val="single"/>
        </w:rPr>
        <w:t>approach. The</w:t>
      </w:r>
      <w:r w:rsidRPr="00C57DB0">
        <w:rPr>
          <w:b/>
          <w:u w:val="single"/>
        </w:rPr>
        <w:t xml:space="preserve"> tool of comparison, of normativity is the ‘</w:t>
      </w:r>
      <w:r w:rsidRPr="00C57DB0">
        <w:rPr>
          <w:b/>
          <w:highlight w:val="green"/>
          <w:u w:val="single"/>
        </w:rPr>
        <w:t>benchmark man,</w:t>
      </w:r>
      <w:r w:rsidRPr="00C57DB0">
        <w:rPr>
          <w:b/>
          <w:u w:val="single"/>
        </w:rPr>
        <w:t>’ the normative citizen who</w:t>
      </w:r>
      <w:r w:rsidRPr="00C57DB0">
        <w:rPr>
          <w:sz w:val="8"/>
        </w:rPr>
        <w:t xml:space="preserve"> is …the paradigmatic incarnation of legality who </w:t>
      </w:r>
      <w:r w:rsidRPr="00C57DB0">
        <w:rPr>
          <w:b/>
          <w:u w:val="single"/>
        </w:rPr>
        <w:t xml:space="preserve">represents the standard against whom others are measured and who </w:t>
      </w:r>
      <w:r w:rsidRPr="00C57DB0">
        <w:rPr>
          <w:b/>
          <w:highlight w:val="green"/>
          <w:u w:val="single"/>
        </w:rPr>
        <w:t xml:space="preserve">is invariably </w:t>
      </w:r>
      <w:r w:rsidRPr="00C57DB0">
        <w:rPr>
          <w:b/>
          <w:u w:val="single"/>
        </w:rPr>
        <w:t>White</w:t>
      </w:r>
      <w:r w:rsidRPr="00C57DB0">
        <w:rPr>
          <w:b/>
          <w:highlight w:val="green"/>
          <w:u w:val="single"/>
        </w:rPr>
        <w:t xml:space="preserve">, heterosexual, able-bodied, </w:t>
      </w:r>
      <w:r w:rsidRPr="00C57DB0">
        <w:rPr>
          <w:b/>
          <w:u w:val="single"/>
        </w:rPr>
        <w:t>politically conservative, and middle class</w:t>
      </w:r>
      <w:r w:rsidRPr="00C57DB0">
        <w:rPr>
          <w:sz w:val="8"/>
        </w:rPr>
        <w:t xml:space="preserve"> (Thornton, 1996: 2). In turn, philosophical formulations of autonomy are often associated with </w:t>
      </w:r>
      <w:proofErr w:type="gramStart"/>
      <w:r w:rsidRPr="00C57DB0">
        <w:rPr>
          <w:sz w:val="8"/>
        </w:rPr>
        <w:t>particular conceptions</w:t>
      </w:r>
      <w:proofErr w:type="gramEnd"/>
      <w:r w:rsidRPr="00C57DB0">
        <w:rPr>
          <w:sz w:val="8"/>
        </w:rPr>
        <w:t xml:space="preserve"> of freedom. For the moment though we can say that autonomy is “the capacity to formulate and pursue plans and purposes which are self-determined” (Stainton, 1994: 21). On this basis, </w:t>
      </w:r>
      <w:r w:rsidRPr="00C57DB0">
        <w:rPr>
          <w:b/>
          <w:highlight w:val="green"/>
          <w:u w:val="single"/>
        </w:rPr>
        <w:t>autonomy</w:t>
      </w:r>
      <w:r w:rsidRPr="00C57DB0">
        <w:rPr>
          <w:b/>
          <w:u w:val="single"/>
        </w:rPr>
        <w:t xml:space="preserve"> as a form of self-rule </w:t>
      </w:r>
      <w:r w:rsidRPr="00C57DB0">
        <w:rPr>
          <w:b/>
          <w:highlight w:val="green"/>
          <w:u w:val="single"/>
        </w:rPr>
        <w:t>becomes problematic</w:t>
      </w:r>
      <w:r w:rsidRPr="00C57DB0">
        <w:rPr>
          <w:b/>
          <w:u w:val="single"/>
        </w:rPr>
        <w:t xml:space="preserve"> in certain stances </w:t>
      </w:r>
      <w:r w:rsidRPr="00C57DB0">
        <w:rPr>
          <w:b/>
          <w:highlight w:val="green"/>
          <w:u w:val="single"/>
        </w:rPr>
        <w:t>for person’s whose</w:t>
      </w:r>
      <w:r w:rsidRPr="00C57DB0">
        <w:rPr>
          <w:b/>
          <w:u w:val="single"/>
        </w:rPr>
        <w:t xml:space="preserve"> state of </w:t>
      </w:r>
      <w:r w:rsidRPr="00C57DB0">
        <w:rPr>
          <w:b/>
          <w:highlight w:val="green"/>
          <w:u w:val="single"/>
        </w:rPr>
        <w:t>being differs from the norm</w:t>
      </w:r>
      <w:r w:rsidRPr="00C57DB0">
        <w:rPr>
          <w:sz w:val="8"/>
        </w:rPr>
        <w:t>141. John Law (1999) reminds us of the consequences and harshness of liberalism’s formulation of legitimate personhood: … if a person measures up, or can be made to measure up, in these respects, then they become competent. If not, then they fail. All of which is, to put it mildly, a drastic divide. A divide, then, which resonates with the liberal concern with persons: but also operates as its dark side.</w:t>
      </w:r>
    </w:p>
    <w:p w14:paraId="21E7643F" w14:textId="77777777" w:rsidR="005E10B7" w:rsidRPr="00C57DB0" w:rsidRDefault="005E10B7" w:rsidP="005E10B7">
      <w:pPr>
        <w:pStyle w:val="Heading4"/>
        <w:spacing w:before="0" w:line="276" w:lineRule="auto"/>
        <w:rPr>
          <w:rFonts w:asciiTheme="minorHAnsi" w:hAnsiTheme="minorHAnsi" w:cstheme="minorHAnsi"/>
        </w:rPr>
      </w:pPr>
      <w:r w:rsidRPr="00C57DB0">
        <w:rPr>
          <w:rFonts w:asciiTheme="minorHAnsi" w:hAnsiTheme="minorHAnsi" w:cstheme="minorHAnsi"/>
        </w:rPr>
        <w:lastRenderedPageBreak/>
        <w:t xml:space="preserve">The Kantian notion of epistemological certainty projects ontological stigmas against what they perceive as disabled. The notion of </w:t>
      </w:r>
      <w:proofErr w:type="spellStart"/>
      <w:r w:rsidRPr="00C57DB0">
        <w:rPr>
          <w:rFonts w:asciiTheme="minorHAnsi" w:hAnsiTheme="minorHAnsi" w:cstheme="minorHAnsi"/>
        </w:rPr>
        <w:t>self knowledge</w:t>
      </w:r>
      <w:proofErr w:type="spellEnd"/>
      <w:r w:rsidRPr="00C57DB0">
        <w:rPr>
          <w:rFonts w:asciiTheme="minorHAnsi" w:hAnsiTheme="minorHAnsi" w:cstheme="minorHAnsi"/>
        </w:rPr>
        <w:t xml:space="preserve"> is negated by the disability drive. Instead, adopt epistemological disablement, which posits disability as constitutive to the subject. </w:t>
      </w:r>
    </w:p>
    <w:p w14:paraId="44FD94D6" w14:textId="77777777" w:rsidR="005E10B7" w:rsidRPr="00C57DB0" w:rsidRDefault="005E10B7" w:rsidP="005E10B7">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Mollow</w:t>
      </w:r>
      <w:proofErr w:type="spellEnd"/>
      <w:r w:rsidRPr="00C57DB0">
        <w:rPr>
          <w:rFonts w:asciiTheme="minorHAnsi" w:hAnsiTheme="minorHAnsi" w:cstheme="minorHAnsi"/>
          <w:b/>
          <w:bCs/>
        </w:rPr>
        <w:t xml:space="preserve"> 15</w:t>
      </w:r>
      <w:r w:rsidRPr="00C57DB0">
        <w:rPr>
          <w:rFonts w:asciiTheme="minorHAnsi" w:hAnsiTheme="minorHAnsi" w:cstheme="minorHAnsi"/>
          <w:sz w:val="16"/>
          <w:szCs w:val="16"/>
        </w:rPr>
        <w:t xml:space="preserve">[Anna </w:t>
      </w:r>
      <w:proofErr w:type="spellStart"/>
      <w:proofErr w:type="gramStart"/>
      <w:r w:rsidRPr="00C57DB0">
        <w:rPr>
          <w:rFonts w:asciiTheme="minorHAnsi" w:hAnsiTheme="minorHAnsi" w:cstheme="minorHAnsi"/>
          <w:sz w:val="16"/>
          <w:szCs w:val="16"/>
        </w:rPr>
        <w:t>Mollow</w:t>
      </w:r>
      <w:proofErr w:type="spellEnd"/>
      <w:r w:rsidRPr="00C57DB0">
        <w:rPr>
          <w:rFonts w:asciiTheme="minorHAnsi" w:hAnsiTheme="minorHAnsi" w:cstheme="minorHAnsi"/>
          <w:sz w:val="16"/>
          <w:szCs w:val="16"/>
        </w:rPr>
        <w:t>(</w:t>
      </w:r>
      <w:proofErr w:type="gramEnd"/>
      <w:r w:rsidRPr="00C57DB0">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13"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 Xu]</w:t>
      </w:r>
    </w:p>
    <w:p w14:paraId="37532CF4" w14:textId="39A46ED1" w:rsidR="00073D7A" w:rsidRPr="005E10B7" w:rsidRDefault="005E10B7" w:rsidP="005E10B7">
      <w:pPr>
        <w:spacing w:line="276" w:lineRule="auto"/>
        <w:rPr>
          <w:rFonts w:asciiTheme="minorHAnsi" w:hAnsiTheme="minorHAnsi" w:cstheme="minorHAnsi"/>
          <w:b/>
          <w:iCs/>
          <w:u w:val="single"/>
        </w:rPr>
      </w:pPr>
      <w:r w:rsidRPr="00C57DB0">
        <w:rPr>
          <w:rFonts w:asciiTheme="minorHAnsi" w:hAnsiTheme="minorHAnsi" w:cstheme="minorHAnsi"/>
          <w:sz w:val="14"/>
        </w:rPr>
        <w:t xml:space="preserve">Ambivalent encounters with disability point to a possibility that is at the heart of psychoanalytic theory: </w:t>
      </w:r>
      <w:r w:rsidRPr="00C57DB0">
        <w:rPr>
          <w:rStyle w:val="Emphasis"/>
          <w:rFonts w:asciiTheme="minorHAnsi" w:hAnsiTheme="minorHAnsi" w:cstheme="minorHAnsi"/>
          <w:highlight w:val="green"/>
        </w:rPr>
        <w:t>our psyches</w:t>
      </w:r>
      <w:r w:rsidRPr="00C57DB0">
        <w:rPr>
          <w:rStyle w:val="Emphasis"/>
          <w:rFonts w:asciiTheme="minorHAnsi" w:hAnsiTheme="minorHAnsi" w:cstheme="minorHAnsi"/>
        </w:rPr>
        <w:t xml:space="preserve"> may be set up in ways that </w:t>
      </w:r>
      <w:r w:rsidRPr="00C57DB0">
        <w:rPr>
          <w:rStyle w:val="Emphasis"/>
          <w:rFonts w:asciiTheme="minorHAnsi" w:hAnsiTheme="minorHAnsi" w:cstheme="minorHAnsi"/>
          <w:highlight w:val="green"/>
        </w:rPr>
        <w:t>make us</w:t>
      </w:r>
      <w:r w:rsidRPr="00C57DB0">
        <w:rPr>
          <w:rStyle w:val="Emphasis"/>
          <w:rFonts w:asciiTheme="minorHAnsi" w:hAnsiTheme="minorHAnsi" w:cstheme="minorHAnsi"/>
        </w:rPr>
        <w:t xml:space="preserve"> innately </w:t>
      </w:r>
      <w:r w:rsidRPr="00C57DB0">
        <w:rPr>
          <w:rStyle w:val="Emphasis"/>
          <w:rFonts w:asciiTheme="minorHAnsi" w:hAnsiTheme="minorHAnsi" w:cstheme="minorHAnsi"/>
          <w:highlight w:val="green"/>
        </w:rPr>
        <w:t>disabled</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Freud‟s</w:t>
      </w:r>
      <w:proofErr w:type="spellEnd"/>
      <w:r w:rsidRPr="00C57DB0">
        <w:rPr>
          <w:rStyle w:val="Emphasis"/>
          <w:rFonts w:asciiTheme="minorHAnsi" w:hAnsiTheme="minorHAnsi" w:cstheme="minorHAnsi"/>
        </w:rPr>
        <w:t xml:space="preserve"> theory of the death drive suggests that </w:t>
      </w:r>
      <w:r w:rsidRPr="00C57DB0">
        <w:rPr>
          <w:rStyle w:val="Emphasis"/>
          <w:rFonts w:asciiTheme="minorHAnsi" w:hAnsiTheme="minorHAnsi" w:cstheme="minorHAnsi"/>
          <w:highlight w:val="green"/>
        </w:rPr>
        <w:t>we are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driven by a force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threatens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our</w:t>
      </w:r>
      <w:r w:rsidRPr="00C57DB0">
        <w:rPr>
          <w:rStyle w:val="Emphasis"/>
          <w:rFonts w:asciiTheme="minorHAnsi" w:hAnsiTheme="minorHAnsi" w:cstheme="minorHAnsi"/>
        </w:rPr>
        <w:t xml:space="preserve"> socially recognizable </w:t>
      </w:r>
      <w:proofErr w:type="gramStart"/>
      <w:r w:rsidRPr="00C57DB0">
        <w:rPr>
          <w:rStyle w:val="Emphasis"/>
          <w:rFonts w:asciiTheme="minorHAnsi" w:hAnsiTheme="minorHAnsi" w:cstheme="minorHAnsi"/>
          <w:highlight w:val="green"/>
        </w:rPr>
        <w:t>selves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but</w:t>
      </w:r>
      <w:proofErr w:type="gramEnd"/>
      <w:r w:rsidRPr="00C57DB0">
        <w:rPr>
          <w:rStyle w:val="Emphasis"/>
          <w:rFonts w:asciiTheme="minorHAnsi" w:hAnsiTheme="minorHAnsi" w:cstheme="minorHAnsi"/>
        </w:rPr>
        <w:t xml:space="preserve"> are at the same time </w:t>
      </w:r>
      <w:r w:rsidRPr="00C57DB0">
        <w:rPr>
          <w:rStyle w:val="Emphasis"/>
          <w:rFonts w:asciiTheme="minorHAnsi" w:hAnsiTheme="minorHAnsi" w:cstheme="minorHAnsi"/>
          <w:highlight w:val="green"/>
        </w:rPr>
        <w:t>prevented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from</w:t>
      </w:r>
      <w:r w:rsidRPr="00C57DB0">
        <w:rPr>
          <w:rStyle w:val="Emphasis"/>
          <w:rFonts w:asciiTheme="minorHAnsi" w:hAnsiTheme="minorHAnsi" w:cstheme="minorHAnsi"/>
        </w:rPr>
        <w:t xml:space="preserve"> fully </w:t>
      </w:r>
      <w:r w:rsidRPr="00C57DB0">
        <w:rPr>
          <w:rStyle w:val="Emphasis"/>
          <w:rFonts w:asciiTheme="minorHAnsi" w:hAnsiTheme="minorHAnsi" w:cstheme="minorHAnsi"/>
          <w:highlight w:val="green"/>
        </w:rPr>
        <w:t>perceiving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this </w:t>
      </w:r>
      <w:proofErr w:type="spellStart"/>
      <w:r w:rsidRPr="00C57DB0">
        <w:rPr>
          <w:rStyle w:val="Emphasis"/>
          <w:rFonts w:asciiTheme="minorHAnsi" w:hAnsiTheme="minorHAnsi" w:cstheme="minorHAnsi"/>
          <w:highlight w:val="green"/>
        </w:rPr>
        <w:t>drive</w:t>
      </w:r>
      <w:r w:rsidRPr="00C57DB0">
        <w:rPr>
          <w:rStyle w:val="Emphasis"/>
          <w:rFonts w:asciiTheme="minorHAnsi" w:hAnsiTheme="minorHAnsi" w:cstheme="minorHAnsi"/>
        </w:rPr>
        <w:t>nness</w:t>
      </w:r>
      <w:proofErr w:type="spellEnd"/>
      <w:r w:rsidRPr="00C57DB0">
        <w:rPr>
          <w:rStyle w:val="Emphasis"/>
          <w:rFonts w:asciiTheme="minorHAnsi" w:hAnsiTheme="minorHAnsi" w:cstheme="minorHAnsi"/>
        </w:rPr>
        <w:t xml:space="preserve"> in ourselves. Always, </w:t>
      </w:r>
      <w:r w:rsidRPr="00C57DB0">
        <w:rPr>
          <w:rStyle w:val="Emphasis"/>
          <w:rFonts w:asciiTheme="minorHAnsi" w:hAnsiTheme="minorHAnsi" w:cstheme="minorHAnsi"/>
          <w:highlight w:val="green"/>
        </w:rPr>
        <w:t xml:space="preserve">it will be easier to allow that “someone else” may be under the sway of a self-undoing </w:t>
      </w:r>
      <w:r w:rsidRPr="00C57DB0">
        <w:rPr>
          <w:rStyle w:val="Emphasis"/>
          <w:rFonts w:asciiTheme="minorHAnsi" w:hAnsiTheme="minorHAnsi" w:cstheme="minorHAnsi"/>
        </w:rPr>
        <w:t>compulsion toward</w:t>
      </w:r>
      <w:r w:rsidRPr="00C57DB0">
        <w:rPr>
          <w:rStyle w:val="Emphasis"/>
          <w:rFonts w:asciiTheme="minorHAnsi" w:hAnsiTheme="minorHAnsi" w:cstheme="minorHAnsi"/>
          <w:highlight w:val="green"/>
        </w:rPr>
        <w:t xml:space="preserve"> disability than </w:t>
      </w:r>
      <w:r w:rsidRPr="00C57DB0">
        <w:rPr>
          <w:rStyle w:val="Emphasis"/>
          <w:rFonts w:asciiTheme="minorHAnsi" w:hAnsiTheme="minorHAnsi" w:cstheme="minorHAnsi"/>
        </w:rPr>
        <w:t xml:space="preserve">to imagine </w:t>
      </w:r>
      <w:proofErr w:type="gramStart"/>
      <w:r w:rsidRPr="00C57DB0">
        <w:rPr>
          <w:rStyle w:val="Emphasis"/>
          <w:rFonts w:asciiTheme="minorHAnsi" w:hAnsiTheme="minorHAnsi" w:cstheme="minorHAnsi"/>
          <w:highlight w:val="green"/>
        </w:rPr>
        <w:t>ourselves</w:t>
      </w:r>
      <w:proofErr w:type="gramEnd"/>
      <w:r w:rsidRPr="00C57DB0">
        <w:rPr>
          <w:rStyle w:val="Emphasis"/>
          <w:rFonts w:asciiTheme="minorHAnsi" w:hAnsiTheme="minorHAnsi" w:cstheme="minorHAnsi"/>
          <w:highlight w:val="green"/>
        </w:rPr>
        <w:t xml:space="preserve"> as </w:t>
      </w:r>
      <w:r w:rsidRPr="00C57DB0">
        <w:rPr>
          <w:rStyle w:val="Emphasis"/>
          <w:rFonts w:asciiTheme="minorHAnsi" w:hAnsiTheme="minorHAnsi" w:cstheme="minorHAnsi"/>
        </w:rPr>
        <w:t xml:space="preserve">similarly </w:t>
      </w:r>
      <w:r w:rsidRPr="00C57DB0">
        <w:rPr>
          <w:rStyle w:val="Emphasis"/>
          <w:rFonts w:asciiTheme="minorHAnsi" w:hAnsiTheme="minorHAnsi" w:cstheme="minorHAnsi"/>
          <w:highlight w:val="green"/>
        </w:rPr>
        <w:t>driven.</w:t>
      </w:r>
      <w:r w:rsidRPr="00C57DB0">
        <w:rPr>
          <w:rFonts w:asciiTheme="minorHAnsi" w:hAnsiTheme="minorHAnsi" w:cstheme="minorHAnsi"/>
          <w:sz w:val="14"/>
        </w:rPr>
        <w:t xml:space="preserve"> </w:t>
      </w:r>
      <w:r w:rsidRPr="00C57DB0">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C57DB0">
        <w:rPr>
          <w:rStyle w:val="Emphasis"/>
          <w:rFonts w:asciiTheme="minorHAnsi" w:hAnsiTheme="minorHAnsi" w:cstheme="minorHAnsi"/>
          <w:highlight w:val="green"/>
        </w:rPr>
        <w:t>when</w:t>
      </w:r>
      <w:r w:rsidRPr="00C57DB0">
        <w:rPr>
          <w:rStyle w:val="Emphasis"/>
          <w:rFonts w:asciiTheme="minorHAnsi" w:hAnsiTheme="minorHAnsi" w:cstheme="minorHAnsi"/>
        </w:rPr>
        <w:t xml:space="preserve"> individuals and social </w:t>
      </w:r>
      <w:r w:rsidRPr="00C57DB0">
        <w:rPr>
          <w:rStyle w:val="Emphasis"/>
          <w:rFonts w:asciiTheme="minorHAnsi" w:hAnsiTheme="minorHAnsi" w:cstheme="minorHAnsi"/>
          <w:highlight w:val="green"/>
        </w:rPr>
        <w:t>movements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imagine</w:t>
      </w:r>
      <w:r w:rsidRPr="00C57DB0">
        <w:rPr>
          <w:rStyle w:val="Emphasis"/>
          <w:rFonts w:asciiTheme="minorHAnsi" w:hAnsiTheme="minorHAnsi" w:cstheme="minorHAnsi"/>
        </w:rPr>
        <w:t xml:space="preserve"> themselves </w:t>
      </w:r>
      <w:r w:rsidRPr="00C57DB0">
        <w:rPr>
          <w:rStyle w:val="Emphasis"/>
          <w:rFonts w:asciiTheme="minorHAnsi" w:hAnsiTheme="minorHAnsi" w:cstheme="minorHAnsi"/>
          <w:highlight w:val="green"/>
        </w:rPr>
        <w:t>as not subject to the disability drive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their</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projects</w:t>
      </w:r>
      <w:r w:rsidRPr="00C57DB0">
        <w:rPr>
          <w:rStyle w:val="Emphasis"/>
          <w:rFonts w:asciiTheme="minorHAnsi" w:hAnsiTheme="minorHAnsi" w:cstheme="minorHAnsi"/>
        </w:rPr>
        <w:t xml:space="preserve"> almost invariably have the effect of </w:t>
      </w:r>
      <w:r w:rsidRPr="00C57DB0">
        <w:rPr>
          <w:rStyle w:val="Emphasis"/>
          <w:rFonts w:asciiTheme="minorHAnsi" w:hAnsiTheme="minorHAnsi" w:cstheme="minorHAnsi"/>
          <w:highlight w:val="green"/>
        </w:rPr>
        <w:t>stigmatiz</w:t>
      </w:r>
      <w:r w:rsidRPr="00C57DB0">
        <w:rPr>
          <w:rStyle w:val="Emphasis"/>
          <w:rFonts w:asciiTheme="minorHAnsi" w:hAnsiTheme="minorHAnsi" w:cstheme="minorHAnsi"/>
        </w:rPr>
        <w:t xml:space="preserve">ing </w:t>
      </w:r>
      <w:r w:rsidRPr="00C57DB0">
        <w:rPr>
          <w:rStyle w:val="Emphasis"/>
          <w:rFonts w:asciiTheme="minorHAnsi" w:hAnsiTheme="minorHAnsi" w:cstheme="minorHAnsi"/>
          <w:highlight w:val="green"/>
        </w:rPr>
        <w:t>other</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abjected</w:t>
      </w:r>
      <w:proofErr w:type="spellEnd"/>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subjects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who come to be read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as</w:t>
      </w:r>
      <w:r w:rsidRPr="00C57DB0">
        <w:rPr>
          <w:rStyle w:val="Emphasis"/>
          <w:rFonts w:asciiTheme="minorHAnsi" w:hAnsiTheme="minorHAnsi" w:cstheme="minorHAnsi"/>
        </w:rPr>
        <w:t xml:space="preserve"> emblems of this disavowed and </w:t>
      </w:r>
      <w:r w:rsidRPr="00C57DB0">
        <w:rPr>
          <w:rStyle w:val="Emphasis"/>
          <w:rFonts w:asciiTheme="minorHAnsi" w:hAnsiTheme="minorHAnsi" w:cstheme="minorHAnsi"/>
          <w:highlight w:val="green"/>
        </w:rPr>
        <w:t>disabling compulsion</w:t>
      </w:r>
      <w:r w:rsidRPr="00C57DB0">
        <w:rPr>
          <w:rStyle w:val="Emphasis"/>
          <w:rFonts w:asciiTheme="minorHAnsi" w:hAnsiTheme="minorHAnsi" w:cstheme="minorHAnsi"/>
        </w:rPr>
        <w:t>.</w:t>
      </w:r>
      <w:r w:rsidRPr="00C57DB0">
        <w:rPr>
          <w:rFonts w:asciiTheme="minorHAnsi" w:hAnsiTheme="minorHAnsi" w:cstheme="minorHAnsi"/>
          <w:sz w:val="14"/>
        </w:rPr>
        <w:t xml:space="preserve"> This thesis attempts to upset the impulse to overcome the disability drive. Rather than “putting the „ability‟ back in „</w:t>
      </w:r>
      <w:proofErr w:type="gramStart"/>
      <w:r w:rsidRPr="00C57DB0">
        <w:rPr>
          <w:rFonts w:asciiTheme="minorHAnsi" w:hAnsiTheme="minorHAnsi" w:cstheme="minorHAnsi"/>
          <w:sz w:val="14"/>
        </w:rPr>
        <w:t>disability,‟</w:t>
      </w:r>
      <w:proofErr w:type="gramEnd"/>
      <w:r w:rsidRPr="00C57DB0">
        <w:rPr>
          <w:rFonts w:asciiTheme="minorHAnsi" w:hAnsiTheme="minorHAnsi" w:cstheme="minorHAnsi"/>
          <w:sz w:val="14"/>
        </w:rPr>
        <w:t xml:space="preserve">” the sexual model of disability underscores the disability that may inhere in subjectivity itself, regardless of whether a given individual or political movement identifies as “disabled” or “nondisabled.”17 How, then, might </w:t>
      </w:r>
      <w:r w:rsidRPr="00C57DB0">
        <w:rPr>
          <w:rStyle w:val="Emphasis"/>
          <w:rFonts w:asciiTheme="minorHAnsi" w:hAnsiTheme="minorHAnsi" w:cstheme="minorHAnsi"/>
          <w:highlight w:val="green"/>
        </w:rPr>
        <w:t>we begin to acknowledge</w:t>
      </w:r>
      <w:r w:rsidRPr="00C57DB0">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C57DB0">
        <w:rPr>
          <w:rStyle w:val="Emphasis"/>
          <w:rFonts w:asciiTheme="minorHAnsi" w:hAnsiTheme="minorHAnsi" w:cstheme="minorHAnsi"/>
        </w:rPr>
        <w:t>The term “</w:t>
      </w:r>
      <w:r w:rsidRPr="00C57DB0">
        <w:rPr>
          <w:rStyle w:val="Emphasis"/>
          <w:rFonts w:asciiTheme="minorHAnsi" w:hAnsiTheme="minorHAnsi" w:cstheme="minorHAnsi"/>
          <w:highlight w:val="green"/>
        </w:rPr>
        <w:t>epistemological disablement</w:t>
      </w:r>
      <w:r w:rsidRPr="00C57DB0">
        <w:rPr>
          <w:rStyle w:val="Emphasis"/>
          <w:rFonts w:asciiTheme="minorHAnsi" w:hAnsiTheme="minorHAnsi" w:cstheme="minorHAnsi"/>
        </w:rPr>
        <w:t xml:space="preserve">” will appear frequently in this dissertation, as I will argue that coming into </w:t>
      </w:r>
      <w:proofErr w:type="gramStart"/>
      <w:r w:rsidRPr="00C57DB0">
        <w:rPr>
          <w:rStyle w:val="Emphasis"/>
          <w:rFonts w:asciiTheme="minorHAnsi" w:hAnsiTheme="minorHAnsi" w:cstheme="minorHAnsi"/>
        </w:rPr>
        <w:t>close proximity</w:t>
      </w:r>
      <w:proofErr w:type="gramEnd"/>
      <w:r w:rsidRPr="00C57DB0">
        <w:rPr>
          <w:rStyle w:val="Emphasis"/>
          <w:rFonts w:asciiTheme="minorHAnsi" w:hAnsiTheme="minorHAnsi" w:cstheme="minorHAnsi"/>
        </w:rPr>
        <w:t xml:space="preserve"> with </w:t>
      </w:r>
      <w:r w:rsidRPr="00C57DB0">
        <w:rPr>
          <w:rStyle w:val="Emphasis"/>
          <w:rFonts w:asciiTheme="minorHAnsi" w:hAnsiTheme="minorHAnsi" w:cstheme="minorHAnsi"/>
          <w:highlight w:val="green"/>
        </w:rPr>
        <w:t>the disability drive produces</w:t>
      </w:r>
      <w:r w:rsidRPr="00C57DB0">
        <w:rPr>
          <w:rStyle w:val="Emphasis"/>
          <w:rFonts w:asciiTheme="minorHAnsi" w:hAnsiTheme="minorHAnsi" w:cstheme="minorHAnsi"/>
        </w:rPr>
        <w:t xml:space="preserve"> states of cognitive and affective </w:t>
      </w:r>
      <w:r w:rsidRPr="00C57DB0">
        <w:rPr>
          <w:rStyle w:val="Emphasis"/>
          <w:rFonts w:asciiTheme="minorHAnsi" w:hAnsiTheme="minorHAnsi" w:cstheme="minorHAnsi"/>
          <w:highlight w:val="green"/>
        </w:rPr>
        <w:t>uncertainty</w:t>
      </w:r>
      <w:r w:rsidRPr="00C57DB0">
        <w:rPr>
          <w:rStyle w:val="Emphasis"/>
          <w:rFonts w:asciiTheme="minorHAnsi" w:hAnsiTheme="minorHAnsi" w:cstheme="minorHAnsi"/>
        </w:rPr>
        <w:t xml:space="preserve">, confusion, and incapacity that are </w:t>
      </w:r>
      <w:r w:rsidRPr="00C57DB0">
        <w:rPr>
          <w:rStyle w:val="Emphasis"/>
          <w:rFonts w:asciiTheme="minorHAnsi" w:hAnsiTheme="minorHAnsi" w:cstheme="minorHAnsi"/>
          <w:highlight w:val="green"/>
        </w:rPr>
        <w:t>akin to disability</w:t>
      </w:r>
      <w:r w:rsidRPr="00C57DB0">
        <w:rPr>
          <w:rStyle w:val="Emphasis"/>
          <w:rFonts w:asciiTheme="minorHAnsi" w:hAnsiTheme="minorHAnsi" w:cstheme="minorHAnsi"/>
        </w:rPr>
        <w:t xml:space="preserve">. </w:t>
      </w:r>
      <w:r w:rsidRPr="00C57DB0">
        <w:rPr>
          <w:rFonts w:asciiTheme="minorHAnsi" w:hAnsiTheme="minorHAnsi" w:cstheme="minorHAnsi"/>
          <w:sz w:val="14"/>
        </w:rPr>
        <w:t xml:space="preserve">In the works that I shall analyze, epistemological disablement will often be performed on a textual level, as theorists and narrators seem to lose control of what they want to say about disability. </w:t>
      </w:r>
      <w:r w:rsidRPr="00C57DB0">
        <w:rPr>
          <w:rStyle w:val="Emphasis"/>
          <w:rFonts w:asciiTheme="minorHAnsi" w:hAnsiTheme="minorHAnsi" w:cstheme="minorHAnsi"/>
        </w:rPr>
        <w:t xml:space="preserve">These </w:t>
      </w:r>
      <w:r w:rsidRPr="00C57DB0">
        <w:rPr>
          <w:rStyle w:val="Emphasis"/>
          <w:rFonts w:asciiTheme="minorHAnsi" w:hAnsiTheme="minorHAnsi" w:cstheme="minorHAnsi"/>
          <w:highlight w:val="green"/>
        </w:rPr>
        <w:t>moments of epistemological disablement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are</w:t>
      </w:r>
      <w:r w:rsidRPr="00C57DB0">
        <w:rPr>
          <w:rStyle w:val="Emphasis"/>
          <w:rFonts w:asciiTheme="minorHAnsi" w:hAnsiTheme="minorHAnsi" w:cstheme="minorHAnsi"/>
        </w:rPr>
        <w:t xml:space="preserve"> often </w:t>
      </w:r>
      <w:r w:rsidRPr="00C57DB0">
        <w:rPr>
          <w:rStyle w:val="Emphasis"/>
          <w:rFonts w:asciiTheme="minorHAnsi" w:hAnsiTheme="minorHAnsi" w:cstheme="minorHAnsi"/>
          <w:highlight w:val="green"/>
        </w:rPr>
        <w:t>disavowed</w:t>
      </w:r>
      <w:r w:rsidRPr="00C57DB0">
        <w:rPr>
          <w:rStyle w:val="Emphasis"/>
          <w:rFonts w:asciiTheme="minorHAnsi" w:hAnsiTheme="minorHAnsi" w:cstheme="minorHAnsi"/>
        </w:rPr>
        <w:t xml:space="preserve"> by theorists and narrators </w:t>
      </w:r>
      <w:r w:rsidRPr="00C57DB0">
        <w:rPr>
          <w:rStyle w:val="Emphasis"/>
          <w:rFonts w:asciiTheme="minorHAnsi" w:hAnsiTheme="minorHAnsi" w:cstheme="minorHAnsi"/>
          <w:highlight w:val="green"/>
        </w:rPr>
        <w:t>and</w:t>
      </w:r>
      <w:r w:rsidRPr="00C57DB0">
        <w:rPr>
          <w:rStyle w:val="Emphasis"/>
          <w:rFonts w:asciiTheme="minorHAnsi" w:hAnsiTheme="minorHAnsi" w:cstheme="minorHAnsi"/>
        </w:rPr>
        <w:t xml:space="preserve"> are instead </w:t>
      </w:r>
      <w:r w:rsidRPr="00C57DB0">
        <w:rPr>
          <w:rStyle w:val="Emphasis"/>
          <w:rFonts w:asciiTheme="minorHAnsi" w:hAnsiTheme="minorHAnsi" w:cstheme="minorHAnsi"/>
          <w:highlight w:val="green"/>
        </w:rPr>
        <w:t>projected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onto disabled people</w:t>
      </w:r>
      <w:r w:rsidRPr="00C57DB0">
        <w:rPr>
          <w:rStyle w:val="Emphasis"/>
          <w:rFonts w:asciiTheme="minorHAnsi" w:hAnsiTheme="minorHAnsi" w:cstheme="minorHAnsi"/>
        </w:rPr>
        <w:t>.</w:t>
      </w:r>
      <w:r w:rsidRPr="00C57DB0">
        <w:rPr>
          <w:rFonts w:asciiTheme="minorHAnsi" w:hAnsiTheme="minorHAnsi" w:cstheme="minorHAnsi"/>
          <w:sz w:val="14"/>
        </w:rPr>
        <w:t xml:space="preserve"> When this happens, disabled </w:t>
      </w:r>
      <w:proofErr w:type="spellStart"/>
      <w:r w:rsidRPr="00C57DB0">
        <w:rPr>
          <w:rFonts w:asciiTheme="minorHAnsi" w:hAnsiTheme="minorHAnsi" w:cstheme="minorHAnsi"/>
          <w:sz w:val="14"/>
        </w:rPr>
        <w:t>people‟s</w:t>
      </w:r>
      <w:proofErr w:type="spellEnd"/>
      <w:r w:rsidRPr="00C57DB0">
        <w:rPr>
          <w:rFonts w:asciiTheme="minorHAnsi" w:hAnsiTheme="minorHAnsi" w:cstheme="minorHAnsi"/>
          <w:sz w:val="14"/>
        </w:rPr>
        <w:t xml:space="preserve"> impairments are depicted as the result of an insufficiency of self-knowledge that is assumed not to determine nondisabled subjects. I will challenge these characterizations of disabled people not only by arguing for the value of “</w:t>
      </w:r>
      <w:proofErr w:type="spellStart"/>
      <w:r w:rsidRPr="00C57DB0">
        <w:rPr>
          <w:rFonts w:asciiTheme="minorHAnsi" w:hAnsiTheme="minorHAnsi" w:cstheme="minorHAnsi"/>
          <w:sz w:val="14"/>
        </w:rPr>
        <w:t>cripistemologies</w:t>
      </w:r>
      <w:proofErr w:type="spellEnd"/>
      <w:r w:rsidRPr="00C57DB0">
        <w:rPr>
          <w:rFonts w:asciiTheme="minorHAnsi" w:hAnsiTheme="minorHAnsi" w:cstheme="minorHAnsi"/>
          <w:sz w:val="14"/>
        </w:rPr>
        <w:t xml:space="preserve">” (that is, ways of knowing that arise from disabled </w:t>
      </w:r>
      <w:proofErr w:type="spellStart"/>
      <w:r w:rsidRPr="00C57DB0">
        <w:rPr>
          <w:rFonts w:asciiTheme="minorHAnsi" w:hAnsiTheme="minorHAnsi" w:cstheme="minorHAnsi"/>
          <w:sz w:val="14"/>
        </w:rPr>
        <w:t>people‟s</w:t>
      </w:r>
      <w:proofErr w:type="spellEnd"/>
      <w:r w:rsidRPr="00C57DB0">
        <w:rPr>
          <w:rFonts w:asciiTheme="minorHAnsi" w:hAnsiTheme="minorHAnsi" w:cstheme="minorHAnsi"/>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w:t>
      </w:r>
      <w:proofErr w:type="spellStart"/>
      <w:r w:rsidRPr="00C57DB0">
        <w:rPr>
          <w:rFonts w:asciiTheme="minorHAnsi" w:hAnsiTheme="minorHAnsi" w:cstheme="minorHAnsi"/>
          <w:sz w:val="14"/>
        </w:rPr>
        <w:t>people‟s</w:t>
      </w:r>
      <w:proofErr w:type="spellEnd"/>
      <w:r w:rsidRPr="00C57DB0">
        <w:rPr>
          <w:rFonts w:asciiTheme="minorHAnsi" w:hAnsiTheme="minorHAnsi" w:cstheme="minorHAnsi"/>
          <w:sz w:val="14"/>
        </w:rPr>
        <w:t xml:space="preserve"> lived experiences generate important knowledge about disability; yet at the same time </w:t>
      </w:r>
      <w:r w:rsidRPr="00C57DB0">
        <w:rPr>
          <w:rStyle w:val="Emphasis"/>
          <w:rFonts w:asciiTheme="minorHAnsi" w:hAnsiTheme="minorHAnsi" w:cstheme="minorHAnsi"/>
          <w:highlight w:val="green"/>
        </w:rPr>
        <w:t xml:space="preserve">I am seeking to destabilize the </w:t>
      </w:r>
      <w:r w:rsidRPr="00C57DB0">
        <w:rPr>
          <w:rStyle w:val="Emphasis"/>
          <w:rFonts w:asciiTheme="minorHAnsi" w:hAnsiTheme="minorHAnsi" w:cstheme="minorHAnsi"/>
        </w:rPr>
        <w:t xml:space="preserve">very </w:t>
      </w:r>
      <w:r w:rsidRPr="00C57DB0">
        <w:rPr>
          <w:rStyle w:val="Emphasis"/>
          <w:rFonts w:asciiTheme="minorHAnsi" w:hAnsiTheme="minorHAnsi" w:cstheme="minorHAnsi"/>
          <w:highlight w:val="green"/>
        </w:rPr>
        <w:t>notion of self-knowledge.</w:t>
      </w:r>
      <w:r w:rsidRPr="00C57DB0">
        <w:rPr>
          <w:rFonts w:asciiTheme="minorHAnsi" w:hAnsiTheme="minorHAnsi" w:cstheme="minorHAnsi"/>
          <w:sz w:val="14"/>
        </w:rPr>
        <w:t xml:space="preserve"> Let me be clear, then, that in undertaking this double endeavor I do not forward all-or-nothing claims either “for” or “against” the possibilities of </w:t>
      </w:r>
      <w:proofErr w:type="spellStart"/>
      <w:r w:rsidRPr="00C57DB0">
        <w:rPr>
          <w:rFonts w:asciiTheme="minorHAnsi" w:hAnsiTheme="minorHAnsi" w:cstheme="minorHAnsi"/>
          <w:sz w:val="14"/>
        </w:rPr>
        <w:t>selfknowledge</w:t>
      </w:r>
      <w:proofErr w:type="spellEnd"/>
      <w:r w:rsidRPr="00C57DB0">
        <w:rPr>
          <w:rFonts w:asciiTheme="minorHAnsi" w:hAnsiTheme="minorHAnsi" w:cstheme="minorHAnsi"/>
          <w:sz w:val="14"/>
        </w:rPr>
        <w:t xml:space="preserve">. I will not assert that people cannot ever know anything reliable about themselves, but I will also not suggest that truth claims derived from personal knowledge about disability are infallible. Instead, this dissertation highlights </w:t>
      </w:r>
      <w:r w:rsidRPr="00C57DB0">
        <w:rPr>
          <w:rStyle w:val="Emphasis"/>
          <w:rFonts w:asciiTheme="minorHAnsi" w:hAnsiTheme="minorHAnsi" w:cstheme="minorHAnsi"/>
          <w:highlight w:val="green"/>
        </w:rPr>
        <w:t>the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limits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of</w:t>
      </w:r>
      <w:r w:rsidRPr="00C57DB0">
        <w:rPr>
          <w:rStyle w:val="Emphasis"/>
          <w:rFonts w:asciiTheme="minorHAnsi" w:hAnsiTheme="minorHAnsi" w:cstheme="minorHAnsi"/>
        </w:rPr>
        <w:t xml:space="preserve"> complete </w:t>
      </w:r>
      <w:r w:rsidRPr="00C57DB0">
        <w:rPr>
          <w:rStyle w:val="Emphasis"/>
          <w:rFonts w:asciiTheme="minorHAnsi" w:hAnsiTheme="minorHAnsi" w:cstheme="minorHAnsi"/>
          <w:highlight w:val="green"/>
        </w:rPr>
        <w:t>self-knowledge</w:t>
      </w:r>
      <w:r w:rsidRPr="00C57DB0">
        <w:rPr>
          <w:rStyle w:val="Emphasis"/>
          <w:rFonts w:asciiTheme="minorHAnsi" w:hAnsiTheme="minorHAnsi" w:cstheme="minorHAnsi"/>
        </w:rPr>
        <w:t xml:space="preserve"> for nondisabled and disabled subjects alike, while at the same time interrogating the social dynamics that </w:t>
      </w:r>
      <w:r w:rsidRPr="00C57DB0">
        <w:rPr>
          <w:rStyle w:val="Emphasis"/>
          <w:rFonts w:asciiTheme="minorHAnsi" w:hAnsiTheme="minorHAnsi" w:cstheme="minorHAnsi"/>
          <w:highlight w:val="green"/>
        </w:rPr>
        <w:t>give rise to imbalances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in</w:t>
      </w:r>
      <w:r w:rsidRPr="00C57DB0">
        <w:rPr>
          <w:rStyle w:val="Emphasis"/>
          <w:rFonts w:asciiTheme="minorHAnsi" w:hAnsiTheme="minorHAnsi" w:cstheme="minorHAnsi"/>
        </w:rPr>
        <w:t xml:space="preserve"> the </w:t>
      </w:r>
      <w:r w:rsidRPr="00C57DB0">
        <w:rPr>
          <w:rStyle w:val="Emphasis"/>
          <w:rFonts w:asciiTheme="minorHAnsi" w:hAnsiTheme="minorHAnsi" w:cstheme="minorHAnsi"/>
          <w:highlight w:val="green"/>
        </w:rPr>
        <w:t>distribution of epistemological authority</w:t>
      </w:r>
      <w:r w:rsidRPr="00C57DB0">
        <w:rPr>
          <w:rStyle w:val="Emphasis"/>
          <w:rFonts w:asciiTheme="minorHAnsi" w:hAnsiTheme="minorHAnsi" w:cstheme="minorHAnsi"/>
        </w:rPr>
        <w:t xml:space="preserve"> to </w:t>
      </w:r>
      <w:proofErr w:type="gramStart"/>
      <w:r w:rsidRPr="00C57DB0">
        <w:rPr>
          <w:rStyle w:val="Emphasis"/>
          <w:rFonts w:asciiTheme="minorHAnsi" w:hAnsiTheme="minorHAnsi" w:cstheme="minorHAnsi"/>
        </w:rPr>
        <w:t>particular subjects</w:t>
      </w:r>
      <w:proofErr w:type="gramEnd"/>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on the basis of </w:t>
      </w:r>
      <w:r w:rsidRPr="00C57DB0">
        <w:rPr>
          <w:rStyle w:val="Emphasis"/>
          <w:rFonts w:asciiTheme="minorHAnsi" w:hAnsiTheme="minorHAnsi" w:cstheme="minorHAnsi"/>
        </w:rPr>
        <w:t xml:space="preserve">their </w:t>
      </w:r>
      <w:r w:rsidRPr="00C57DB0">
        <w:rPr>
          <w:rStyle w:val="Emphasis"/>
          <w:rFonts w:asciiTheme="minorHAnsi" w:hAnsiTheme="minorHAnsi" w:cstheme="minorHAnsi"/>
          <w:highlight w:val="green"/>
        </w:rPr>
        <w:t xml:space="preserve">perceived </w:t>
      </w:r>
      <w:r w:rsidRPr="00C57DB0">
        <w:rPr>
          <w:rStyle w:val="Emphasis"/>
          <w:rFonts w:asciiTheme="minorHAnsi" w:hAnsiTheme="minorHAnsi" w:cstheme="minorHAnsi"/>
        </w:rPr>
        <w:t xml:space="preserve">status as </w:t>
      </w:r>
      <w:r w:rsidRPr="00C57DB0">
        <w:rPr>
          <w:rStyle w:val="Emphasis"/>
          <w:rFonts w:asciiTheme="minorHAnsi" w:hAnsiTheme="minorHAnsi" w:cstheme="minorHAnsi"/>
          <w:highlight w:val="green"/>
        </w:rPr>
        <w:t>disabled</w:t>
      </w:r>
      <w:r w:rsidRPr="00C57DB0">
        <w:rPr>
          <w:rStyle w:val="Emphasis"/>
          <w:rFonts w:asciiTheme="minorHAnsi" w:hAnsiTheme="minorHAnsi" w:cstheme="minorHAnsi"/>
        </w:rPr>
        <w:t xml:space="preserve"> or nondisabled.</w:t>
      </w:r>
    </w:p>
    <w:p w14:paraId="10EEDBFB" w14:textId="77777777" w:rsidR="00073D7A" w:rsidRPr="00073D7A" w:rsidRDefault="00073D7A" w:rsidP="00073D7A"/>
    <w:p w14:paraId="33312E5B" w14:textId="7EF920EB" w:rsidR="006E559B" w:rsidRDefault="00073D7A" w:rsidP="00073D7A">
      <w:pPr>
        <w:pStyle w:val="Heading3"/>
      </w:pPr>
      <w:r>
        <w:lastRenderedPageBreak/>
        <w:t>1NC – OFF</w:t>
      </w:r>
    </w:p>
    <w:p w14:paraId="577D6E01" w14:textId="77777777" w:rsidR="00073D7A" w:rsidRPr="00C83DD7" w:rsidRDefault="00073D7A" w:rsidP="00073D7A">
      <w:pPr>
        <w:pStyle w:val="Heading4"/>
      </w:pPr>
      <w:r>
        <w:t>1] Nothing is verifiable under a standard of falsifiability.</w:t>
      </w:r>
    </w:p>
    <w:p w14:paraId="01F21082" w14:textId="77777777" w:rsidR="00073D7A" w:rsidRPr="0087225B" w:rsidRDefault="00073D7A" w:rsidP="00073D7A">
      <w:pPr>
        <w:rPr>
          <w:rFonts w:eastAsia="Calibri"/>
          <w:sz w:val="14"/>
        </w:rPr>
      </w:pPr>
      <w:proofErr w:type="spellStart"/>
      <w:r w:rsidRPr="0087225B">
        <w:rPr>
          <w:rFonts w:eastAsia="Times New Roman" w:cs="Times New Roman"/>
          <w:b/>
          <w:iCs/>
          <w:sz w:val="26"/>
          <w:u w:val="single"/>
        </w:rPr>
        <w:t>Nickles</w:t>
      </w:r>
      <w:proofErr w:type="spellEnd"/>
      <w:r w:rsidRPr="0087225B">
        <w:rPr>
          <w:rFonts w:eastAsia="Calibri"/>
          <w:sz w:val="14"/>
        </w:rPr>
        <w:t>, Thomas.</w:t>
      </w:r>
      <w:r>
        <w:rPr>
          <w:rFonts w:eastAsia="Calibri"/>
          <w:sz w:val="14"/>
        </w:rPr>
        <w:t xml:space="preserve"> (Philosopher @ University of Nevada, Reno) </w:t>
      </w:r>
      <w:r w:rsidRPr="0087225B">
        <w:rPr>
          <w:rFonts w:eastAsia="Calibri"/>
          <w:sz w:val="14"/>
        </w:rPr>
        <w:t xml:space="preserve">"Falsifiability." New Dictionary of the History of Ideas. </w:t>
      </w:r>
      <w:r w:rsidRPr="0087225B">
        <w:rPr>
          <w:rFonts w:eastAsia="Calibri"/>
          <w:b/>
          <w:sz w:val="26"/>
          <w:szCs w:val="26"/>
          <w:u w:val="single"/>
        </w:rPr>
        <w:t>2005</w:t>
      </w:r>
      <w:r w:rsidRPr="0087225B">
        <w:rPr>
          <w:rFonts w:eastAsia="Calibri"/>
          <w:sz w:val="14"/>
        </w:rPr>
        <w:t xml:space="preserve">. , </w:t>
      </w:r>
      <w:hyperlink r:id="rId14" w:history="1">
        <w:r w:rsidRPr="0087225B">
          <w:rPr>
            <w:rFonts w:eastAsia="Calibri"/>
            <w:sz w:val="14"/>
          </w:rPr>
          <w:t>https://elearning.shisu.edu.cn/pluginfile.php/35320/mod_resource/content/1/Falsifiability%20%28Introduction%29.pdf</w:t>
        </w:r>
      </w:hyperlink>
      <w:r w:rsidRPr="0087225B">
        <w:rPr>
          <w:rFonts w:eastAsia="Calibri"/>
          <w:sz w:val="14"/>
        </w:rPr>
        <w:t xml:space="preserve"> ///AHS PB</w:t>
      </w:r>
    </w:p>
    <w:p w14:paraId="3E6FED2B" w14:textId="77777777" w:rsidR="00073D7A" w:rsidRDefault="00073D7A" w:rsidP="00073D7A">
      <w:pPr>
        <w:rPr>
          <w:rFonts w:eastAsia="Calibri"/>
          <w:b/>
          <w:sz w:val="26"/>
          <w:szCs w:val="26"/>
          <w:u w:val="single"/>
        </w:rPr>
      </w:pPr>
      <w:r w:rsidRPr="0087225B">
        <w:rPr>
          <w:rFonts w:eastAsia="Calibri"/>
          <w:b/>
          <w:sz w:val="26"/>
          <w:szCs w:val="26"/>
          <w:u w:val="single"/>
        </w:rPr>
        <w:t xml:space="preserve">Falsifiable contrasts with verifiable. A claim is empirically verifiable if </w:t>
      </w:r>
      <w:proofErr w:type="gramStart"/>
      <w:r w:rsidRPr="0087225B">
        <w:rPr>
          <w:rFonts w:eastAsia="Calibri"/>
          <w:b/>
          <w:sz w:val="26"/>
          <w:szCs w:val="26"/>
          <w:u w:val="single"/>
        </w:rPr>
        <w:t>possible</w:t>
      </w:r>
      <w:proofErr w:type="gramEnd"/>
      <w:r w:rsidRPr="0087225B">
        <w:rPr>
          <w:rFonts w:eastAsia="Calibri"/>
          <w:b/>
          <w:sz w:val="26"/>
          <w:szCs w:val="26"/>
          <w:u w:val="single"/>
        </w:rPr>
        <w:t xml:space="preserve"> observation statements logically imply the truth of the claim. If actual observation statements do imply the claim, then it is verified. "This raven is black" verifies "There are black ravens."</w:t>
      </w:r>
      <w:r w:rsidRPr="00C83DD7">
        <w:rPr>
          <w:rFonts w:eastAsia="Calibri"/>
          <w:sz w:val="12"/>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w:t>
      </w:r>
      <w:proofErr w:type="spellStart"/>
      <w:r w:rsidRPr="00C83DD7">
        <w:rPr>
          <w:rFonts w:eastAsia="Calibri"/>
          <w:sz w:val="12"/>
        </w:rPr>
        <w:t>Logik</w:t>
      </w:r>
      <w:proofErr w:type="spellEnd"/>
      <w:r w:rsidRPr="00C83DD7">
        <w:rPr>
          <w:rFonts w:eastAsia="Calibri"/>
          <w:sz w:val="12"/>
        </w:rPr>
        <w:t xml:space="preserve"> der </w:t>
      </w:r>
      <w:proofErr w:type="spellStart"/>
      <w:r w:rsidRPr="00C83DD7">
        <w:rPr>
          <w:rFonts w:eastAsia="Calibri"/>
          <w:sz w:val="12"/>
        </w:rPr>
        <w:t>Forschung</w:t>
      </w:r>
      <w:proofErr w:type="spellEnd"/>
      <w:r w:rsidRPr="00C83DD7">
        <w:rPr>
          <w:rFonts w:eastAsia="Calibri"/>
          <w:sz w:val="12"/>
        </w:rPr>
        <w:t xml:space="preserve"> (1934; Logic of Scientific Discovery), Popper replied by rejecting the logical empiricists' concern with language and meaning and by noting that </w:t>
      </w:r>
      <w:r w:rsidRPr="0087225B">
        <w:rPr>
          <w:rFonts w:eastAsia="Calibri"/>
          <w:b/>
          <w:sz w:val="26"/>
          <w:szCs w:val="26"/>
          <w:u w:val="single"/>
        </w:rPr>
        <w:t>verifiability as a criterion</w:t>
      </w:r>
      <w:r w:rsidRPr="00C83DD7">
        <w:rPr>
          <w:rFonts w:eastAsia="Calibri"/>
          <w:sz w:val="12"/>
        </w:rPr>
        <w:t xml:space="preserve"> of demarcation </w:t>
      </w:r>
      <w:r w:rsidRPr="0087225B">
        <w:rPr>
          <w:rFonts w:eastAsia="Calibri"/>
          <w:b/>
          <w:sz w:val="26"/>
          <w:szCs w:val="26"/>
          <w:u w:val="single"/>
        </w:rPr>
        <w:t>excludes</w:t>
      </w:r>
      <w:r w:rsidRPr="00C83DD7">
        <w:rPr>
          <w:rFonts w:eastAsia="Calibri"/>
          <w:sz w:val="12"/>
        </w:rPr>
        <w:t xml:space="preserve"> scientific </w:t>
      </w:r>
      <w:r w:rsidRPr="0087225B">
        <w:rPr>
          <w:rFonts w:eastAsia="Calibri"/>
          <w:b/>
          <w:sz w:val="26"/>
          <w:szCs w:val="26"/>
          <w:u w:val="single"/>
        </w:rPr>
        <w:t>law</w:t>
      </w:r>
      <w:r w:rsidRPr="00C83DD7">
        <w:rPr>
          <w:rFonts w:eastAsia="Calibri"/>
          <w:sz w:val="12"/>
        </w:rPr>
        <w:t xml:space="preserve"> claims and thus the core of science </w:t>
      </w:r>
      <w:r w:rsidRPr="0087225B">
        <w:rPr>
          <w:rFonts w:eastAsia="Calibri"/>
          <w:b/>
          <w:sz w:val="26"/>
          <w:szCs w:val="26"/>
          <w:u w:val="single"/>
        </w:rPr>
        <w:t>itself. For</w:t>
      </w:r>
      <w:r w:rsidRPr="00C83DD7">
        <w:rPr>
          <w:rFonts w:eastAsia="Calibri"/>
          <w:sz w:val="12"/>
        </w:rPr>
        <w:t xml:space="preserve"> since </w:t>
      </w:r>
      <w:r w:rsidRPr="0087225B">
        <w:rPr>
          <w:rFonts w:eastAsia="Calibri"/>
          <w:b/>
          <w:sz w:val="26"/>
          <w:szCs w:val="26"/>
          <w:highlight w:val="yellow"/>
          <w:u w:val="single"/>
        </w:rPr>
        <w:t>a law claim</w:t>
      </w:r>
      <w:r w:rsidRPr="00C83DD7">
        <w:rPr>
          <w:rFonts w:eastAsia="Calibri"/>
          <w:sz w:val="12"/>
        </w:rPr>
        <w:t xml:space="preserve"> is universal in scope (in simplest form, "All A's everywhere and everywhen are B's"), it </w:t>
      </w:r>
      <w:r w:rsidRPr="0087225B">
        <w:rPr>
          <w:rFonts w:eastAsia="Calibri"/>
          <w:b/>
          <w:sz w:val="26"/>
          <w:szCs w:val="26"/>
          <w:highlight w:val="yellow"/>
          <w:u w:val="single"/>
        </w:rPr>
        <w:t>cannot</w:t>
      </w:r>
      <w:r w:rsidRPr="0087225B">
        <w:rPr>
          <w:rFonts w:eastAsia="Calibri"/>
          <w:b/>
          <w:sz w:val="26"/>
          <w:szCs w:val="26"/>
          <w:u w:val="single"/>
        </w:rPr>
        <w:t xml:space="preserve"> possibly </w:t>
      </w:r>
      <w:r w:rsidRPr="0087225B">
        <w:rPr>
          <w:rFonts w:eastAsia="Calibri"/>
          <w:b/>
          <w:sz w:val="26"/>
          <w:szCs w:val="26"/>
          <w:highlight w:val="yellow"/>
          <w:u w:val="single"/>
        </w:rPr>
        <w:t>be verified: there are always</w:t>
      </w:r>
      <w:r w:rsidRPr="0087225B">
        <w:rPr>
          <w:rFonts w:eastAsia="Calibri"/>
          <w:b/>
          <w:sz w:val="26"/>
          <w:szCs w:val="26"/>
          <w:u w:val="single"/>
        </w:rPr>
        <w:t xml:space="preserve"> actual or potential </w:t>
      </w:r>
      <w:r w:rsidRPr="0087225B">
        <w:rPr>
          <w:rFonts w:eastAsia="Calibri"/>
          <w:b/>
          <w:sz w:val="26"/>
          <w:szCs w:val="26"/>
          <w:highlight w:val="yellow"/>
          <w:u w:val="single"/>
        </w:rPr>
        <w:t>instances beyond those so far observed. Yet a</w:t>
      </w:r>
      <w:r w:rsidRPr="00C83DD7">
        <w:rPr>
          <w:rFonts w:eastAsia="Calibri"/>
          <w:sz w:val="12"/>
        </w:rPr>
        <w:t xml:space="preserve"> universal claim </w:t>
      </w:r>
      <w:r w:rsidRPr="0087225B">
        <w:rPr>
          <w:rFonts w:eastAsia="Calibri"/>
          <w:b/>
          <w:sz w:val="26"/>
          <w:szCs w:val="26"/>
          <w:highlight w:val="yellow"/>
          <w:u w:val="single"/>
        </w:rPr>
        <w:t>can be falsified by a single negative instance. The first</w:t>
      </w:r>
      <w:r w:rsidRPr="0087225B">
        <w:rPr>
          <w:rFonts w:eastAsia="Calibri"/>
          <w:b/>
          <w:sz w:val="26"/>
          <w:szCs w:val="26"/>
          <w:u w:val="single"/>
        </w:rPr>
        <w:t xml:space="preserve"> observed </w:t>
      </w:r>
      <w:r w:rsidRPr="0087225B">
        <w:rPr>
          <w:rFonts w:eastAsia="Calibri"/>
          <w:b/>
          <w:sz w:val="26"/>
          <w:szCs w:val="26"/>
          <w:highlight w:val="yellow"/>
          <w:u w:val="single"/>
        </w:rPr>
        <w:t>black swan refuted</w:t>
      </w:r>
      <w:r w:rsidRPr="0087225B">
        <w:rPr>
          <w:rFonts w:eastAsia="Calibri"/>
          <w:b/>
          <w:sz w:val="26"/>
          <w:szCs w:val="26"/>
          <w:u w:val="single"/>
        </w:rPr>
        <w:t xml:space="preserve"> the claim </w:t>
      </w:r>
      <w:r w:rsidRPr="0087225B">
        <w:rPr>
          <w:rFonts w:eastAsia="Calibri"/>
          <w:b/>
          <w:sz w:val="26"/>
          <w:szCs w:val="26"/>
          <w:highlight w:val="yellow"/>
          <w:u w:val="single"/>
        </w:rPr>
        <w:t>"All swans are white."</w:t>
      </w:r>
      <w:r w:rsidRPr="00C83DD7">
        <w:rPr>
          <w:rFonts w:eastAsia="Calibri"/>
          <w:sz w:val="12"/>
        </w:rPr>
        <w:t xml:space="preserve"> (Law claims of statistical 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RPr="0087225B">
        <w:rPr>
          <w:rFonts w:eastAsia="Calibri"/>
          <w:b/>
          <w:sz w:val="26"/>
          <w:szCs w:val="26"/>
          <w:u w:val="single"/>
        </w:rPr>
        <w:t>falsifiability</w:t>
      </w:r>
      <w:r w:rsidRPr="00C83DD7">
        <w:rPr>
          <w:rFonts w:eastAsia="Calibri"/>
          <w:sz w:val="12"/>
        </w:rPr>
        <w:t xml:space="preserve">, as the ongoing risk of falsification in our world, </w:t>
      </w:r>
      <w:r w:rsidRPr="0087225B">
        <w:rPr>
          <w:rFonts w:eastAsia="Calibri"/>
          <w:b/>
          <w:sz w:val="26"/>
          <w:szCs w:val="26"/>
          <w:u w:val="single"/>
        </w:rPr>
        <w:t>is a permanent status</w:t>
      </w:r>
      <w:r w:rsidRPr="00C83DD7">
        <w:rPr>
          <w:rFonts w:eastAsia="Calibri"/>
          <w:sz w:val="12"/>
        </w:rPr>
        <w:t xml:space="preserve"> for Popper. </w:t>
      </w:r>
      <w:r w:rsidRPr="0087225B">
        <w:rPr>
          <w:rFonts w:eastAsia="Calibri"/>
          <w:b/>
          <w:sz w:val="26"/>
          <w:szCs w:val="26"/>
          <w:highlight w:val="yellow"/>
          <w:u w:val="single"/>
        </w:rPr>
        <w:t xml:space="preserve">No amount of successful testing can establish a hypothesis as </w:t>
      </w:r>
      <w:proofErr w:type="gramStart"/>
      <w:r w:rsidRPr="0087225B">
        <w:rPr>
          <w:rFonts w:eastAsia="Calibri"/>
          <w:b/>
          <w:sz w:val="26"/>
          <w:szCs w:val="26"/>
          <w:highlight w:val="yellow"/>
          <w:u w:val="single"/>
        </w:rPr>
        <w:t>absolutely true</w:t>
      </w:r>
      <w:proofErr w:type="gramEnd"/>
      <w:r w:rsidRPr="0087225B">
        <w:rPr>
          <w:rFonts w:eastAsia="Calibri"/>
          <w:b/>
          <w:sz w:val="26"/>
          <w:szCs w:val="26"/>
          <w:u w:val="single"/>
        </w:rPr>
        <w:t xml:space="preserve"> or even probable: it forever remains conjectural. That all</w:t>
      </w:r>
      <w:r w:rsidRPr="00C83DD7">
        <w:rPr>
          <w:rFonts w:eastAsia="Calibri"/>
          <w:sz w:val="12"/>
        </w:rPr>
        <w:t xml:space="preserve"> scientific </w:t>
      </w:r>
      <w:r w:rsidRPr="00C83DD7">
        <w:rPr>
          <w:rStyle w:val="Emphasis"/>
          <w:highlight w:val="yellow"/>
        </w:rPr>
        <w:t>theories remain falsifiable entails fallibilism</w:t>
      </w:r>
      <w:r w:rsidRPr="00C83DD7">
        <w:rPr>
          <w:rFonts w:eastAsia="Calibri"/>
          <w:sz w:val="12"/>
        </w:rPr>
        <w:t xml:space="preserve">, the view that </w:t>
      </w:r>
      <w:r w:rsidRPr="00C83DD7">
        <w:rPr>
          <w:sz w:val="12"/>
        </w:rPr>
        <w:t>our best epistemic efforts remain open to future revision</w:t>
      </w:r>
      <w:r w:rsidRPr="0087225B">
        <w:rPr>
          <w:rFonts w:eastAsia="Calibri"/>
          <w:b/>
          <w:sz w:val="26"/>
          <w:szCs w:val="26"/>
          <w:u w:val="single"/>
        </w:rPr>
        <w:t>. There can be no certain foundations to knowledge.</w:t>
      </w:r>
      <w:r>
        <w:rPr>
          <w:rFonts w:eastAsia="Calibri"/>
          <w:b/>
          <w:sz w:val="26"/>
          <w:szCs w:val="26"/>
          <w:u w:val="single"/>
        </w:rPr>
        <w:t xml:space="preserve"> </w:t>
      </w:r>
    </w:p>
    <w:p w14:paraId="0953951A" w14:textId="3BFE852E" w:rsidR="00073D7A" w:rsidRDefault="00073D7A" w:rsidP="00073D7A">
      <w:pPr>
        <w:pStyle w:val="Heading4"/>
      </w:pPr>
      <w:r>
        <w:t xml:space="preserve">Presumption and permissibility negates – a) more often false than true since I can prove something false in infinite ways b) real world policies require positive justification before being adopted c) the </w:t>
      </w:r>
      <w:proofErr w:type="spellStart"/>
      <w:r>
        <w:t>aff</w:t>
      </w:r>
      <w:proofErr w:type="spellEnd"/>
      <w:r>
        <w:t xml:space="preserve"> has to prove an obligation which means lack of that obligation negates d) resolved in the resolution indicates they proactively did something, to negate that means that they aren’t resolved e) winning the </w:t>
      </w:r>
      <w:proofErr w:type="spellStart"/>
      <w:r>
        <w:t>nc</w:t>
      </w:r>
      <w:proofErr w:type="spellEnd"/>
      <w:r>
        <w:t xml:space="preserve"> proves since otherwise we’d be blindly deceived when skeptical f) to negate</w:t>
      </w:r>
      <w:r>
        <w:rPr>
          <w:rStyle w:val="FootnoteReference"/>
        </w:rPr>
        <w:footnoteReference w:id="1"/>
      </w:r>
      <w:r>
        <w:t xml:space="preserve"> means to deny the truth of which means if the </w:t>
      </w:r>
      <w:proofErr w:type="spellStart"/>
      <w:r>
        <w:t>aff</w:t>
      </w:r>
      <w:proofErr w:type="spellEnd"/>
      <w:r>
        <w:t xml:space="preserve"> is false you vote neg g) permissibility can’t affirm since then anything would be ok which would justify racism – we should be safe and do nothing. </w:t>
      </w:r>
    </w:p>
    <w:p w14:paraId="2E481013" w14:textId="5FEC9061" w:rsidR="00A963AA" w:rsidRDefault="00A963AA" w:rsidP="00A963AA">
      <w:pPr>
        <w:pStyle w:val="Heading3"/>
      </w:pPr>
      <w:r>
        <w:lastRenderedPageBreak/>
        <w:t xml:space="preserve">1NC – OFF </w:t>
      </w:r>
    </w:p>
    <w:p w14:paraId="77E143FE" w14:textId="77777777" w:rsidR="002C3D69" w:rsidRPr="00D97A8D" w:rsidRDefault="002C3D69" w:rsidP="002C3D69">
      <w:pPr>
        <w:shd w:val="clear" w:color="auto" w:fill="FFFFFF"/>
        <w:spacing w:after="0" w:line="278" w:lineRule="atLeast"/>
        <w:outlineLvl w:val="3"/>
        <w:rPr>
          <w:rFonts w:eastAsia="Times New Roman"/>
          <w:b/>
          <w:bCs/>
          <w:color w:val="222222"/>
          <w:sz w:val="26"/>
          <w:szCs w:val="26"/>
        </w:rPr>
      </w:pPr>
      <w:r w:rsidRPr="00D97A8D">
        <w:rPr>
          <w:rFonts w:eastAsia="Times New Roman"/>
          <w:b/>
          <w:bCs/>
          <w:color w:val="222222"/>
          <w:sz w:val="26"/>
          <w:szCs w:val="26"/>
        </w:rPr>
        <w:t xml:space="preserve">Interpretation: if debaters read a </w:t>
      </w:r>
      <w:proofErr w:type="spellStart"/>
      <w:r w:rsidRPr="00D97A8D">
        <w:rPr>
          <w:rFonts w:eastAsia="Times New Roman"/>
          <w:b/>
          <w:bCs/>
          <w:color w:val="222222"/>
          <w:sz w:val="26"/>
          <w:szCs w:val="26"/>
        </w:rPr>
        <w:t>prioris</w:t>
      </w:r>
      <w:proofErr w:type="spellEnd"/>
      <w:r w:rsidRPr="00D97A8D">
        <w:rPr>
          <w:rFonts w:eastAsia="Times New Roman"/>
          <w:b/>
          <w:bCs/>
          <w:color w:val="222222"/>
          <w:sz w:val="26"/>
          <w:szCs w:val="26"/>
        </w:rPr>
        <w:t>, they must be explicitly numbered, labeled as their own off, or there must be a line break between an a priori and the arguments before and after it. To clarify, you can’t hide them.</w:t>
      </w:r>
    </w:p>
    <w:p w14:paraId="17FA6B00" w14:textId="77777777" w:rsidR="002C3D69" w:rsidRPr="00D97A8D" w:rsidRDefault="002C3D69" w:rsidP="002C3D69">
      <w:pPr>
        <w:shd w:val="clear" w:color="auto" w:fill="FFFFFF"/>
        <w:spacing w:before="40" w:after="0" w:line="278" w:lineRule="atLeast"/>
        <w:outlineLvl w:val="3"/>
        <w:rPr>
          <w:rFonts w:eastAsia="Times New Roman"/>
          <w:b/>
          <w:bCs/>
          <w:color w:val="222222"/>
          <w:sz w:val="26"/>
          <w:szCs w:val="26"/>
        </w:rPr>
      </w:pPr>
      <w:r w:rsidRPr="00D97A8D">
        <w:rPr>
          <w:rFonts w:eastAsia="Times New Roman"/>
          <w:b/>
          <w:bCs/>
          <w:color w:val="222222"/>
          <w:sz w:val="26"/>
          <w:szCs w:val="26"/>
        </w:rPr>
        <w:t xml:space="preserve">Violation: there are hidden a </w:t>
      </w:r>
      <w:proofErr w:type="spellStart"/>
      <w:r w:rsidRPr="00D97A8D">
        <w:rPr>
          <w:rFonts w:eastAsia="Times New Roman"/>
          <w:b/>
          <w:bCs/>
          <w:color w:val="222222"/>
          <w:sz w:val="26"/>
          <w:szCs w:val="26"/>
        </w:rPr>
        <w:t>prioris</w:t>
      </w:r>
      <w:proofErr w:type="spellEnd"/>
      <w:r w:rsidRPr="00D97A8D">
        <w:rPr>
          <w:rFonts w:eastAsia="Times New Roman"/>
          <w:b/>
          <w:bCs/>
          <w:color w:val="222222"/>
          <w:sz w:val="26"/>
          <w:szCs w:val="26"/>
        </w:rPr>
        <w:t xml:space="preserve"> in ___</w:t>
      </w:r>
    </w:p>
    <w:p w14:paraId="7CE79F0F" w14:textId="77777777" w:rsidR="002C3D69" w:rsidRPr="00D97A8D" w:rsidRDefault="002C3D69" w:rsidP="002C3D69">
      <w:pPr>
        <w:shd w:val="clear" w:color="auto" w:fill="FFFFFF"/>
        <w:spacing w:before="40" w:after="0" w:line="278" w:lineRule="atLeast"/>
        <w:outlineLvl w:val="3"/>
        <w:rPr>
          <w:rFonts w:eastAsia="Times New Roman"/>
          <w:b/>
          <w:bCs/>
          <w:color w:val="222222"/>
          <w:sz w:val="26"/>
          <w:szCs w:val="26"/>
        </w:rPr>
      </w:pPr>
      <w:r w:rsidRPr="00D97A8D">
        <w:rPr>
          <w:rFonts w:eastAsia="Times New Roman"/>
          <w:b/>
          <w:bCs/>
          <w:color w:val="222222"/>
          <w:sz w:val="26"/>
          <w:szCs w:val="26"/>
        </w:rPr>
        <w:t xml:space="preserve">Strat skew – makes it impossible to find and answer </w:t>
      </w:r>
      <w:proofErr w:type="gramStart"/>
      <w:r w:rsidRPr="00D97A8D">
        <w:rPr>
          <w:rFonts w:eastAsia="Times New Roman"/>
          <w:b/>
          <w:bCs/>
          <w:color w:val="222222"/>
          <w:sz w:val="26"/>
          <w:szCs w:val="26"/>
        </w:rPr>
        <w:t>the a</w:t>
      </w:r>
      <w:proofErr w:type="gramEnd"/>
      <w:r w:rsidRPr="00D97A8D">
        <w:rPr>
          <w:rFonts w:eastAsia="Times New Roman"/>
          <w:b/>
          <w:bCs/>
          <w:color w:val="222222"/>
          <w:sz w:val="26"/>
          <w:szCs w:val="26"/>
        </w:rPr>
        <w:t xml:space="preserve"> </w:t>
      </w:r>
      <w:proofErr w:type="spellStart"/>
      <w:r w:rsidRPr="00D97A8D">
        <w:rPr>
          <w:rFonts w:eastAsia="Times New Roman"/>
          <w:b/>
          <w:bCs/>
          <w:color w:val="222222"/>
          <w:sz w:val="26"/>
          <w:szCs w:val="26"/>
        </w:rPr>
        <w:t>prioris</w:t>
      </w:r>
      <w:proofErr w:type="spellEnd"/>
      <w:r w:rsidRPr="00D97A8D">
        <w:rPr>
          <w:rFonts w:eastAsia="Times New Roman"/>
          <w:b/>
          <w:bCs/>
          <w:color w:val="222222"/>
          <w:sz w:val="26"/>
          <w:szCs w:val="26"/>
        </w:rPr>
        <w:t xml:space="preserve"> – they all function as no risk issues that become nibs for me since I can’t turn them – dropping one means I automatically lose the round which incentivizes reading more of them which kills clash and </w:t>
      </w:r>
      <w:proofErr w:type="spellStart"/>
      <w:r w:rsidRPr="00D97A8D">
        <w:rPr>
          <w:rFonts w:eastAsia="Times New Roman"/>
          <w:b/>
          <w:bCs/>
          <w:color w:val="222222"/>
          <w:sz w:val="26"/>
          <w:szCs w:val="26"/>
        </w:rPr>
        <w:t>debatability</w:t>
      </w:r>
      <w:proofErr w:type="spellEnd"/>
      <w:r w:rsidRPr="00D97A8D">
        <w:rPr>
          <w:rFonts w:eastAsia="Times New Roman"/>
          <w:b/>
          <w:bCs/>
          <w:color w:val="222222"/>
          <w:sz w:val="26"/>
          <w:szCs w:val="26"/>
        </w:rPr>
        <w:t>.</w:t>
      </w:r>
    </w:p>
    <w:p w14:paraId="5CCE0E44" w14:textId="77777777" w:rsidR="002C3D69" w:rsidRPr="00D97A8D" w:rsidRDefault="002C3D69" w:rsidP="002C3D69">
      <w:pPr>
        <w:shd w:val="clear" w:color="auto" w:fill="FFFFFF"/>
        <w:spacing w:before="40" w:after="0" w:line="278" w:lineRule="atLeast"/>
        <w:outlineLvl w:val="3"/>
        <w:rPr>
          <w:rFonts w:ascii="Times New Roman" w:eastAsia="Times New Roman" w:hAnsi="Times New Roman" w:cs="Times New Roman"/>
          <w:sz w:val="24"/>
        </w:rPr>
      </w:pPr>
      <w:r w:rsidRPr="00D97A8D">
        <w:rPr>
          <w:rFonts w:eastAsia="Times New Roman"/>
          <w:b/>
          <w:bCs/>
          <w:color w:val="222222"/>
          <w:sz w:val="26"/>
          <w:szCs w:val="26"/>
        </w:rPr>
        <w:t xml:space="preserve">It’s also exclusionary because people who can’t flow as well or process info as fast blips get skewed out of the round. When you hide it in a block of text, that makes it harder to read and easier to concede – outweighs since it makes debate inaccessible to people who have a hard time reading huge blocks of text since they lose every round to </w:t>
      </w:r>
      <w:proofErr w:type="gramStart"/>
      <w:r w:rsidRPr="00D97A8D">
        <w:rPr>
          <w:rFonts w:eastAsia="Times New Roman"/>
          <w:b/>
          <w:bCs/>
          <w:color w:val="222222"/>
          <w:sz w:val="26"/>
          <w:szCs w:val="26"/>
        </w:rPr>
        <w:t>shitty</w:t>
      </w:r>
      <w:proofErr w:type="gramEnd"/>
      <w:r w:rsidRPr="00D97A8D">
        <w:rPr>
          <w:rFonts w:eastAsia="Times New Roman"/>
          <w:b/>
          <w:bCs/>
          <w:color w:val="222222"/>
          <w:sz w:val="26"/>
          <w:szCs w:val="26"/>
        </w:rPr>
        <w:t xml:space="preserve"> and unfair arguments, drives people out of the activity</w:t>
      </w:r>
    </w:p>
    <w:p w14:paraId="12BA1F68" w14:textId="77777777" w:rsidR="00073D7A" w:rsidRDefault="00073D7A" w:rsidP="00073D7A">
      <w:pPr>
        <w:rPr>
          <w:sz w:val="16"/>
        </w:rPr>
      </w:pPr>
    </w:p>
    <w:p w14:paraId="378E5A3C" w14:textId="77777777" w:rsidR="00073D7A" w:rsidRPr="00073D7A" w:rsidRDefault="00073D7A" w:rsidP="00073D7A"/>
    <w:p w14:paraId="17AAA58D" w14:textId="425BA41F" w:rsidR="006D58D4" w:rsidRDefault="006D58D4" w:rsidP="006D58D4">
      <w:pPr>
        <w:pStyle w:val="Heading2"/>
      </w:pPr>
      <w:r>
        <w:lastRenderedPageBreak/>
        <w:t>ON</w:t>
      </w:r>
    </w:p>
    <w:p w14:paraId="0EEE24C1" w14:textId="1133FBE3" w:rsidR="00073D7A" w:rsidRPr="00D7703C" w:rsidRDefault="00073D7A" w:rsidP="00F95CDE">
      <w:pPr>
        <w:pStyle w:val="Heading3"/>
      </w:pPr>
      <w:r>
        <w:lastRenderedPageBreak/>
        <w:t xml:space="preserve">1NC – </w:t>
      </w:r>
      <w:proofErr w:type="spellStart"/>
      <w:r>
        <w:t>Heg</w:t>
      </w:r>
      <w:proofErr w:type="spellEnd"/>
    </w:p>
    <w:p w14:paraId="1A5830BB" w14:textId="77777777" w:rsidR="00F95CDE" w:rsidRPr="00E3564C" w:rsidRDefault="00F95CDE" w:rsidP="00F95CDE">
      <w:pPr>
        <w:pStyle w:val="Heading4"/>
      </w:pPr>
      <w:r>
        <w:t xml:space="preserve">Their forthcoming claims about </w:t>
      </w:r>
      <w:r>
        <w:rPr>
          <w:u w:val="single"/>
        </w:rPr>
        <w:t>education</w:t>
      </w:r>
      <w:r>
        <w:t xml:space="preserve"> and </w:t>
      </w:r>
      <w:r>
        <w:rPr>
          <w:u w:val="single"/>
        </w:rPr>
        <w:t>fairness</w:t>
      </w:r>
      <w:r>
        <w:t xml:space="preserve"> discount the benefit of disability consciousness </w:t>
      </w:r>
      <w:r>
        <w:rPr>
          <w:u w:val="single"/>
        </w:rPr>
        <w:t>by</w:t>
      </w:r>
      <w:r>
        <w:t xml:space="preserve"> and </w:t>
      </w:r>
      <w:r>
        <w:rPr>
          <w:u w:val="single"/>
        </w:rPr>
        <w:t>for</w:t>
      </w:r>
      <w:r>
        <w:t xml:space="preserve"> able bodied debaters.</w:t>
      </w:r>
    </w:p>
    <w:p w14:paraId="44523241" w14:textId="77777777" w:rsidR="00F95CDE" w:rsidRPr="00E956E7" w:rsidRDefault="00F95CDE" w:rsidP="00F95CDE">
      <w:r w:rsidRPr="00E956E7">
        <w:rPr>
          <w:rStyle w:val="Style13ptBold"/>
        </w:rPr>
        <w:t xml:space="preserve">Breckenridge and </w:t>
      </w:r>
      <w:proofErr w:type="spellStart"/>
      <w:r w:rsidRPr="00E956E7">
        <w:rPr>
          <w:rStyle w:val="Style13ptBold"/>
        </w:rPr>
        <w:t>Volger</w:t>
      </w:r>
      <w:proofErr w:type="spellEnd"/>
      <w:r w:rsidRPr="00E956E7">
        <w:rPr>
          <w:rStyle w:val="Style13ptBold"/>
        </w:rPr>
        <w:t xml:space="preserve"> 2001</w:t>
      </w:r>
      <w:r>
        <w:t xml:space="preserve"> (</w:t>
      </w:r>
      <w:r w:rsidRPr="00E956E7">
        <w:t>Carol Appadurai</w:t>
      </w:r>
      <w:r>
        <w:t xml:space="preserve"> and Candace A, “</w:t>
      </w:r>
      <w:r w:rsidRPr="00E956E7">
        <w:t>The Critical Limits of Embodiment: Disability's Criticism</w:t>
      </w:r>
      <w:r>
        <w:t>”, Public Culture, Volume 13, Number 3, Fall 2011)</w:t>
      </w:r>
    </w:p>
    <w:p w14:paraId="205EBA90" w14:textId="77777777" w:rsidR="00F95CDE" w:rsidRDefault="00F95CDE" w:rsidP="00F95CDE">
      <w:r w:rsidRPr="00E956E7">
        <w:rPr>
          <w:rStyle w:val="StyleUnderline"/>
        </w:rPr>
        <w:t>No one is ever more than temporarily able-bodied</w:t>
      </w:r>
      <w:r>
        <w:t xml:space="preserve">. </w:t>
      </w:r>
      <w:r w:rsidRPr="00E956E7">
        <w:rPr>
          <w:rStyle w:val="StyleUnderline"/>
        </w:rPr>
        <w:t>This</w:t>
      </w:r>
      <w:r>
        <w:t xml:space="preserve"> fact </w:t>
      </w:r>
      <w:r w:rsidRPr="00E956E7">
        <w:rPr>
          <w:rStyle w:val="StyleUnderline"/>
        </w:rPr>
        <w:t>frightens those of us who half-imagine ourselves as minds in a material context</w:t>
      </w:r>
      <w:r>
        <w:t xml:space="preserve">, who have learned to resent the publicness of race- or sex- or otherwise-marked bodies </w:t>
      </w:r>
      <w:r w:rsidRPr="00E956E7">
        <w:rPr>
          <w:rStyle w:val="StyleUnderline"/>
        </w:rPr>
        <w:t>and</w:t>
      </w:r>
      <w:r>
        <w:t xml:space="preserve"> to </w:t>
      </w:r>
      <w:r w:rsidRPr="00E956E7">
        <w:rPr>
          <w:rStyle w:val="StyleUnderline"/>
        </w:rPr>
        <w:t>think theories of embodiment as theories about the subjectivity of able-bodied comportment and practice under conditions of systematic injustice</w:t>
      </w:r>
      <w:r>
        <w:t xml:space="preserve">. </w:t>
      </w:r>
      <w:r w:rsidRPr="00E956E7">
        <w:rPr>
          <w:rStyle w:val="Emphasis"/>
        </w:rPr>
        <w:t>From this perspective,</w:t>
      </w:r>
      <w:r>
        <w:t xml:space="preserve"> </w:t>
      </w:r>
      <w:r w:rsidRPr="00611A77">
        <w:rPr>
          <w:rStyle w:val="StyleUnderline"/>
          <w:highlight w:val="green"/>
        </w:rPr>
        <w:t xml:space="preserve">disability </w:t>
      </w:r>
      <w:r w:rsidRPr="001D742D">
        <w:t>studies</w:t>
      </w:r>
      <w:r w:rsidRPr="00611A77">
        <w:rPr>
          <w:rStyle w:val="StyleUnderline"/>
          <w:highlight w:val="green"/>
        </w:rPr>
        <w:t xml:space="preserve"> may be twice marginalized</w:t>
      </w:r>
      <w:r w:rsidRPr="00611A77">
        <w:rPr>
          <w:highlight w:val="green"/>
        </w:rPr>
        <w:t xml:space="preserve"> </w:t>
      </w:r>
      <w:r>
        <w:t xml:space="preserve">-- </w:t>
      </w:r>
      <w:r w:rsidRPr="001D742D">
        <w:t>first</w:t>
      </w:r>
      <w:r w:rsidRPr="00611A77">
        <w:rPr>
          <w:rStyle w:val="StyleUnderline"/>
          <w:highlight w:val="green"/>
        </w:rPr>
        <w:t>, by able-bodied anxiety</w:t>
      </w:r>
      <w:r w:rsidRPr="001D742D">
        <w:rPr>
          <w:rStyle w:val="Emphasis"/>
          <w:highlight w:val="green"/>
        </w:rPr>
        <w:t>; second</w:t>
      </w:r>
      <w:r w:rsidRPr="001D742D">
        <w:t xml:space="preserve">, by a tendency to </w:t>
      </w:r>
      <w:r w:rsidRPr="001D742D">
        <w:rPr>
          <w:rStyle w:val="Emphasis"/>
          <w:highlight w:val="green"/>
        </w:rPr>
        <w:t>treat disability</w:t>
      </w:r>
      <w:r w:rsidRPr="001D742D">
        <w:rPr>
          <w:rStyle w:val="Emphasis"/>
        </w:rPr>
        <w:t xml:space="preserve"> </w:t>
      </w:r>
      <w:r w:rsidRPr="001D742D">
        <w:rPr>
          <w:rStyle w:val="Emphasis"/>
          <w:highlight w:val="green"/>
        </w:rPr>
        <w:t>as</w:t>
      </w:r>
      <w:r w:rsidRPr="001D742D">
        <w:t xml:space="preserve"> just </w:t>
      </w:r>
      <w:r w:rsidRPr="001D742D">
        <w:rPr>
          <w:rStyle w:val="Emphasis"/>
        </w:rPr>
        <w:t xml:space="preserve">another </w:t>
      </w:r>
      <w:r w:rsidRPr="001D742D">
        <w:rPr>
          <w:rStyle w:val="Emphasis"/>
          <w:highlight w:val="green"/>
        </w:rPr>
        <w:t>hindrance to social mobility</w:t>
      </w:r>
      <w:r w:rsidRPr="001D742D">
        <w:t>,</w:t>
      </w:r>
      <w:r>
        <w:t xml:space="preserve"> perhaps one best left to medical discourse or descriptive sociology</w:t>
      </w:r>
      <w:r w:rsidRPr="001D742D">
        <w:t>. New work in disability studies, however, challenges established habits of thought about "having" a body. Disability studies dissolves deeply entrenched mind-and-body distinctions and further destabilizes the concept of the normal</w:t>
      </w:r>
      <w:r w:rsidRPr="00E956E7">
        <w:rPr>
          <w:rStyle w:val="StyleUnderline"/>
        </w:rPr>
        <w:t>,</w:t>
      </w:r>
      <w:r>
        <w:t xml:space="preserve"> whose charted internal ambiguities have themselves become too familiar. </w:t>
      </w:r>
      <w:r w:rsidRPr="001D742D">
        <w:t>An ethics and a politics of disability are crucial to the work of the university --</w:t>
      </w:r>
      <w:r w:rsidRPr="00611A77">
        <w:rPr>
          <w:highlight w:val="green"/>
        </w:rPr>
        <w:t xml:space="preserve"> </w:t>
      </w:r>
      <w:r w:rsidRPr="00611A77">
        <w:rPr>
          <w:rStyle w:val="Emphasis"/>
          <w:highlight w:val="green"/>
        </w:rPr>
        <w:t>pedagogically</w:t>
      </w:r>
      <w:r w:rsidRPr="00611A77">
        <w:rPr>
          <w:highlight w:val="green"/>
        </w:rPr>
        <w:t xml:space="preserve">, </w:t>
      </w:r>
      <w:r w:rsidRPr="00611A77">
        <w:rPr>
          <w:rStyle w:val="Emphasis"/>
          <w:highlight w:val="green"/>
        </w:rPr>
        <w:t>theoretically</w:t>
      </w:r>
      <w:r w:rsidRPr="001D742D">
        <w:t>, and institutionally. But</w:t>
      </w:r>
      <w:r w:rsidRPr="001D742D">
        <w:rPr>
          <w:rStyle w:val="StyleUnderline"/>
        </w:rPr>
        <w:t xml:space="preserve"> </w:t>
      </w:r>
      <w:r w:rsidRPr="00611A77">
        <w:rPr>
          <w:rStyle w:val="StyleUnderline"/>
          <w:highlight w:val="green"/>
        </w:rPr>
        <w:t xml:space="preserve">reconfiguring knowledge </w:t>
      </w:r>
      <w:proofErr w:type="gramStart"/>
      <w:r w:rsidRPr="00611A77">
        <w:rPr>
          <w:rStyle w:val="StyleUnderline"/>
          <w:highlight w:val="green"/>
        </w:rPr>
        <w:t>in light of</w:t>
      </w:r>
      <w:proofErr w:type="gramEnd"/>
      <w:r w:rsidRPr="00611A77">
        <w:rPr>
          <w:rStyle w:val="StyleUnderline"/>
          <w:highlight w:val="green"/>
        </w:rPr>
        <w:t xml:space="preserve"> dis</w:t>
      </w:r>
      <w:r w:rsidRPr="00E956E7">
        <w:rPr>
          <w:rStyle w:val="StyleUnderline"/>
        </w:rPr>
        <w:t>a</w:t>
      </w:r>
      <w:r w:rsidRPr="00611A77">
        <w:rPr>
          <w:rStyle w:val="StyleUnderline"/>
          <w:highlight w:val="green"/>
        </w:rPr>
        <w:t>bility criticism is a project that is likely to take longer than making public space accessible</w:t>
      </w:r>
      <w:r w:rsidRPr="00611A77">
        <w:rPr>
          <w:highlight w:val="green"/>
        </w:rPr>
        <w:t>.</w:t>
      </w:r>
    </w:p>
    <w:p w14:paraId="7785BDBB" w14:textId="02F1AE08" w:rsidR="00F95CDE" w:rsidRDefault="00F95CDE" w:rsidP="00F95CDE">
      <w:pPr>
        <w:pStyle w:val="Heading4"/>
      </w:pPr>
      <w:r>
        <w:t xml:space="preserve"> Disabled debaters get reasonability</w:t>
      </w:r>
    </w:p>
    <w:p w14:paraId="60CC9BF4" w14:textId="77777777" w:rsidR="00F95CDE" w:rsidRDefault="00F95CDE" w:rsidP="00F95CDE">
      <w:pPr>
        <w:pStyle w:val="Heading4"/>
      </w:pPr>
      <w:r>
        <w:t>A] Link turns fairness since learning disabilities create structural skews that makes reciprocity nonexistent.</w:t>
      </w:r>
    </w:p>
    <w:p w14:paraId="2487C492" w14:textId="77777777" w:rsidR="00F95CDE" w:rsidRPr="00B975FF" w:rsidRDefault="00F95CDE" w:rsidP="00F95CDE">
      <w:pPr>
        <w:pStyle w:val="Heading4"/>
      </w:pPr>
      <w:r>
        <w:t>B] Accessible Norms – flexible norms are key to accommodate differently able</w:t>
      </w:r>
    </w:p>
    <w:p w14:paraId="592D7E51" w14:textId="77777777" w:rsidR="006E559B" w:rsidRPr="006E559B" w:rsidRDefault="006E559B" w:rsidP="006E559B"/>
    <w:p w14:paraId="4AEB2696" w14:textId="77777777" w:rsidR="006E559B" w:rsidRPr="006E559B" w:rsidRDefault="006E559B" w:rsidP="006E559B"/>
    <w:sectPr w:rsidR="006E559B" w:rsidRPr="006E55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CFE7D" w14:textId="77777777" w:rsidR="00510AAF" w:rsidRDefault="00510AAF" w:rsidP="006E559B">
      <w:pPr>
        <w:spacing w:after="0" w:line="240" w:lineRule="auto"/>
      </w:pPr>
      <w:r>
        <w:separator/>
      </w:r>
    </w:p>
  </w:endnote>
  <w:endnote w:type="continuationSeparator" w:id="0">
    <w:p w14:paraId="5A937029" w14:textId="77777777" w:rsidR="00510AAF" w:rsidRDefault="00510AAF" w:rsidP="006E5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2A604" w14:textId="77777777" w:rsidR="00510AAF" w:rsidRDefault="00510AAF" w:rsidP="006E559B">
      <w:pPr>
        <w:spacing w:after="0" w:line="240" w:lineRule="auto"/>
      </w:pPr>
      <w:r>
        <w:separator/>
      </w:r>
    </w:p>
  </w:footnote>
  <w:footnote w:type="continuationSeparator" w:id="0">
    <w:p w14:paraId="36783D82" w14:textId="77777777" w:rsidR="00510AAF" w:rsidRDefault="00510AAF" w:rsidP="006E559B">
      <w:pPr>
        <w:spacing w:after="0" w:line="240" w:lineRule="auto"/>
      </w:pPr>
      <w:r>
        <w:continuationSeparator/>
      </w:r>
    </w:p>
  </w:footnote>
  <w:footnote w:id="1">
    <w:p w14:paraId="668BC263" w14:textId="77777777" w:rsidR="00073D7A" w:rsidRDefault="00073D7A" w:rsidP="00073D7A">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6321CA3"/>
    <w:multiLevelType w:val="hybridMultilevel"/>
    <w:tmpl w:val="53A09F4E"/>
    <w:lvl w:ilvl="0" w:tplc="66367FF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704F"/>
    <w:rsid w:val="000139A3"/>
    <w:rsid w:val="00073D7A"/>
    <w:rsid w:val="00100833"/>
    <w:rsid w:val="00104529"/>
    <w:rsid w:val="00105942"/>
    <w:rsid w:val="00107396"/>
    <w:rsid w:val="00113C96"/>
    <w:rsid w:val="00144A4C"/>
    <w:rsid w:val="00176AB0"/>
    <w:rsid w:val="00176E3E"/>
    <w:rsid w:val="00177B7D"/>
    <w:rsid w:val="0018322D"/>
    <w:rsid w:val="001B5776"/>
    <w:rsid w:val="001E527A"/>
    <w:rsid w:val="001F78CE"/>
    <w:rsid w:val="00251FC7"/>
    <w:rsid w:val="002855A7"/>
    <w:rsid w:val="002B146A"/>
    <w:rsid w:val="002B5E17"/>
    <w:rsid w:val="002C3D69"/>
    <w:rsid w:val="00315690"/>
    <w:rsid w:val="00316B75"/>
    <w:rsid w:val="00325646"/>
    <w:rsid w:val="00343A53"/>
    <w:rsid w:val="003460F2"/>
    <w:rsid w:val="0038158C"/>
    <w:rsid w:val="003902BA"/>
    <w:rsid w:val="003A09E2"/>
    <w:rsid w:val="003C7A5C"/>
    <w:rsid w:val="003E71CD"/>
    <w:rsid w:val="00407037"/>
    <w:rsid w:val="004605D6"/>
    <w:rsid w:val="004C60E8"/>
    <w:rsid w:val="004C713F"/>
    <w:rsid w:val="004E3579"/>
    <w:rsid w:val="004E728B"/>
    <w:rsid w:val="004F39E0"/>
    <w:rsid w:val="00510AAF"/>
    <w:rsid w:val="00537BD5"/>
    <w:rsid w:val="0057268A"/>
    <w:rsid w:val="005D2912"/>
    <w:rsid w:val="005E10B7"/>
    <w:rsid w:val="005F333E"/>
    <w:rsid w:val="006065BD"/>
    <w:rsid w:val="00645FA9"/>
    <w:rsid w:val="00647866"/>
    <w:rsid w:val="00665003"/>
    <w:rsid w:val="006A2AD0"/>
    <w:rsid w:val="006C2375"/>
    <w:rsid w:val="006D4ECC"/>
    <w:rsid w:val="006D58D4"/>
    <w:rsid w:val="006E559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3FA6"/>
    <w:rsid w:val="00A6293D"/>
    <w:rsid w:val="00A93661"/>
    <w:rsid w:val="00A95652"/>
    <w:rsid w:val="00A963AA"/>
    <w:rsid w:val="00AC0AB8"/>
    <w:rsid w:val="00AE444F"/>
    <w:rsid w:val="00B33C6D"/>
    <w:rsid w:val="00B4508F"/>
    <w:rsid w:val="00B55AD5"/>
    <w:rsid w:val="00B6704F"/>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935E5"/>
    <w:rsid w:val="00F95CD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CBEA4"/>
  <w15:chartTrackingRefBased/>
  <w15:docId w15:val="{ED86E293-B9A1-4EFD-8A3B-DCB2675A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704F"/>
    <w:rPr>
      <w:rFonts w:ascii="Calibri" w:hAnsi="Calibri" w:cs="Calibri"/>
    </w:rPr>
  </w:style>
  <w:style w:type="paragraph" w:styleId="Heading1">
    <w:name w:val="heading 1"/>
    <w:aliases w:val="Pocket"/>
    <w:basedOn w:val="Normal"/>
    <w:next w:val="Normal"/>
    <w:link w:val="Heading1Char"/>
    <w:qFormat/>
    <w:rsid w:val="00B670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70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Char Char Char Char Char Char Char,Heading 3 Char Char,Char Char,Citation,3: Cite,no,Bold Cite,Heading 3 Char1 Char Char,Text 7, Char Char, Char Char Char Char Char Char Char,CardStyle, Char,Cite 1,Read Char,n"/>
    <w:basedOn w:val="Normal"/>
    <w:next w:val="Normal"/>
    <w:link w:val="Heading3Char"/>
    <w:uiPriority w:val="2"/>
    <w:unhideWhenUsed/>
    <w:qFormat/>
    <w:rsid w:val="00B670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
    <w:basedOn w:val="Normal"/>
    <w:next w:val="Normal"/>
    <w:link w:val="Heading4Char"/>
    <w:uiPriority w:val="3"/>
    <w:unhideWhenUsed/>
    <w:qFormat/>
    <w:rsid w:val="00B670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70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04F"/>
  </w:style>
  <w:style w:type="character" w:customStyle="1" w:styleId="Heading1Char">
    <w:name w:val="Heading 1 Char"/>
    <w:aliases w:val="Pocket Char"/>
    <w:basedOn w:val="DefaultParagraphFont"/>
    <w:link w:val="Heading1"/>
    <w:rsid w:val="00B670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704F"/>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Char Char Char Char Char Char Char Char,Heading 3 Char Char Char,Char Char Char,Citation Char,3: Cite Char,no Char,Bold Cite Char1,Heading 3 Char1 Char Char Char,Text 7 Char, Char Char Char"/>
    <w:basedOn w:val="DefaultParagraphFont"/>
    <w:link w:val="Heading3"/>
    <w:uiPriority w:val="2"/>
    <w:rsid w:val="00B6704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6704F"/>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7"/>
    <w:qFormat/>
    <w:rsid w:val="00B670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70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B6704F"/>
    <w:rPr>
      <w:b w:val="0"/>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C"/>
    <w:basedOn w:val="DefaultParagraphFont"/>
    <w:uiPriority w:val="99"/>
    <w:unhideWhenUsed/>
    <w:rsid w:val="00B6704F"/>
    <w:rPr>
      <w:color w:val="auto"/>
      <w:u w:val="none"/>
    </w:rPr>
  </w:style>
  <w:style w:type="character" w:styleId="FollowedHyperlink">
    <w:name w:val="FollowedHyperlink"/>
    <w:basedOn w:val="DefaultParagraphFont"/>
    <w:uiPriority w:val="99"/>
    <w:semiHidden/>
    <w:unhideWhenUsed/>
    <w:rsid w:val="00B6704F"/>
    <w:rPr>
      <w:color w:val="auto"/>
      <w:u w:val="none"/>
    </w:rPr>
  </w:style>
  <w:style w:type="character" w:styleId="FootnoteReference">
    <w:name w:val="footnote reference"/>
    <w:aliases w:val="FN Ref,footnote reference,fr,o,FR,(NECG) Footnote Reference"/>
    <w:basedOn w:val="DefaultParagraphFont"/>
    <w:uiPriority w:val="99"/>
    <w:unhideWhenUsed/>
    <w:qFormat/>
    <w:rsid w:val="006E559B"/>
    <w:rPr>
      <w:vertAlign w:val="superscript"/>
    </w:rPr>
  </w:style>
  <w:style w:type="paragraph" w:customStyle="1" w:styleId="textbold">
    <w:name w:val="text bold"/>
    <w:basedOn w:val="Normal"/>
    <w:link w:val="Emphasis"/>
    <w:autoRedefine/>
    <w:uiPriority w:val="7"/>
    <w:qFormat/>
    <w:rsid w:val="006E559B"/>
    <w:pPr>
      <w:jc w:val="both"/>
    </w:pPr>
    <w:rPr>
      <w:b/>
      <w:iCs/>
      <w:u w:val="single"/>
    </w:rPr>
  </w:style>
  <w:style w:type="paragraph" w:styleId="FootnoteText">
    <w:name w:val="footnote text"/>
    <w:basedOn w:val="Normal"/>
    <w:link w:val="FootnoteTextChar"/>
    <w:uiPriority w:val="99"/>
    <w:unhideWhenUsed/>
    <w:qFormat/>
    <w:rsid w:val="006E559B"/>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6E559B"/>
    <w:rPr>
      <w:rFonts w:cs="Calibri"/>
      <w:sz w:val="20"/>
      <w:szCs w:val="20"/>
    </w:rPr>
  </w:style>
  <w:style w:type="paragraph" w:customStyle="1" w:styleId="Emphasize">
    <w:name w:val="Emphasize"/>
    <w:basedOn w:val="Normal"/>
    <w:uiPriority w:val="7"/>
    <w:qFormat/>
    <w:rsid w:val="006E559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963AA"/>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igitalassets.lib.berkeley.edu/etd/ucb/text/Mollow_berkeley_0028E_1518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nlinelibrary.wiley.com/doi/abs/10.1111/comt.1205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rive.google.com/uc?export=download&amp;id=15gZxwk_e7FdlEAiRU0yrqOUQDbExZ-4h" TargetMode="External"/><Relationship Id="rId14" Type="http://schemas.openxmlformats.org/officeDocument/2006/relationships/hyperlink" Target="https://elearning.shisu.edu.cn/pluginfile.php/35320/mod_resource/content/1/Falsifiability%20%28Introduction%29.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16</Pages>
  <Words>8566</Words>
  <Characters>48827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9</cp:revision>
  <dcterms:created xsi:type="dcterms:W3CDTF">2021-12-17T20:18:00Z</dcterms:created>
  <dcterms:modified xsi:type="dcterms:W3CDTF">2021-12-17T21:45:00Z</dcterms:modified>
</cp:coreProperties>
</file>