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F25CB" w14:textId="77777777" w:rsidR="003E77CD" w:rsidRDefault="003E77CD" w:rsidP="003E77CD">
      <w:pPr>
        <w:pStyle w:val="Heading1"/>
      </w:pPr>
      <w:r>
        <w:t>1NC</w:t>
      </w:r>
    </w:p>
    <w:p w14:paraId="0F79BCA8" w14:textId="77777777" w:rsidR="003E77CD" w:rsidRDefault="003E77CD" w:rsidP="003E77CD">
      <w:pPr>
        <w:pStyle w:val="Heading3"/>
      </w:pPr>
      <w:r>
        <w:lastRenderedPageBreak/>
        <w:t>1</w:t>
      </w:r>
    </w:p>
    <w:p w14:paraId="4C473FB0" w14:textId="77777777" w:rsidR="003E77CD" w:rsidRPr="00AA76F4" w:rsidRDefault="003E77CD" w:rsidP="003E77CD">
      <w:pPr>
        <w:pStyle w:val="Heading4"/>
        <w:rPr>
          <w:rFonts w:cs="Calibri"/>
        </w:rPr>
      </w:pPr>
      <w:r w:rsidRPr="00AA76F4">
        <w:rPr>
          <w:rFonts w:cs="Calibri"/>
        </w:rPr>
        <w:t>Interpretation: Topical affirmatives must specify which medicines they defend.</w:t>
      </w:r>
    </w:p>
    <w:p w14:paraId="646327CA" w14:textId="77777777" w:rsidR="003E77CD" w:rsidRPr="00AA76F4" w:rsidRDefault="003E77CD" w:rsidP="003E77CD">
      <w:pPr>
        <w:pStyle w:val="Heading4"/>
        <w:rPr>
          <w:rFonts w:cs="Calibri"/>
        </w:rPr>
      </w:pPr>
      <w:r w:rsidRPr="00AA76F4">
        <w:rPr>
          <w:rFonts w:cs="Calibri"/>
        </w:rPr>
        <w:t>Violation: They don’t</w:t>
      </w:r>
    </w:p>
    <w:p w14:paraId="4AFA5CF4" w14:textId="77777777" w:rsidR="003E77CD" w:rsidRDefault="003E77CD" w:rsidP="003E77CD">
      <w:pPr>
        <w:pStyle w:val="Heading4"/>
        <w:rPr>
          <w:rFonts w:cs="Calibri"/>
        </w:rPr>
      </w:pPr>
      <w:r w:rsidRPr="00AA76F4">
        <w:rPr>
          <w:rFonts w:cs="Calibri"/>
        </w:rPr>
        <w:t>Standards:</w:t>
      </w:r>
    </w:p>
    <w:p w14:paraId="01CCDE0D" w14:textId="77777777" w:rsidR="003E77CD" w:rsidRDefault="003E77CD" w:rsidP="003E77CD">
      <w:pPr>
        <w:pStyle w:val="Heading4"/>
        <w:rPr>
          <w:rFonts w:cs="Calibri"/>
        </w:rPr>
      </w:pPr>
      <w:r>
        <w:rPr>
          <w:rFonts w:cs="Calibri"/>
        </w:rPr>
        <w:t xml:space="preserve">[a] </w:t>
      </w:r>
      <w:r w:rsidRPr="00AA76F4">
        <w:rPr>
          <w:rFonts w:cs="Calibri"/>
        </w:rPr>
        <w:t xml:space="preserve">Ground - Not specifying destroys neg ground because they can shift and clarify which </w:t>
      </w:r>
      <w:proofErr w:type="gramStart"/>
      <w:r w:rsidRPr="00AA76F4">
        <w:rPr>
          <w:rFonts w:cs="Calibri"/>
        </w:rPr>
        <w:t>medicines</w:t>
      </w:r>
      <w:proofErr w:type="gramEnd"/>
      <w:r w:rsidRPr="00AA76F4">
        <w:rPr>
          <w:rFonts w:cs="Calibri"/>
        </w:rPr>
        <w:t xml:space="preserve"> they defend in the 1AR to no link DAs and perm CP</w:t>
      </w:r>
    </w:p>
    <w:p w14:paraId="2B6F514C" w14:textId="77777777" w:rsidR="003E77CD" w:rsidRPr="00AA76F4" w:rsidRDefault="003E77CD" w:rsidP="003E77CD">
      <w:pPr>
        <w:pStyle w:val="Heading4"/>
        <w:rPr>
          <w:rFonts w:cs="Calibri"/>
        </w:rPr>
      </w:pPr>
      <w:r>
        <w:rPr>
          <w:rFonts w:cs="Calibri"/>
        </w:rPr>
        <w:t xml:space="preserve">[b] </w:t>
      </w:r>
      <w:r w:rsidRPr="00AA76F4">
        <w:rPr>
          <w:rFonts w:cs="Calibri"/>
        </w:rPr>
        <w:t>Topic education – vague terms like medicine prevent us from having in-depth discussion about the topic</w:t>
      </w:r>
    </w:p>
    <w:p w14:paraId="688E8968" w14:textId="77777777" w:rsidR="003E77CD" w:rsidRPr="00AA76F4" w:rsidRDefault="003E77CD" w:rsidP="003E77CD">
      <w:pPr>
        <w:pStyle w:val="Heading4"/>
        <w:rPr>
          <w:rFonts w:cs="Calibri"/>
        </w:rPr>
      </w:pPr>
      <w:r w:rsidRPr="00AA76F4">
        <w:rPr>
          <w:rFonts w:cs="Calibri"/>
        </w:rPr>
        <w:t>Topicality is a voter for fairness and education – drop the debater</w:t>
      </w:r>
    </w:p>
    <w:p w14:paraId="3F3A3F7C" w14:textId="77777777" w:rsidR="003E77CD" w:rsidRPr="00291B0E" w:rsidRDefault="003E77CD" w:rsidP="003E77CD">
      <w:pPr>
        <w:pStyle w:val="Heading4"/>
        <w:spacing w:before="0"/>
        <w:rPr>
          <w:rFonts w:cs="Calibri"/>
        </w:rPr>
      </w:pPr>
      <w:r w:rsidRPr="00AA76F4">
        <w:rPr>
          <w:rFonts w:cs="Calibri"/>
        </w:rPr>
        <w:t>No RVIs – it’s illogical – you should be punished for not being a T but shouldn’t get a cookie for being T</w:t>
      </w:r>
    </w:p>
    <w:p w14:paraId="38A256AF" w14:textId="069854EB" w:rsidR="003E77CD" w:rsidRDefault="003E77CD" w:rsidP="00276BC3">
      <w:pPr>
        <w:pStyle w:val="Heading3"/>
        <w:jc w:val="left"/>
      </w:pPr>
    </w:p>
    <w:p w14:paraId="28AC7DCC" w14:textId="0F673CE8" w:rsidR="00276BC3" w:rsidRPr="00BE5131" w:rsidRDefault="00276BC3" w:rsidP="00276BC3">
      <w:pPr>
        <w:pStyle w:val="Heading3"/>
        <w:rPr>
          <w:rFonts w:asciiTheme="minorHAnsi" w:hAnsiTheme="minorHAnsi" w:cstheme="minorHAnsi"/>
        </w:rPr>
      </w:pPr>
      <w:r>
        <w:rPr>
          <w:rFonts w:asciiTheme="minorHAnsi" w:hAnsiTheme="minorHAnsi" w:cstheme="minorHAnsi"/>
        </w:rPr>
        <w:lastRenderedPageBreak/>
        <w:t>2</w:t>
      </w:r>
    </w:p>
    <w:p w14:paraId="7C62BB8B" w14:textId="77777777" w:rsidR="00276BC3" w:rsidRPr="00BE5131" w:rsidRDefault="00276BC3" w:rsidP="00276BC3">
      <w:pPr>
        <w:pStyle w:val="Heading4"/>
        <w:rPr>
          <w:rFonts w:asciiTheme="minorHAnsi" w:hAnsiTheme="minorHAnsi" w:cstheme="minorHAnsi"/>
        </w:rPr>
      </w:pPr>
      <w:r w:rsidRPr="00BE5131">
        <w:rPr>
          <w:rFonts w:asciiTheme="minorHAnsi" w:hAnsiTheme="minorHAnsi" w:cstheme="minorHAnsi"/>
        </w:rPr>
        <w:t xml:space="preserve">Successful TRIPS COVID waiver is critical to all future WTO credibility – the entire organization rests on this decision </w:t>
      </w:r>
    </w:p>
    <w:p w14:paraId="72C1CBCA" w14:textId="77777777" w:rsidR="00276BC3" w:rsidRPr="00403D65" w:rsidRDefault="00276BC3" w:rsidP="00276BC3">
      <w:pPr>
        <w:rPr>
          <w:rFonts w:asciiTheme="minorHAnsi" w:hAnsiTheme="minorHAnsi" w:cstheme="minorHAnsi"/>
          <w:b/>
          <w:bCs/>
          <w:sz w:val="26"/>
        </w:rPr>
      </w:pPr>
      <w:proofErr w:type="spellStart"/>
      <w:r w:rsidRPr="00403D65">
        <w:rPr>
          <w:rStyle w:val="Style13ptBold"/>
          <w:rFonts w:asciiTheme="minorHAnsi" w:hAnsiTheme="minorHAnsi" w:cstheme="minorHAnsi"/>
        </w:rPr>
        <w:t>Kanth</w:t>
      </w:r>
      <w:proofErr w:type="spellEnd"/>
      <w:r>
        <w:rPr>
          <w:rStyle w:val="Style13ptBold"/>
          <w:rFonts w:asciiTheme="minorHAnsi" w:hAnsiTheme="minorHAnsi" w:cstheme="minorHAnsi"/>
        </w:rPr>
        <w:t xml:space="preserve"> </w:t>
      </w:r>
      <w:r w:rsidRPr="00403D65">
        <w:rPr>
          <w:rStyle w:val="Style13ptBold"/>
          <w:rFonts w:asciiTheme="minorHAnsi" w:hAnsiTheme="minorHAnsi" w:cstheme="minorHAnsi"/>
        </w:rPr>
        <w:t>21</w:t>
      </w:r>
      <w:r>
        <w:rPr>
          <w:rStyle w:val="Style13ptBold"/>
          <w:rFonts w:asciiTheme="minorHAnsi" w:hAnsiTheme="minorHAnsi" w:cstheme="minorHAnsi"/>
        </w:rPr>
        <w:t xml:space="preserve">, </w:t>
      </w:r>
      <w:r w:rsidRPr="00BE5131">
        <w:rPr>
          <w:rFonts w:asciiTheme="minorHAnsi" w:hAnsiTheme="minorHAnsi" w:cstheme="minorHAnsi"/>
        </w:rPr>
        <w:t xml:space="preserve">D Ravi </w:t>
      </w:r>
      <w:proofErr w:type="spellStart"/>
      <w:r w:rsidRPr="00BE5131">
        <w:rPr>
          <w:rFonts w:asciiTheme="minorHAnsi" w:hAnsiTheme="minorHAnsi" w:cstheme="minorHAnsi"/>
        </w:rPr>
        <w:t>Kanth</w:t>
      </w:r>
      <w:proofErr w:type="spellEnd"/>
      <w:r w:rsidRPr="00BE5131">
        <w:rPr>
          <w:rFonts w:asciiTheme="minorHAnsi" w:hAnsiTheme="minorHAnsi" w:cstheme="minorHAnsi"/>
        </w:rPr>
        <w:t xml:space="preserve">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w:t>
      </w:r>
      <w:proofErr w:type="spellStart"/>
      <w:r w:rsidRPr="00BE5131">
        <w:rPr>
          <w:rFonts w:asciiTheme="minorHAnsi" w:hAnsiTheme="minorHAnsi" w:cstheme="minorHAnsi"/>
        </w:rPr>
        <w:t>Bangaluru</w:t>
      </w:r>
      <w:proofErr w:type="spellEnd"/>
      <w:r w:rsidRPr="00BE5131">
        <w:rPr>
          <w:rFonts w:asciiTheme="minorHAnsi" w:hAnsiTheme="minorHAnsi" w:cstheme="minorHAnsi"/>
        </w:rPr>
        <w:t xml:space="preserve">),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9" w:history="1">
        <w:r w:rsidRPr="00BE5131">
          <w:rPr>
            <w:rStyle w:val="Hyperlink"/>
            <w:rFonts w:asciiTheme="minorHAnsi" w:hAnsiTheme="minorHAnsi" w:cstheme="minorHAnsi"/>
          </w:rPr>
          <w:t>https://www.twn.my/title2/wto.info/2021/ti210723.htm</w:t>
        </w:r>
      </w:hyperlink>
      <w:r w:rsidRPr="00BE5131">
        <w:rPr>
          <w:rFonts w:asciiTheme="minorHAnsi" w:hAnsiTheme="minorHAnsi" w:cstheme="minorHAnsi"/>
        </w:rPr>
        <w:t>, accessed 8/31/21, sb</w:t>
      </w:r>
    </w:p>
    <w:p w14:paraId="0FB3EDCF" w14:textId="77777777" w:rsidR="00276BC3" w:rsidRPr="00BE5131" w:rsidRDefault="00276BC3" w:rsidP="00276BC3">
      <w:pPr>
        <w:rPr>
          <w:rFonts w:asciiTheme="minorHAnsi" w:hAnsiTheme="minorHAnsi" w:cstheme="minorHAnsi"/>
        </w:rPr>
      </w:pPr>
      <w:r w:rsidRPr="00BE5131">
        <w:rPr>
          <w:rFonts w:asciiTheme="minorHAnsi" w:hAnsiTheme="minorHAnsi" w:cstheme="minorHAnsi"/>
        </w:rPr>
        <w:t xml:space="preserve">Geneva, 26 Jul (D. Ravi </w:t>
      </w:r>
      <w:proofErr w:type="spellStart"/>
      <w:r w:rsidRPr="00BE5131">
        <w:rPr>
          <w:rFonts w:asciiTheme="minorHAnsi" w:hAnsiTheme="minorHAnsi" w:cstheme="minorHAnsi"/>
        </w:rPr>
        <w:t>Kanth</w:t>
      </w:r>
      <w:proofErr w:type="spellEnd"/>
      <w:r w:rsidRPr="00BE5131">
        <w:rPr>
          <w:rFonts w:asciiTheme="minorHAnsi" w:hAnsiTheme="minorHAnsi" w:cstheme="minorHAnsi"/>
        </w:rPr>
        <w:t xml:space="preserve">) – Trade envoys from many developing countries on 23 July warned that </w:t>
      </w:r>
      <w:r w:rsidRPr="00403D65">
        <w:rPr>
          <w:rStyle w:val="StyleUnderline"/>
          <w:rFonts w:asciiTheme="minorHAnsi" w:hAnsiTheme="minorHAnsi" w:cstheme="minorHAnsi"/>
          <w:highlight w:val="cyan"/>
        </w:rPr>
        <w:t>the credibility of the W</w:t>
      </w:r>
      <w:r w:rsidRPr="00BE5131">
        <w:rPr>
          <w:rFonts w:asciiTheme="minorHAnsi" w:hAnsiTheme="minorHAnsi" w:cstheme="minorHAnsi"/>
        </w:rPr>
        <w:t xml:space="preserve">orld </w:t>
      </w:r>
      <w:r w:rsidRPr="00403D65">
        <w:rPr>
          <w:rFonts w:asciiTheme="minorHAnsi" w:hAnsiTheme="minorHAnsi" w:cstheme="minorHAnsi"/>
          <w:highlight w:val="cyan"/>
        </w:rPr>
        <w:t>T</w:t>
      </w:r>
      <w:r w:rsidRPr="00BE5131">
        <w:rPr>
          <w:rFonts w:asciiTheme="minorHAnsi" w:hAnsiTheme="minorHAnsi" w:cstheme="minorHAnsi"/>
        </w:rPr>
        <w:t xml:space="preserve">rade </w:t>
      </w:r>
      <w:r w:rsidRPr="00403D65">
        <w:rPr>
          <w:rStyle w:val="StyleUnderline"/>
          <w:rFonts w:asciiTheme="minorHAnsi" w:hAnsiTheme="minorHAnsi" w:cstheme="minorHAnsi"/>
          <w:highlight w:val="cyan"/>
        </w:rPr>
        <w:t>O</w:t>
      </w:r>
      <w:r w:rsidRPr="00BE5131">
        <w:rPr>
          <w:rFonts w:asciiTheme="minorHAnsi" w:hAnsiTheme="minorHAnsi" w:cstheme="minorHAnsi"/>
        </w:rPr>
        <w:t xml:space="preserve">rganization </w:t>
      </w:r>
      <w:r w:rsidRPr="00403D65">
        <w:rPr>
          <w:rStyle w:val="StyleUnderline"/>
          <w:rFonts w:asciiTheme="minorHAnsi" w:hAnsiTheme="minorHAnsi" w:cstheme="minorHAnsi"/>
          <w:highlight w:val="cyan"/>
        </w:rPr>
        <w:t>hangs in the balance</w:t>
      </w:r>
      <w:r w:rsidRPr="00BE5131">
        <w:rPr>
          <w:rFonts w:asciiTheme="minorHAnsi" w:hAnsiTheme="minorHAnsi" w:cstheme="minorHAnsi"/>
        </w:rPr>
        <w:t xml:space="preserve"> at the 12th ministerial conference (MC12) </w:t>
      </w:r>
      <w:r w:rsidRPr="00403D65">
        <w:rPr>
          <w:rStyle w:val="StyleUnderline"/>
          <w:rFonts w:asciiTheme="minorHAnsi" w:hAnsiTheme="minorHAnsi" w:cstheme="minorHAnsi"/>
          <w:highlight w:val="cyan"/>
        </w:rPr>
        <w:t xml:space="preserve">if it fails to deliver </w:t>
      </w:r>
      <w:r w:rsidRPr="00BE5131">
        <w:rPr>
          <w:rStyle w:val="StyleUnderline"/>
          <w:rFonts w:asciiTheme="minorHAnsi" w:hAnsiTheme="minorHAnsi" w:cstheme="minorHAnsi"/>
        </w:rPr>
        <w:t xml:space="preserve">on the mandated issues and </w:t>
      </w:r>
      <w:r w:rsidRPr="00403D65">
        <w:rPr>
          <w:rStyle w:val="StyleUnderline"/>
          <w:rFonts w:asciiTheme="minorHAnsi" w:hAnsiTheme="minorHAnsi" w:cstheme="minorHAnsi"/>
          <w:highlight w:val="cyan"/>
        </w:rPr>
        <w:t>on the</w:t>
      </w:r>
      <w:r w:rsidRPr="00BE5131">
        <w:rPr>
          <w:rStyle w:val="StyleUnderline"/>
          <w:rFonts w:asciiTheme="minorHAnsi" w:hAnsiTheme="minorHAnsi" w:cstheme="minorHAnsi"/>
        </w:rPr>
        <w:t xml:space="preserve"> temporary </w:t>
      </w:r>
      <w:r w:rsidRPr="00403D65">
        <w:rPr>
          <w:rStyle w:val="StyleUnderline"/>
          <w:rFonts w:asciiTheme="minorHAnsi" w:hAnsiTheme="minorHAnsi" w:cstheme="minorHAnsi"/>
          <w:highlight w:val="cyan"/>
        </w:rPr>
        <w:t>TRIPS waiver</w:t>
      </w:r>
      <w:r w:rsidRPr="00BE5131">
        <w:rPr>
          <w:rFonts w:asciiTheme="minorHAnsi" w:hAnsiTheme="minorHAnsi" w:cstheme="minorHAnsi"/>
        </w:rPr>
        <w:t xml:space="preserve"> aimed at halting the increasing scale of deaths worldwide due to the COVID-19 pandemic, said people familiar with the development. </w:t>
      </w:r>
      <w:r w:rsidRPr="00BE5131">
        <w:rPr>
          <w:rFonts w:asciiTheme="minorHAnsi" w:hAnsiTheme="minorHAnsi" w:cstheme="minorHAnsi"/>
          <w:sz w:val="12"/>
          <w:szCs w:val="12"/>
        </w:rPr>
        <w:t xml:space="preserve">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Ngozi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 xml:space="preserve">-Iweala’s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w:t>
      </w:r>
      <w:proofErr w:type="spellStart"/>
      <w:r w:rsidRPr="00BE5131">
        <w:rPr>
          <w:rFonts w:asciiTheme="minorHAnsi" w:hAnsiTheme="minorHAnsi" w:cstheme="minorHAnsi"/>
          <w:sz w:val="12"/>
          <w:szCs w:val="12"/>
        </w:rPr>
        <w:t>plurilateralization</w:t>
      </w:r>
      <w:proofErr w:type="spellEnd"/>
      <w:r w:rsidRPr="00BE5131">
        <w:rPr>
          <w:rFonts w:asciiTheme="minorHAnsi" w:hAnsiTheme="minorHAnsi" w:cstheme="minorHAnsi"/>
          <w:sz w:val="12"/>
          <w:szCs w:val="12"/>
        </w:rPr>
        <w:t xml:space="preserve">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 xml:space="preserve">-Iweala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BE5131">
        <w:rPr>
          <w:rFonts w:asciiTheme="minorHAnsi" w:hAnsiTheme="minorHAnsi" w:cstheme="minorHAnsi"/>
        </w:rPr>
        <w:t xml:space="preserve"> “This is an area where we need to have an outcome not only for now but for the future,” she said. </w:t>
      </w:r>
      <w:r w:rsidRPr="00BE5131">
        <w:rPr>
          <w:rStyle w:val="StyleUnderline"/>
          <w:rFonts w:asciiTheme="minorHAnsi" w:hAnsiTheme="minorHAnsi" w:cstheme="minorHAnsi"/>
        </w:rPr>
        <w:t>Concerning the TRIPS waiver discussions</w:t>
      </w:r>
      <w:r w:rsidRPr="00BE5131">
        <w:rPr>
          <w:rFonts w:asciiTheme="minorHAnsi" w:hAnsiTheme="minorHAnsi" w:cstheme="minorHAnsi"/>
        </w:rPr>
        <w:t xml:space="preserve">, she </w:t>
      </w:r>
      <w:r w:rsidRPr="002F7738">
        <w:rPr>
          <w:rFonts w:asciiTheme="minorHAnsi" w:hAnsiTheme="minorHAnsi" w:cstheme="minorHAnsi"/>
        </w:rPr>
        <w:t xml:space="preserve">underscored </w:t>
      </w:r>
      <w:r w:rsidRPr="002F7738">
        <w:rPr>
          <w:rStyle w:val="StyleUnderline"/>
          <w:rFonts w:asciiTheme="minorHAnsi" w:hAnsiTheme="minorHAnsi" w:cstheme="minorHAnsi"/>
        </w:rPr>
        <w:t>the need to “move with a sense of urgency</w:t>
      </w:r>
      <w:r w:rsidRPr="002F7738">
        <w:rPr>
          <w:rFonts w:asciiTheme="minorHAnsi" w:hAnsiTheme="minorHAnsi" w:cstheme="minorHAnsi"/>
        </w:rPr>
        <w:t xml:space="preserve"> – people’s lives are at stake”. In the same breadth, the DG expressed hope that delegations would look at the continuum from additional flexibilities to compulsory </w:t>
      </w:r>
      <w:proofErr w:type="spellStart"/>
      <w:r w:rsidRPr="002F7738">
        <w:rPr>
          <w:rFonts w:asciiTheme="minorHAnsi" w:hAnsiTheme="minorHAnsi" w:cstheme="minorHAnsi"/>
        </w:rPr>
        <w:t>licences</w:t>
      </w:r>
      <w:proofErr w:type="spellEnd"/>
      <w:r w:rsidRPr="002F7738">
        <w:rPr>
          <w:rFonts w:asciiTheme="minorHAnsi" w:hAnsiTheme="minorHAnsi" w:cstheme="minorHAnsi"/>
        </w:rPr>
        <w:t xml:space="preserve">, voluntary </w:t>
      </w:r>
      <w:proofErr w:type="spellStart"/>
      <w:r w:rsidRPr="002F7738">
        <w:rPr>
          <w:rFonts w:asciiTheme="minorHAnsi" w:hAnsiTheme="minorHAnsi" w:cstheme="minorHAnsi"/>
        </w:rPr>
        <w:t>licences</w:t>
      </w:r>
      <w:proofErr w:type="spellEnd"/>
      <w:r w:rsidRPr="002F7738">
        <w:rPr>
          <w:rFonts w:asciiTheme="minorHAnsi" w:hAnsiTheme="minorHAnsi" w:cstheme="minorHAnsi"/>
        </w:rPr>
        <w:t xml:space="preserve">, </w:t>
      </w:r>
      <w:proofErr w:type="gramStart"/>
      <w:r w:rsidRPr="002F7738">
        <w:rPr>
          <w:rStyle w:val="StyleUnderline"/>
          <w:rFonts w:asciiTheme="minorHAnsi" w:hAnsiTheme="minorHAnsi" w:cstheme="minorHAnsi"/>
        </w:rPr>
        <w:t>waivers</w:t>
      </w:r>
      <w:proofErr w:type="gramEnd"/>
      <w:r w:rsidRPr="002F7738">
        <w:rPr>
          <w:rStyle w:val="StyleUnderline"/>
          <w:rFonts w:asciiTheme="minorHAnsi" w:hAnsiTheme="minorHAnsi" w:cstheme="minorHAnsi"/>
        </w:rPr>
        <w:t xml:space="preserve"> and other intellectual property options and make enough progress</w:t>
      </w:r>
      <w:r w:rsidRPr="002F7738">
        <w:rPr>
          <w:rFonts w:asciiTheme="minorHAnsi" w:hAnsiTheme="minorHAnsi" w:cstheme="minorHAnsi"/>
        </w:rPr>
        <w:t xml:space="preserve"> by the end of July to provide a sense of what might be </w:t>
      </w:r>
      <w:r w:rsidRPr="002F7738">
        <w:rPr>
          <w:rFonts w:asciiTheme="minorHAnsi" w:hAnsiTheme="minorHAnsi" w:cstheme="minorHAnsi"/>
        </w:rPr>
        <w:lastRenderedPageBreak/>
        <w:t>achievable. Effectively, she chose to confound the options for the WTO’s response to the pandemic, said several people, who asked not to be quoted</w:t>
      </w:r>
      <w:r w:rsidRPr="00BE5131">
        <w:rPr>
          <w:rFonts w:asciiTheme="minorHAnsi" w:hAnsiTheme="minorHAnsi" w:cstheme="minorHAnsi"/>
        </w:rPr>
        <w:t>. “</w:t>
      </w:r>
      <w:r w:rsidRPr="00403D65">
        <w:rPr>
          <w:rStyle w:val="StyleUnderline"/>
          <w:rFonts w:asciiTheme="minorHAnsi" w:hAnsiTheme="minorHAnsi" w:cstheme="minorHAnsi"/>
          <w:highlight w:val="cyan"/>
        </w:rPr>
        <w:t>The</w:t>
      </w:r>
      <w:r w:rsidRPr="002F7738">
        <w:rPr>
          <w:rStyle w:val="StyleUnderline"/>
          <w:rFonts w:asciiTheme="minorHAnsi" w:hAnsiTheme="minorHAnsi" w:cstheme="minorHAnsi"/>
        </w:rPr>
        <w:t xml:space="preserve"> outside </w:t>
      </w:r>
      <w:r w:rsidRPr="00403D65">
        <w:rPr>
          <w:rStyle w:val="StyleUnderline"/>
          <w:rFonts w:asciiTheme="minorHAnsi" w:hAnsiTheme="minorHAnsi" w:cstheme="minorHAnsi"/>
          <w:highlight w:val="cyan"/>
        </w:rPr>
        <w:t>world expects us to come up with a practical and forward-looking solution to these issues</w:t>
      </w:r>
      <w:r w:rsidRPr="00BE5131">
        <w:rPr>
          <w:rFonts w:asciiTheme="minorHAnsi" w:hAnsiTheme="minorHAnsi" w:cstheme="minorHAnsi"/>
        </w:rPr>
        <w:t xml:space="preserve">,” the DG said. </w:t>
      </w:r>
      <w:r w:rsidRPr="00BE5131">
        <w:rPr>
          <w:rFonts w:asciiTheme="minorHAnsi" w:hAnsiTheme="minorHAnsi" w:cstheme="minorHAnsi"/>
          <w:sz w:val="12"/>
          <w:szCs w:val="12"/>
        </w:rPr>
        <w:t xml:space="preserve">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w:t>
      </w:r>
      <w:proofErr w:type="spellStart"/>
      <w:r w:rsidRPr="00BE5131">
        <w:rPr>
          <w:rFonts w:asciiTheme="minorHAnsi" w:hAnsiTheme="minorHAnsi" w:cstheme="minorHAnsi"/>
          <w:sz w:val="12"/>
          <w:szCs w:val="12"/>
        </w:rPr>
        <w:t>Syamsul</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Bahri</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said members need to do much work because the draft consolidated text issued by the chair Ambassador Wills is “imbalanced” and “much work needs to be done to resolve imbalances and other technical issues to move forward with the negotiations.”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argued that “respecting the principle of common but differentiated responsibility in this discipline is a key ingredient to achieve a balanced discipline.”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BE5131">
        <w:rPr>
          <w:rFonts w:asciiTheme="minorHAnsi" w:hAnsiTheme="minorHAnsi" w:cstheme="minorHAnsi"/>
        </w:rPr>
        <w:t xml:space="preserve"> SOUTH AFRICA CALLS FOR RESOLUTION OF OUTSTANDING ISSUES In a nuanced </w:t>
      </w:r>
      <w:r w:rsidRPr="002F7738">
        <w:rPr>
          <w:rFonts w:asciiTheme="minorHAnsi" w:hAnsiTheme="minorHAnsi" w:cstheme="minorHAnsi"/>
        </w:rPr>
        <w:t xml:space="preserve">statement, </w:t>
      </w:r>
      <w:r w:rsidRPr="002F7738">
        <w:rPr>
          <w:rStyle w:val="StyleUnderline"/>
          <w:rFonts w:asciiTheme="minorHAnsi" w:hAnsiTheme="minorHAnsi" w:cstheme="minorHAnsi"/>
        </w:rPr>
        <w:t>South Africa emphasized on the resolution of long-outstanding issues, particularly the need to deliver on “the WTO developmental imperatives</w:t>
      </w:r>
      <w:r w:rsidRPr="002F7738">
        <w:rPr>
          <w:rFonts w:asciiTheme="minorHAnsi" w:hAnsiTheme="minorHAnsi" w:cstheme="minorHAnsi"/>
        </w:rPr>
        <w:t xml:space="preserve">.”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w:t>
      </w:r>
      <w:proofErr w:type="spellStart"/>
      <w:r w:rsidRPr="002F7738">
        <w:rPr>
          <w:rFonts w:asciiTheme="minorHAnsi" w:hAnsiTheme="minorHAnsi" w:cstheme="minorHAnsi"/>
        </w:rPr>
        <w:t>Xolelwa</w:t>
      </w:r>
      <w:proofErr w:type="spellEnd"/>
      <w:r w:rsidRPr="002F7738">
        <w:rPr>
          <w:rFonts w:asciiTheme="minorHAnsi" w:hAnsiTheme="minorHAnsi" w:cstheme="minorHAnsi"/>
        </w:rPr>
        <w:t xml:space="preserve"> </w:t>
      </w:r>
      <w:proofErr w:type="spellStart"/>
      <w:r w:rsidRPr="002F7738">
        <w:rPr>
          <w:rFonts w:asciiTheme="minorHAnsi" w:hAnsiTheme="minorHAnsi" w:cstheme="minorHAnsi"/>
        </w:rPr>
        <w:t>Mlumbi</w:t>
      </w:r>
      <w:proofErr w:type="spellEnd"/>
      <w:r w:rsidRPr="002F7738">
        <w:rPr>
          <w:rFonts w:asciiTheme="minorHAnsi" w:hAnsiTheme="minorHAnsi" w:cstheme="minorHAnsi"/>
        </w:rPr>
        <w:t>-Peter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w:t>
      </w:r>
      <w:r w:rsidRPr="00BE5131">
        <w:rPr>
          <w:rFonts w:asciiTheme="minorHAnsi" w:hAnsiTheme="minorHAnsi" w:cstheme="minorHAnsi"/>
        </w:rPr>
        <w:t xml:space="preserve"> crises following the pandemic, South Africa said that “the road to recovery is going to be difficult.” “</w:t>
      </w:r>
      <w:r w:rsidRPr="00403D65">
        <w:rPr>
          <w:rStyle w:val="StyleUnderline"/>
          <w:rFonts w:asciiTheme="minorHAnsi" w:hAnsiTheme="minorHAnsi" w:cstheme="minorHAnsi"/>
          <w:highlight w:val="cyan"/>
        </w:rPr>
        <w:t>To get meaningful and credible outcomes at MC12, we must get our priorities right</w:t>
      </w:r>
      <w:r w:rsidRPr="00BE5131">
        <w:rPr>
          <w:rFonts w:asciiTheme="minorHAnsi" w:hAnsiTheme="minorHAnsi" w:cstheme="minorHAnsi"/>
        </w:rPr>
        <w:t xml:space="preserve">,” she said. TRIPS WAIVER &amp; PEOPLE-CENTRED APPROACH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said that “for South Africa, </w:t>
      </w:r>
      <w:r w:rsidRPr="00403D65">
        <w:rPr>
          <w:rStyle w:val="Emphasis"/>
          <w:rFonts w:asciiTheme="minorHAnsi" w:hAnsiTheme="minorHAnsi" w:cstheme="minorHAnsi"/>
          <w:highlight w:val="cyan"/>
        </w:rPr>
        <w:t>the WTO response to COVID-19 is key</w:t>
      </w:r>
      <w:r w:rsidRPr="00BE5131">
        <w:rPr>
          <w:rFonts w:asciiTheme="minorHAnsi" w:hAnsiTheme="minorHAnsi" w:cstheme="minorHAnsi"/>
        </w:rPr>
        <w:t xml:space="preserve">,” </w:t>
      </w:r>
      <w:r w:rsidRPr="002F7738">
        <w:rPr>
          <w:rStyle w:val="StyleUnderline"/>
          <w:rFonts w:asciiTheme="minorHAnsi" w:hAnsiTheme="minorHAnsi" w:cstheme="minorHAnsi"/>
        </w:rPr>
        <w:t>while expressing disappointment that members “are still not in solution mode in the text-based negotiations on the TRIPS Waiver</w:t>
      </w:r>
      <w:r w:rsidRPr="002F7738">
        <w:rPr>
          <w:rFonts w:asciiTheme="minorHAnsi" w:hAnsiTheme="minorHAnsi" w:cstheme="minorHAnsi"/>
        </w:rPr>
        <w:t>.” She s</w:t>
      </w:r>
      <w:r w:rsidRPr="00BE5131">
        <w:rPr>
          <w:rFonts w:asciiTheme="minorHAnsi" w:hAnsiTheme="minorHAnsi" w:cstheme="minorHAnsi"/>
        </w:rPr>
        <w:t xml:space="preserve">aid </w:t>
      </w:r>
      <w:r w:rsidRPr="00403D65">
        <w:rPr>
          <w:rStyle w:val="StyleUnderline"/>
          <w:rFonts w:asciiTheme="minorHAnsi" w:hAnsiTheme="minorHAnsi" w:cstheme="minorHAnsi"/>
          <w:highlight w:val="cyan"/>
        </w:rPr>
        <w:t>the TRIPS waiver “is a necessary temporary, targeted and proportionate component for any outcome on a WTO response to COVID-19</w:t>
      </w:r>
      <w:r w:rsidRPr="00BE5131">
        <w:rPr>
          <w:rFonts w:asciiTheme="minorHAnsi" w:hAnsiTheme="minorHAnsi" w:cstheme="minorHAnsi"/>
        </w:rPr>
        <w:t xml:space="preserve">.”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reiterated that “the cost of inaction by the WTO is measured in human lives.” She underscored the need to “move beyond ideological debates towards a balanced outcome underpinned by a people-centered approach.” To make progress, she said members “must focus on (</w:t>
      </w:r>
      <w:proofErr w:type="spellStart"/>
      <w:r w:rsidRPr="00BE5131">
        <w:rPr>
          <w:rFonts w:asciiTheme="minorHAnsi" w:hAnsiTheme="minorHAnsi" w:cstheme="minorHAnsi"/>
        </w:rPr>
        <w:t>i</w:t>
      </w:r>
      <w:proofErr w:type="spellEnd"/>
      <w:r w:rsidRPr="00BE5131">
        <w:rPr>
          <w:rFonts w:asciiTheme="minorHAnsi" w:hAnsiTheme="minorHAnsi" w:cstheme="minorHAnsi"/>
        </w:rPr>
        <w:t xml:space="preserve">) how to come up with a Waiver that addresses the interests and concerns of all, and (ii) get out of the binary between the Waiver and the EU CL [compulsory license] proposal.”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said “the two are not substitutes but contribute from different perspectives and should both be welcomed with a view to finding landing zones on both.” She emphasized that “a WTO response to COVID-19 is fundamental to a meaningful outcome at MC12.” “</w:t>
      </w:r>
      <w:r w:rsidRPr="00403D65">
        <w:rPr>
          <w:rStyle w:val="StyleUnderline"/>
          <w:rFonts w:asciiTheme="minorHAnsi" w:hAnsiTheme="minorHAnsi" w:cstheme="minorHAnsi"/>
          <w:highlight w:val="cyan"/>
        </w:rPr>
        <w:t xml:space="preserve">The credibility of the outcome will be judged on the basis of whether it is boosting </w:t>
      </w:r>
      <w:r w:rsidRPr="00BE5131">
        <w:rPr>
          <w:rStyle w:val="StyleUnderline"/>
          <w:rFonts w:asciiTheme="minorHAnsi" w:hAnsiTheme="minorHAnsi" w:cstheme="minorHAnsi"/>
        </w:rPr>
        <w:t xml:space="preserve">and diversifying </w:t>
      </w:r>
      <w:r w:rsidRPr="00403D65">
        <w:rPr>
          <w:rStyle w:val="StyleUnderline"/>
          <w:rFonts w:asciiTheme="minorHAnsi" w:hAnsiTheme="minorHAnsi" w:cstheme="minorHAnsi"/>
          <w:highlight w:val="cyan"/>
        </w:rPr>
        <w:t>production across the world</w:t>
      </w:r>
      <w:r w:rsidRPr="00BE5131">
        <w:rPr>
          <w:rFonts w:asciiTheme="minorHAnsi" w:hAnsiTheme="minorHAnsi" w:cstheme="minorHAnsi"/>
        </w:rPr>
        <w:t xml:space="preserve">,” she emphasized. </w:t>
      </w:r>
      <w:r w:rsidRPr="00BE5131">
        <w:rPr>
          <w:rFonts w:asciiTheme="minorHAnsi" w:hAnsiTheme="minorHAnsi" w:cstheme="minorHAns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w:t>
      </w:r>
      <w:proofErr w:type="spellStart"/>
      <w:r w:rsidRPr="00BE5131">
        <w:rPr>
          <w:rFonts w:asciiTheme="minorHAnsi" w:hAnsiTheme="minorHAnsi" w:cstheme="minorHAnsi"/>
          <w:sz w:val="12"/>
          <w:szCs w:val="12"/>
        </w:rPr>
        <w:t>programme</w:t>
      </w:r>
      <w:proofErr w:type="spellEnd"/>
      <w:r w:rsidRPr="00BE5131">
        <w:rPr>
          <w:rFonts w:asciiTheme="minorHAnsi" w:hAnsiTheme="minorHAnsi" w:cstheme="minorHAnsi"/>
          <w:sz w:val="12"/>
          <w:szCs w:val="12"/>
        </w:rPr>
        <w:t xml:space="preserv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w:t>
      </w:r>
      <w:proofErr w:type="gramStart"/>
      <w:r w:rsidRPr="00BE5131">
        <w:rPr>
          <w:rFonts w:asciiTheme="minorHAnsi" w:hAnsiTheme="minorHAnsi" w:cstheme="minorHAnsi"/>
          <w:sz w:val="12"/>
          <w:szCs w:val="12"/>
        </w:rPr>
        <w:t>subsidies</w:t>
      </w:r>
      <w:proofErr w:type="gramEnd"/>
      <w:r w:rsidRPr="00BE5131">
        <w:rPr>
          <w:rFonts w:asciiTheme="minorHAnsi" w:hAnsiTheme="minorHAnsi" w:cstheme="minorHAnsi"/>
          <w:sz w:val="12"/>
          <w:szCs w:val="12"/>
        </w:rPr>
        <w:t xml:space="preserve"> negotiations, she said “the Chair’s text could form basis of an outcome but remains unbalanced in respect of various elements.” Ambassador </w:t>
      </w:r>
      <w:proofErr w:type="spellStart"/>
      <w:r w:rsidRPr="00BE5131">
        <w:rPr>
          <w:rFonts w:asciiTheme="minorHAnsi" w:hAnsiTheme="minorHAnsi" w:cstheme="minorHAnsi"/>
          <w:sz w:val="12"/>
          <w:szCs w:val="12"/>
        </w:rPr>
        <w:t>Xolelwa</w:t>
      </w:r>
      <w:proofErr w:type="spellEnd"/>
      <w:r w:rsidRPr="00BE5131">
        <w:rPr>
          <w:rFonts w:asciiTheme="minorHAnsi" w:hAnsiTheme="minorHAnsi" w:cstheme="minorHAnsi"/>
          <w:sz w:val="12"/>
          <w:szCs w:val="12"/>
        </w:rPr>
        <w:t xml:space="preserve">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w:t>
      </w:r>
      <w:r w:rsidRPr="00BE5131">
        <w:rPr>
          <w:rFonts w:asciiTheme="minorHAnsi" w:hAnsiTheme="minorHAnsi" w:cstheme="minorHAnsi"/>
          <w:sz w:val="12"/>
          <w:szCs w:val="12"/>
        </w:rPr>
        <w:lastRenderedPageBreak/>
        <w:t xml:space="preserve">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w:t>
      </w:r>
      <w:proofErr w:type="spellStart"/>
      <w:r w:rsidRPr="00BE5131">
        <w:rPr>
          <w:rFonts w:asciiTheme="minorHAnsi" w:hAnsiTheme="minorHAnsi" w:cstheme="minorHAnsi"/>
          <w:sz w:val="12"/>
          <w:szCs w:val="12"/>
        </w:rPr>
        <w:t>centre</w:t>
      </w:r>
      <w:proofErr w:type="spellEnd"/>
      <w:r w:rsidRPr="00BE5131">
        <w:rPr>
          <w:rFonts w:asciiTheme="minorHAnsi" w:hAnsiTheme="minorHAnsi" w:cstheme="minorHAnsi"/>
          <w:sz w:val="12"/>
          <w:szCs w:val="12"/>
        </w:rPr>
        <w:t xml:space="preserve"> of the work program.” On e-commerce, she said that “the multilaterally mandated work is the work </w:t>
      </w:r>
      <w:proofErr w:type="spellStart"/>
      <w:r w:rsidRPr="00BE5131">
        <w:rPr>
          <w:rFonts w:asciiTheme="minorHAnsi" w:hAnsiTheme="minorHAnsi" w:cstheme="minorHAnsi"/>
          <w:sz w:val="12"/>
          <w:szCs w:val="12"/>
        </w:rPr>
        <w:t>programme</w:t>
      </w:r>
      <w:proofErr w:type="spellEnd"/>
      <w:r w:rsidRPr="00BE5131">
        <w:rPr>
          <w:rFonts w:asciiTheme="minorHAnsi" w:hAnsiTheme="minorHAnsi" w:cstheme="minorHAnsi"/>
          <w:sz w:val="12"/>
          <w:szCs w:val="12"/>
        </w:rPr>
        <w:t xml:space="preserv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w:t>
      </w:r>
      <w:proofErr w:type="gramStart"/>
      <w:r w:rsidRPr="00BE5131">
        <w:rPr>
          <w:rFonts w:asciiTheme="minorHAnsi" w:hAnsiTheme="minorHAnsi" w:cstheme="minorHAnsi"/>
          <w:sz w:val="12"/>
          <w:szCs w:val="12"/>
        </w:rPr>
        <w:t>said</w:t>
      </w:r>
      <w:proofErr w:type="gramEnd"/>
      <w:r w:rsidRPr="00BE5131">
        <w:rPr>
          <w:rFonts w:asciiTheme="minorHAnsi" w:hAnsiTheme="minorHAnsi" w:cstheme="minorHAnsi"/>
          <w:sz w:val="12"/>
          <w:szCs w:val="12"/>
        </w:rPr>
        <w:t xml:space="preserve">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w:t>
      </w:r>
      <w:proofErr w:type="spellStart"/>
      <w:r w:rsidRPr="00BE5131">
        <w:rPr>
          <w:rFonts w:asciiTheme="minorHAnsi" w:hAnsiTheme="minorHAnsi" w:cstheme="minorHAnsi"/>
          <w:sz w:val="12"/>
          <w:szCs w:val="12"/>
        </w:rPr>
        <w:t>Brajendra</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Navnit</w:t>
      </w:r>
      <w:proofErr w:type="spellEnd"/>
      <w:r w:rsidRPr="00BE5131">
        <w:rPr>
          <w:rFonts w:asciiTheme="minorHAnsi" w:hAnsiTheme="minorHAnsi" w:cstheme="minorHAnsi"/>
          <w:sz w:val="12"/>
          <w:szCs w:val="12"/>
        </w:rPr>
        <w:t xml:space="preserve"> from India said that members must deliver on some of the proposals on the table, and not try to “push market access agenda and take away policy space available for Members and impose cumbersome obligations that serve to benefit a few in the name of the pandemic.” He </w:t>
      </w:r>
      <w:proofErr w:type="gramStart"/>
      <w:r w:rsidRPr="00BE5131">
        <w:rPr>
          <w:rFonts w:asciiTheme="minorHAnsi" w:hAnsiTheme="minorHAnsi" w:cstheme="minorHAnsi"/>
          <w:sz w:val="12"/>
          <w:szCs w:val="12"/>
        </w:rPr>
        <w:t>said</w:t>
      </w:r>
      <w:proofErr w:type="gramEnd"/>
      <w:r w:rsidRPr="00BE5131">
        <w:rPr>
          <w:rFonts w:asciiTheme="minorHAnsi" w:hAnsiTheme="minorHAnsi" w:cstheme="minorHAnsi"/>
          <w:sz w:val="12"/>
          <w:szCs w:val="12"/>
        </w:rPr>
        <w:t xml:space="preserve">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w:t>
      </w:r>
      <w:proofErr w:type="gramStart"/>
      <w:r w:rsidRPr="00BE5131">
        <w:rPr>
          <w:rFonts w:asciiTheme="minorHAnsi" w:hAnsiTheme="minorHAnsi" w:cstheme="minorHAnsi"/>
          <w:sz w:val="12"/>
          <w:szCs w:val="12"/>
        </w:rPr>
        <w:t>patents</w:t>
      </w:r>
      <w:proofErr w:type="gramEnd"/>
      <w:r w:rsidRPr="00BE5131">
        <w:rPr>
          <w:rFonts w:asciiTheme="minorHAnsi" w:hAnsiTheme="minorHAnsi" w:cstheme="minorHAnsi"/>
          <w:sz w:val="12"/>
          <w:szCs w:val="12"/>
        </w:rPr>
        <w:t xml:space="preserve"> and protection of undisclosed information, he said that “it is unfortunate that a few members have failed to engage in the text-based negotiation.”</w:t>
      </w:r>
      <w:r w:rsidRPr="00BE5131">
        <w:rPr>
          <w:rFonts w:asciiTheme="minorHAnsi" w:hAnsiTheme="minorHAnsi" w:cstheme="minorHAnsi"/>
        </w:rPr>
        <w:t xml:space="preserve"> Without naming the countries, he said “a few Members ensured that we are unable to meet the deadline set by the TRIPS Council Chair for reaching the necessary landing zone by end-July.” </w:t>
      </w:r>
      <w:r w:rsidRPr="00403D65">
        <w:rPr>
          <w:rStyle w:val="StyleUnderline"/>
          <w:rFonts w:asciiTheme="minorHAnsi" w:hAnsiTheme="minorHAnsi" w:cstheme="minorHAnsi"/>
          <w:highlight w:val="cyan"/>
        </w:rPr>
        <w:t>To restore the credibility of the WTO in terms of its response to the pandemic</w:t>
      </w:r>
      <w:r w:rsidRPr="00BE5131">
        <w:rPr>
          <w:rStyle w:val="StyleUnderline"/>
          <w:rFonts w:asciiTheme="minorHAnsi" w:hAnsiTheme="minorHAnsi" w:cstheme="minorHAnsi"/>
        </w:rPr>
        <w:t xml:space="preserve">, he said </w:t>
      </w:r>
      <w:r w:rsidRPr="00403D65">
        <w:rPr>
          <w:rStyle w:val="StyleUnderline"/>
          <w:rFonts w:asciiTheme="minorHAnsi" w:hAnsiTheme="minorHAnsi" w:cstheme="minorHAnsi"/>
          <w:highlight w:val="cyan"/>
        </w:rPr>
        <w:t xml:space="preserve">the TRIPS waiver is an integral part. </w:t>
      </w:r>
      <w:r w:rsidRPr="00BE5131">
        <w:rPr>
          <w:rStyle w:val="StyleUnderline"/>
          <w:rFonts w:asciiTheme="minorHAnsi" w:hAnsiTheme="minorHAnsi" w:cstheme="minorHAnsi"/>
        </w:rPr>
        <w:t>“Therefore, it is high time this organization prioritizes saving human lives and livelihoods over all other priorities</w:t>
      </w:r>
      <w:r w:rsidRPr="00BE5131">
        <w:rPr>
          <w:rFonts w:asciiTheme="minorHAnsi" w:hAnsiTheme="minorHAnsi" w:cstheme="minorHAnsi"/>
        </w:rPr>
        <w:t>.”</w:t>
      </w:r>
    </w:p>
    <w:p w14:paraId="04B6E78F" w14:textId="77777777" w:rsidR="00276BC3" w:rsidRPr="00BE5131" w:rsidRDefault="00276BC3" w:rsidP="00276BC3">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77DE05C1" w14:textId="77777777" w:rsidR="00276BC3" w:rsidRPr="00BE5131" w:rsidRDefault="00276BC3" w:rsidP="00276BC3">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w:t>
      </w:r>
      <w:proofErr w:type="spellStart"/>
      <w:r w:rsidRPr="00BE5131">
        <w:rPr>
          <w:rFonts w:asciiTheme="minorHAnsi" w:hAnsiTheme="minorHAnsi" w:cstheme="minorHAnsi"/>
          <w:sz w:val="16"/>
        </w:rPr>
        <w:t>Blobal</w:t>
      </w:r>
      <w:proofErr w:type="spellEnd"/>
      <w:r w:rsidRPr="00BE5131">
        <w:rPr>
          <w:rFonts w:asciiTheme="minorHAnsi" w:hAnsiTheme="minorHAnsi" w:cstheme="minorHAnsi"/>
          <w:sz w:val="16"/>
        </w:rPr>
        <w:t xml:space="preserve">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w:t>
      </w:r>
      <w:proofErr w:type="gramStart"/>
      <w:r w:rsidRPr="00BE5131">
        <w:rPr>
          <w:rFonts w:asciiTheme="minorHAnsi" w:hAnsiTheme="minorHAnsi" w:cstheme="minorHAnsi"/>
          <w:sz w:val="16"/>
        </w:rPr>
        <w:t>Organization,  191</w:t>
      </w:r>
      <w:proofErr w:type="gramEnd"/>
      <w:r w:rsidRPr="00BE5131">
        <w:rPr>
          <w:rFonts w:asciiTheme="minorHAnsi" w:hAnsiTheme="minorHAnsi" w:cstheme="minorHAnsi"/>
          <w:sz w:val="16"/>
        </w:rPr>
        <w:t>)</w:t>
      </w:r>
    </w:p>
    <w:p w14:paraId="1B8FAEC8" w14:textId="77777777" w:rsidR="00276BC3" w:rsidRPr="00BE5131" w:rsidRDefault="00276BC3" w:rsidP="00276BC3">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w:t>
      </w:r>
      <w:proofErr w:type="gramStart"/>
      <w:r w:rsidRPr="00BE5131">
        <w:rPr>
          <w:rFonts w:asciiTheme="minorHAnsi" w:hAnsiTheme="minorHAnsi" w:cstheme="minorHAnsi"/>
        </w:rPr>
        <w:t>Japan</w:t>
      </w:r>
      <w:proofErr w:type="gramEnd"/>
      <w:r w:rsidRPr="00BE5131">
        <w:rPr>
          <w:rFonts w:asciiTheme="minorHAnsi" w:hAnsiTheme="minorHAnsi" w:cstheme="minorHAnsi"/>
        </w:rPr>
        <w:t xml:space="preserve">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7230F742" w14:textId="77777777" w:rsidR="00276BC3" w:rsidRPr="00BE5131" w:rsidRDefault="00276BC3" w:rsidP="00276BC3">
      <w:pPr>
        <w:rPr>
          <w:rFonts w:asciiTheme="minorHAnsi" w:hAnsiTheme="minorHAnsi" w:cstheme="minorHAnsi"/>
        </w:rPr>
      </w:pPr>
    </w:p>
    <w:p w14:paraId="5B8A9F8D" w14:textId="77777777" w:rsidR="00276BC3" w:rsidRPr="00BE5131" w:rsidRDefault="00276BC3" w:rsidP="00276BC3">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7017D8BC" w14:textId="77777777" w:rsidR="00276BC3" w:rsidRPr="00BE5131" w:rsidRDefault="00276BC3" w:rsidP="00276BC3">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19A007B2" w14:textId="57A5D8A9" w:rsidR="003E77CD" w:rsidRPr="00276BC3" w:rsidRDefault="00276BC3" w:rsidP="003E77CD">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10"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w:t>
      </w:r>
      <w:r w:rsidRPr="00BE5131">
        <w:rPr>
          <w:rFonts w:asciiTheme="minorHAnsi" w:hAnsiTheme="minorHAnsi" w:cstheme="minorHAnsi"/>
          <w:sz w:val="16"/>
        </w:rPr>
        <w:lastRenderedPageBreak/>
        <w:t xml:space="preserve">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w:t>
      </w:r>
      <w:proofErr w:type="gramStart"/>
      <w:r w:rsidRPr="00BE5131">
        <w:rPr>
          <w:rFonts w:asciiTheme="minorHAnsi" w:hAnsiTheme="minorHAnsi" w:cstheme="minorHAnsi"/>
          <w:sz w:val="16"/>
        </w:rPr>
        <w:t>fishing</w:t>
      </w:r>
      <w:proofErr w:type="gramEnd"/>
      <w:r w:rsidRPr="00BE5131">
        <w:rPr>
          <w:rFonts w:asciiTheme="minorHAnsi" w:hAnsiTheme="minorHAnsi" w:cstheme="minorHAnsi"/>
          <w:sz w:val="16"/>
        </w:rPr>
        <w:t xml:space="preserve">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w:t>
      </w:r>
      <w:proofErr w:type="gramStart"/>
      <w:r w:rsidRPr="00BE5131">
        <w:rPr>
          <w:rFonts w:asciiTheme="minorHAnsi" w:hAnsiTheme="minorHAnsi" w:cstheme="minorHAnsi"/>
          <w:sz w:val="16"/>
        </w:rPr>
        <w:t>fish</w:t>
      </w:r>
      <w:proofErr w:type="gramEnd"/>
      <w:r w:rsidRPr="00BE5131">
        <w:rPr>
          <w:rFonts w:asciiTheme="minorHAnsi" w:hAnsiTheme="minorHAnsi" w:cstheme="minorHAnsi"/>
          <w:sz w:val="16"/>
        </w:rPr>
        <w:t xml:space="preserve"> and plants evolved to survive in. When combined with the other ways humans are damaging the environment, climate change is now pushing a growing number of species, </w:t>
      </w:r>
      <w:hyperlink r:id="rId11"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12"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3"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w:t>
      </w:r>
      <w:proofErr w:type="gramStart"/>
      <w:r w:rsidRPr="00BE5131">
        <w:rPr>
          <w:rFonts w:asciiTheme="minorHAnsi" w:hAnsiTheme="minorHAnsi" w:cstheme="minorHAnsi"/>
          <w:sz w:val="16"/>
        </w:rPr>
        <w:t>The</w:t>
      </w:r>
      <w:proofErr w:type="gramEnd"/>
      <w:r w:rsidRPr="00BE5131">
        <w:rPr>
          <w:rFonts w:asciiTheme="minorHAnsi" w:hAnsiTheme="minorHAnsi" w:cstheme="minorHAnsi"/>
          <w:sz w:val="16"/>
        </w:rPr>
        <w:t xml:space="preserve"> Pill Helped Start the Sexual Revolution. What Will </w:t>
      </w:r>
      <w:proofErr w:type="spellStart"/>
      <w:r w:rsidRPr="00BE5131">
        <w:rPr>
          <w:rFonts w:asciiTheme="minorHAnsi" w:hAnsiTheme="minorHAnsi" w:cstheme="minorHAnsi"/>
          <w:sz w:val="16"/>
        </w:rPr>
        <w:t>Phexxi</w:t>
      </w:r>
      <w:proofErr w:type="spellEnd"/>
      <w:r w:rsidRPr="00BE5131">
        <w:rPr>
          <w:rFonts w:asciiTheme="minorHAnsi" w:hAnsiTheme="minorHAnsi" w:cstheme="minorHAnsi"/>
          <w:sz w:val="16"/>
        </w:rPr>
        <w:t xml:space="preserve">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w:t>
      </w:r>
      <w:proofErr w:type="spellStart"/>
      <w:r w:rsidRPr="00BE5131">
        <w:rPr>
          <w:rFonts w:asciiTheme="minorHAnsi" w:hAnsiTheme="minorHAnsi" w:cstheme="minorHAnsi"/>
          <w:sz w:val="16"/>
        </w:rPr>
        <w:t>Magellanic</w:t>
      </w:r>
      <w:proofErr w:type="spellEnd"/>
      <w:r w:rsidRPr="00BE5131">
        <w:rPr>
          <w:rFonts w:asciiTheme="minorHAnsi" w:hAnsiTheme="minorHAnsi" w:cstheme="minorHAnsi"/>
          <w:sz w:val="16"/>
        </w:rPr>
        <w:t xml:space="preserve">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w:t>
      </w:r>
      <w:r w:rsidRPr="00BE5131">
        <w:rPr>
          <w:rFonts w:asciiTheme="minorHAnsi" w:hAnsiTheme="minorHAnsi" w:cstheme="minorHAnsi"/>
          <w:sz w:val="16"/>
        </w:rPr>
        <w:lastRenderedPageBreak/>
        <w:t xml:space="preserve">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w:t>
      </w:r>
      <w:proofErr w:type="gramStart"/>
      <w:r w:rsidRPr="00BE5131">
        <w:rPr>
          <w:rFonts w:asciiTheme="minorHAnsi" w:hAnsiTheme="minorHAnsi" w:cstheme="minorHAnsi"/>
          <w:sz w:val="16"/>
        </w:rPr>
        <w:t>nature</w:t>
      </w:r>
      <w:proofErr w:type="gramEnd"/>
      <w:r w:rsidRPr="00BE5131">
        <w:rPr>
          <w:rFonts w:asciiTheme="minorHAnsi" w:hAnsiTheme="minorHAnsi" w:cstheme="minorHAnsi"/>
          <w:sz w:val="16"/>
        </w:rPr>
        <w:t xml:space="preserv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4"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6D19298F" w14:textId="6484A135" w:rsidR="00276BC3" w:rsidRDefault="00276BC3" w:rsidP="00276BC3">
      <w:pPr>
        <w:pStyle w:val="Heading3"/>
      </w:pPr>
      <w:r>
        <w:lastRenderedPageBreak/>
        <w:t>3</w:t>
      </w:r>
    </w:p>
    <w:p w14:paraId="18C01708" w14:textId="77777777" w:rsidR="00276BC3" w:rsidRPr="00BE5131" w:rsidRDefault="00276BC3" w:rsidP="00276BC3">
      <w:pPr>
        <w:pStyle w:val="Heading4"/>
        <w:rPr>
          <w:rFonts w:asciiTheme="minorHAnsi" w:hAnsiTheme="minorHAnsi" w:cstheme="minorHAnsi"/>
        </w:rPr>
      </w:pPr>
      <w:r w:rsidRPr="00BE5131">
        <w:rPr>
          <w:rFonts w:asciiTheme="minorHAnsi" w:hAnsiTheme="minorHAnsi" w:cstheme="minorHAnsi"/>
        </w:rPr>
        <w:t>CP: The World Intellectual Property Organization ought to reduce intellectual property protections for medicines.</w:t>
      </w:r>
    </w:p>
    <w:p w14:paraId="1C4053D1" w14:textId="77777777" w:rsidR="00276BC3" w:rsidRPr="00BE5131" w:rsidRDefault="00276BC3" w:rsidP="00276BC3">
      <w:pPr>
        <w:rPr>
          <w:rFonts w:asciiTheme="minorHAnsi" w:hAnsiTheme="minorHAnsi" w:cstheme="minorHAnsi"/>
        </w:rPr>
      </w:pPr>
    </w:p>
    <w:p w14:paraId="6ADC3E75" w14:textId="77777777" w:rsidR="00276BC3" w:rsidRPr="00BE5131" w:rsidRDefault="00276BC3" w:rsidP="00276BC3">
      <w:pPr>
        <w:pStyle w:val="Heading4"/>
        <w:rPr>
          <w:rFonts w:asciiTheme="minorHAnsi" w:hAnsiTheme="minorHAnsi" w:cstheme="minorHAnsi"/>
        </w:rPr>
      </w:pPr>
      <w:r w:rsidRPr="00BE5131">
        <w:rPr>
          <w:rFonts w:asciiTheme="minorHAnsi" w:hAnsiTheme="minorHAnsi" w:cstheme="minorHAnsi"/>
        </w:rPr>
        <w:t>WIPO has more norm-producing authority than the WTO and is more involved with implementation and perception around TRIPS</w:t>
      </w:r>
    </w:p>
    <w:p w14:paraId="1E54FDED" w14:textId="77777777" w:rsidR="00276BC3" w:rsidRPr="00BE5131" w:rsidRDefault="00276BC3" w:rsidP="00276BC3">
      <w:pPr>
        <w:spacing w:after="0"/>
        <w:rPr>
          <w:rStyle w:val="Style13ptBold"/>
          <w:rFonts w:asciiTheme="minorHAnsi" w:hAnsiTheme="minorHAnsi" w:cstheme="minorHAnsi"/>
          <w:b w:val="0"/>
          <w:bCs/>
        </w:rPr>
      </w:pPr>
      <w:proofErr w:type="spellStart"/>
      <w:r w:rsidRPr="00BE5131">
        <w:rPr>
          <w:rStyle w:val="Style13ptBold"/>
          <w:rFonts w:asciiTheme="minorHAnsi" w:hAnsiTheme="minorHAnsi" w:cstheme="minorHAnsi"/>
        </w:rPr>
        <w:t>Okediji</w:t>
      </w:r>
      <w:proofErr w:type="spellEnd"/>
      <w:r w:rsidRPr="00BE5131">
        <w:rPr>
          <w:rStyle w:val="Style13ptBold"/>
          <w:rFonts w:asciiTheme="minorHAnsi" w:hAnsiTheme="minorHAnsi" w:cstheme="minorHAnsi"/>
        </w:rPr>
        <w:t xml:space="preserve"> 14, Ruth, Jeremiah Smith. Jr, Professor of Law at Harvard Law School and Co-Director of the Berkman Klein Center, Balancing Health and Wealth: The Battle Over Intellectual Property and Access to Medicines in Latin America”, </w:t>
      </w:r>
      <w:hyperlink r:id="rId15"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rPr>
        <w:t>, Accessed 9/2/21 VD</w:t>
      </w:r>
    </w:p>
    <w:p w14:paraId="3D9E2478" w14:textId="77777777" w:rsidR="00276BC3" w:rsidRPr="00BE5131" w:rsidRDefault="00276BC3" w:rsidP="00276BC3">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w:t>
      </w:r>
      <w:proofErr w:type="spellStart"/>
      <w:r w:rsidRPr="00BE5131">
        <w:rPr>
          <w:rFonts w:asciiTheme="minorHAnsi" w:hAnsiTheme="minorHAnsi" w:cstheme="minorHAnsi"/>
          <w:sz w:val="12"/>
          <w:szCs w:val="12"/>
        </w:rPr>
        <w:t>Kostecki</w:t>
      </w:r>
      <w:proofErr w:type="spellEnd"/>
      <w:r w:rsidRPr="00BE5131">
        <w:rPr>
          <w:rFonts w:asciiTheme="minorHAnsi" w:hAnsiTheme="minorHAnsi" w:cstheme="minorHAnsi"/>
          <w:sz w:val="12"/>
          <w:szCs w:val="12"/>
        </w:rPr>
        <w:t xml:space="preserve"> 2006).</w:t>
      </w:r>
      <w:r w:rsidRPr="00BE5131">
        <w:rPr>
          <w:rFonts w:asciiTheme="minorHAnsi" w:hAnsiTheme="minorHAnsi" w:cstheme="minorHAnsi"/>
        </w:rPr>
        <w:t xml:space="preserve"> </w:t>
      </w:r>
      <w:proofErr w:type="gramStart"/>
      <w:r w:rsidRPr="00BE5131">
        <w:rPr>
          <w:rFonts w:asciiTheme="minorHAnsi" w:hAnsiTheme="minorHAnsi" w:cstheme="minorHAnsi"/>
          <w:u w:val="single"/>
        </w:rPr>
        <w:t>So</w:t>
      </w:r>
      <w:proofErr w:type="gramEnd"/>
      <w:r w:rsidRPr="00BE5131">
        <w:rPr>
          <w:rFonts w:asciiTheme="minorHAnsi" w:hAnsiTheme="minorHAnsi" w:cstheme="minorHAnsi"/>
          <w:u w:val="single"/>
        </w:rPr>
        <w:t xml:space="preserve">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w:t>
      </w:r>
      <w:proofErr w:type="spellStart"/>
      <w:r w:rsidRPr="00BE5131">
        <w:rPr>
          <w:rFonts w:asciiTheme="minorHAnsi" w:hAnsiTheme="minorHAnsi" w:cstheme="minorHAnsi"/>
          <w:sz w:val="12"/>
          <w:szCs w:val="12"/>
        </w:rPr>
        <w:t>Okediji</w:t>
      </w:r>
      <w:proofErr w:type="spellEnd"/>
      <w:r w:rsidRPr="00BE5131">
        <w:rPr>
          <w:rFonts w:asciiTheme="minorHAnsi" w:hAnsiTheme="minorHAnsi" w:cstheme="minorHAnsi"/>
          <w:sz w:val="12"/>
          <w:szCs w:val="12"/>
        </w:rPr>
        <w:t xml:space="preserve">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w:t>
      </w:r>
      <w:proofErr w:type="spellStart"/>
      <w:r w:rsidRPr="00BE5131">
        <w:rPr>
          <w:rFonts w:asciiTheme="minorHAnsi" w:hAnsiTheme="minorHAnsi" w:cstheme="minorHAnsi"/>
          <w:u w:val="single"/>
        </w:rPr>
        <w:t>Okediji</w:t>
      </w:r>
      <w:proofErr w:type="spellEnd"/>
      <w:r w:rsidRPr="00BE5131">
        <w:rPr>
          <w:rFonts w:asciiTheme="minorHAnsi" w:hAnsiTheme="minorHAnsi" w:cstheme="minorHAnsi"/>
          <w:u w:val="single"/>
        </w:rPr>
        <w:t xml:space="preserve"> 2008; </w:t>
      </w:r>
      <w:proofErr w:type="spellStart"/>
      <w:r w:rsidRPr="00BE5131">
        <w:rPr>
          <w:rFonts w:asciiTheme="minorHAnsi" w:hAnsiTheme="minorHAnsi" w:cstheme="minorHAnsi"/>
          <w:u w:val="single"/>
        </w:rPr>
        <w:t>Okediji</w:t>
      </w:r>
      <w:proofErr w:type="spellEnd"/>
      <w:r w:rsidRPr="00BE5131">
        <w:rPr>
          <w:rFonts w:asciiTheme="minorHAnsi" w:hAnsiTheme="minorHAnsi" w:cstheme="minorHAnsi"/>
          <w:u w:val="single"/>
        </w:rPr>
        <w:t xml:space="preserve"> 2003).</w:t>
      </w:r>
    </w:p>
    <w:p w14:paraId="4F296337" w14:textId="77777777" w:rsidR="00276BC3" w:rsidRPr="00276BC3" w:rsidRDefault="00276BC3" w:rsidP="00276BC3"/>
    <w:p w14:paraId="2B53F27C" w14:textId="5D6B012E" w:rsidR="003E77CD" w:rsidRPr="00291B0E" w:rsidRDefault="00276BC3" w:rsidP="003E77CD">
      <w:pPr>
        <w:pStyle w:val="Heading3"/>
      </w:pPr>
      <w:r>
        <w:lastRenderedPageBreak/>
        <w:t>4</w:t>
      </w:r>
    </w:p>
    <w:p w14:paraId="4E8A4913" w14:textId="77777777" w:rsidR="003E77CD" w:rsidRDefault="003E77CD" w:rsidP="003E77CD">
      <w:pPr>
        <w:pStyle w:val="Heading4"/>
      </w:pPr>
      <w:r>
        <w:rPr>
          <w:rFonts w:eastAsia="Calibri" w:cs="Calibri"/>
        </w:rPr>
        <w:t xml:space="preserve">The black female body continues to be exploited within the medical industrial complex – they refuse to consider how the so-called “benefits” of the </w:t>
      </w:r>
      <w:proofErr w:type="spellStart"/>
      <w:r>
        <w:rPr>
          <w:rFonts w:eastAsia="Calibri" w:cs="Calibri"/>
        </w:rPr>
        <w:t>aff</w:t>
      </w:r>
      <w:proofErr w:type="spellEnd"/>
      <w:r>
        <w:rPr>
          <w:rFonts w:eastAsia="Calibri" w:cs="Calibri"/>
        </w:rPr>
        <w:t xml:space="preserve"> will be distributed unequally and among racial lines</w:t>
      </w:r>
    </w:p>
    <w:p w14:paraId="2A22496D" w14:textId="77777777" w:rsidR="003E77CD" w:rsidRDefault="003E77CD" w:rsidP="003E77CD">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6">
        <w:r>
          <w:rPr>
            <w:rFonts w:eastAsia="Calibri" w:cs="Calibri"/>
            <w:color w:val="000000"/>
          </w:rPr>
          <w:t>https://www.upress.umn.edu/book-division/books/toward-a-global-idea-of-race</w:t>
        </w:r>
      </w:hyperlink>
      <w:r>
        <w:rPr>
          <w:rFonts w:eastAsia="Calibri" w:cs="Calibri"/>
        </w:rPr>
        <w:t>, Accessed 7/5/21 VD</w:t>
      </w:r>
    </w:p>
    <w:p w14:paraId="0067A72E" w14:textId="77777777" w:rsidR="003E77CD" w:rsidRDefault="003E77CD" w:rsidP="003E77CD">
      <w:pPr>
        <w:rPr>
          <w:rFonts w:eastAsia="Calibri" w:cs="Calibri"/>
          <w:sz w:val="12"/>
          <w:szCs w:val="12"/>
        </w:rPr>
      </w:pPr>
      <w:r>
        <w:rPr>
          <w:rFonts w:eastAsia="Calibri" w:cs="Calibri"/>
          <w:sz w:val="12"/>
          <w:szCs w:val="12"/>
        </w:rPr>
        <w:t xml:space="preserve">My point is that the metaphor of the veil reproduces the effect of power of the sociohistorical logic of exclusion —which, as I show in Part 2, consists in a powerful tool of the analytics of </w:t>
      </w:r>
      <w:proofErr w:type="spellStart"/>
      <w:r>
        <w:rPr>
          <w:rFonts w:eastAsia="Calibri" w:cs="Calibri"/>
          <w:sz w:val="12"/>
          <w:szCs w:val="12"/>
        </w:rPr>
        <w:t>raciality</w:t>
      </w:r>
      <w:proofErr w:type="spellEnd"/>
      <w:r>
        <w:rPr>
          <w:rFonts w:eastAsia="Calibri" w:cs="Calibri"/>
          <w:sz w:val="12"/>
          <w:szCs w:val="12"/>
        </w:rPr>
        <w:t xml:space="preserve">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w:t>
      </w:r>
      <w:proofErr w:type="gramStart"/>
      <w:r>
        <w:rPr>
          <w:rFonts w:eastAsia="Calibri" w:cs="Calibri"/>
          <w:u w:val="single"/>
        </w:rPr>
        <w:t>ushers</w:t>
      </w:r>
      <w:proofErr w:type="gramEnd"/>
      <w:r>
        <w:rPr>
          <w:rFonts w:eastAsia="Calibri" w:cs="Calibri"/>
          <w:u w:val="single"/>
        </w:rPr>
        <w:t xml:space="preserve">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w:t>
      </w:r>
      <w:proofErr w:type="gramStart"/>
      <w:r>
        <w:rPr>
          <w:rFonts w:eastAsia="Calibri" w:cs="Calibri"/>
          <w:u w:val="single"/>
        </w:rPr>
        <w:t xml:space="preserve">once again </w:t>
      </w:r>
      <w:r w:rsidRPr="00403D65">
        <w:rPr>
          <w:rFonts w:eastAsia="Calibri" w:cs="Calibri"/>
          <w:highlight w:val="cyan"/>
          <w:u w:val="single"/>
        </w:rPr>
        <w:t>denounce race’s scientific irrelevance</w:t>
      </w:r>
      <w:proofErr w:type="gramEnd"/>
      <w:r>
        <w:rPr>
          <w:rFonts w:eastAsia="Calibri" w:cs="Calibri"/>
          <w:u w:val="single"/>
        </w:rPr>
        <w:t>.</w:t>
      </w:r>
      <w:r>
        <w:rPr>
          <w:rFonts w:eastAsia="Calibri" w:cs="Calibri"/>
        </w:rPr>
        <w:t xml:space="preserve"> </w:t>
      </w:r>
      <w:r>
        <w:rPr>
          <w:rFonts w:eastAsia="Calibri" w:cs="Calibr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w:t>
      </w:r>
      <w:proofErr w:type="spellStart"/>
      <w:r>
        <w:rPr>
          <w:rFonts w:eastAsia="Calibri" w:cs="Calibri"/>
          <w:sz w:val="12"/>
          <w:szCs w:val="12"/>
        </w:rPr>
        <w:t>Lacks’s</w:t>
      </w:r>
      <w:proofErr w:type="spellEnd"/>
      <w:r>
        <w:rPr>
          <w:rFonts w:eastAsia="Calibri" w:cs="Calibri"/>
          <w:sz w:val="12"/>
          <w:szCs w:val="12"/>
        </w:rPr>
        <w:t xml:space="preserve">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w:t>
      </w:r>
      <w:proofErr w:type="gramStart"/>
      <w:r>
        <w:rPr>
          <w:rFonts w:eastAsia="Calibri" w:cs="Calibri"/>
          <w:sz w:val="12"/>
          <w:szCs w:val="12"/>
        </w:rPr>
        <w:t>self -determination</w:t>
      </w:r>
      <w:proofErr w:type="gramEnd"/>
      <w:r>
        <w:rPr>
          <w:rFonts w:eastAsia="Calibri" w:cs="Calibri"/>
          <w:sz w:val="12"/>
          <w:szCs w:val="12"/>
        </w:rPr>
        <w:t xml:space="preserve">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 xml:space="preserve">Across the earth, women still die of cervical cancer despite the advances </w:t>
      </w:r>
      <w:proofErr w:type="spellStart"/>
      <w:r>
        <w:rPr>
          <w:rFonts w:eastAsia="Calibri" w:cs="Calibri"/>
          <w:sz w:val="12"/>
          <w:szCs w:val="12"/>
        </w:rPr>
        <w:t>Lacks’s</w:t>
      </w:r>
      <w:proofErr w:type="spellEnd"/>
      <w:r>
        <w:rPr>
          <w:rFonts w:eastAsia="Calibri" w:cs="Calibri"/>
          <w:sz w:val="12"/>
          <w:szCs w:val="12"/>
        </w:rPr>
        <w:t xml:space="preserve">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 xml:space="preserve">Whether inspired by humanism or not, any critical </w:t>
      </w:r>
      <w:proofErr w:type="spellStart"/>
      <w:r>
        <w:rPr>
          <w:rFonts w:eastAsia="Calibri" w:cs="Calibri"/>
          <w:sz w:val="12"/>
          <w:szCs w:val="12"/>
        </w:rPr>
        <w:t>ontoepistemological</w:t>
      </w:r>
      <w:proofErr w:type="spellEnd"/>
      <w:r>
        <w:rPr>
          <w:rFonts w:eastAsia="Calibri" w:cs="Calibri"/>
          <w:sz w:val="12"/>
          <w:szCs w:val="12"/>
        </w:rPr>
        <w:t xml:space="preserve">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w:t>
      </w:r>
      <w:proofErr w:type="spellStart"/>
      <w:r>
        <w:rPr>
          <w:rFonts w:eastAsia="Calibri" w:cs="Calibri"/>
          <w:sz w:val="12"/>
          <w:szCs w:val="12"/>
        </w:rPr>
        <w:t>postracial</w:t>
      </w:r>
      <w:proofErr w:type="spellEnd"/>
      <w:r>
        <w:rPr>
          <w:rFonts w:eastAsia="Calibri" w:cs="Calibri"/>
          <w:sz w:val="12"/>
          <w:szCs w:val="12"/>
        </w:rPr>
        <w:t xml:space="preserve">, transparent future: “The spaces in which ‘races’ come to life,” Gilroy laments, “are a field from which political interaction has been banished” (41). What would be left, I ask, to the project of social or global justice if modern subjects were freed from </w:t>
      </w:r>
      <w:proofErr w:type="spellStart"/>
      <w:r>
        <w:rPr>
          <w:rFonts w:eastAsia="Calibri" w:cs="Calibri"/>
          <w:sz w:val="12"/>
          <w:szCs w:val="12"/>
        </w:rPr>
        <w:t>raciality</w:t>
      </w:r>
      <w:proofErr w:type="spellEnd"/>
      <w:r>
        <w:rPr>
          <w:rFonts w:eastAsia="Calibri" w:cs="Calibri"/>
          <w:sz w:val="12"/>
          <w:szCs w:val="12"/>
        </w:rPr>
        <w:t>?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w:t>
      </w:r>
      <w:r w:rsidRPr="00F06E8B">
        <w:rPr>
          <w:rFonts w:eastAsia="Calibri" w:cs="Calibri"/>
          <w:sz w:val="12"/>
          <w:szCs w:val="12"/>
        </w:rPr>
        <w:lastRenderedPageBreak/>
        <w:t xml:space="preserve">analysis of the economy of signification governed by the transparency thesis and the analytics of </w:t>
      </w:r>
      <w:proofErr w:type="spellStart"/>
      <w:r w:rsidRPr="00F06E8B">
        <w:rPr>
          <w:rFonts w:eastAsia="Calibri" w:cs="Calibri"/>
          <w:sz w:val="12"/>
          <w:szCs w:val="12"/>
        </w:rPr>
        <w:t>raciality</w:t>
      </w:r>
      <w:proofErr w:type="spellEnd"/>
      <w:r w:rsidRPr="00F06E8B">
        <w:rPr>
          <w:rFonts w:eastAsia="Calibri" w:cs="Calibri"/>
          <w:sz w:val="12"/>
          <w:szCs w:val="12"/>
        </w:rPr>
        <w:t xml:space="preserve">, will enable critical </w:t>
      </w:r>
      <w:proofErr w:type="spellStart"/>
      <w:r w:rsidRPr="00F06E8B">
        <w:rPr>
          <w:rFonts w:eastAsia="Calibri" w:cs="Calibri"/>
          <w:sz w:val="12"/>
          <w:szCs w:val="12"/>
        </w:rPr>
        <w:t>ontoepistemological</w:t>
      </w:r>
      <w:proofErr w:type="spellEnd"/>
      <w:r w:rsidRPr="00F06E8B">
        <w:rPr>
          <w:rFonts w:eastAsia="Calibri" w:cs="Calibri"/>
          <w:sz w:val="12"/>
          <w:szCs w:val="12"/>
        </w:rPr>
        <w:t xml:space="preserve"> projects and the ethical principle that usually accompany them, which can aid in the project of global justice.</w:t>
      </w:r>
    </w:p>
    <w:p w14:paraId="23853541" w14:textId="77777777" w:rsidR="003E77CD" w:rsidRPr="00F468DB" w:rsidRDefault="003E77CD" w:rsidP="003E77CD">
      <w:pPr>
        <w:pStyle w:val="Heading4"/>
      </w:pPr>
      <w:r w:rsidRPr="00F468DB">
        <w:t xml:space="preserve">The WTO regime is emblematic of the globalization of corporate capitalism and </w:t>
      </w:r>
      <w:proofErr w:type="gramStart"/>
      <w:r w:rsidRPr="00F468DB">
        <w:t>late stage</w:t>
      </w:r>
      <w:proofErr w:type="gramEnd"/>
      <w:r w:rsidRPr="00F468DB">
        <w:t xml:space="preserve"> capitalism’s imperialism – the affirmative’s call to take action through the WTO only reproduces imperialism and the world economy </w:t>
      </w:r>
    </w:p>
    <w:p w14:paraId="4858B22A" w14:textId="77777777" w:rsidR="003E77CD" w:rsidRPr="00F468DB" w:rsidRDefault="003E77CD" w:rsidP="003E77CD">
      <w:r w:rsidRPr="00F468DB">
        <w:rPr>
          <w:rStyle w:val="Style13ptBold"/>
        </w:rPr>
        <w:t>Fukuda 10</w:t>
      </w:r>
      <w:r w:rsidRPr="00F468DB">
        <w:t xml:space="preserve">, Yasuo Fukuda, Professor of Graduate School of Economics at </w:t>
      </w:r>
      <w:proofErr w:type="spellStart"/>
      <w:r w:rsidRPr="00F468DB">
        <w:t>Hitotsubashi</w:t>
      </w:r>
      <w:proofErr w:type="spellEnd"/>
      <w:r w:rsidRPr="00F468DB">
        <w:t xml:space="preserve">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7" w:history="1">
        <w:r w:rsidRPr="00F468DB">
          <w:rPr>
            <w:rStyle w:val="Hyperlink"/>
          </w:rPr>
          <w:t>https://hermes-ir.lib.hit-u.ac.jp/hermes/ir/re/22161/0101106701.pdf</w:t>
        </w:r>
      </w:hyperlink>
      <w:r w:rsidRPr="00F468DB">
        <w:t xml:space="preserve">, accessed by </w:t>
      </w:r>
      <w:proofErr w:type="spellStart"/>
      <w:r w:rsidRPr="00F468DB">
        <w:t>apark</w:t>
      </w:r>
      <w:proofErr w:type="spellEnd"/>
      <w:r w:rsidRPr="00F468DB">
        <w:t xml:space="preserve"> 7/5/21</w:t>
      </w:r>
    </w:p>
    <w:p w14:paraId="0DB7DC4A" w14:textId="77777777" w:rsidR="003E77CD" w:rsidRPr="00291B0E" w:rsidRDefault="003E77CD" w:rsidP="003E77CD">
      <w:pPr>
        <w:spacing w:line="240" w:lineRule="auto"/>
        <w:rPr>
          <w:b/>
          <w:iCs/>
          <w:u w:val="single"/>
        </w:rPr>
      </w:pPr>
      <w:r w:rsidRPr="00403D65">
        <w:rPr>
          <w:rFonts w:eastAsia="Times New Roman" w:cs="Calibri"/>
          <w:highlight w:val="cyan"/>
          <w:u w:val="single"/>
        </w:rPr>
        <w:t>Lenin outlined five pillars</w:t>
      </w:r>
      <w:r w:rsidRPr="00125DFC">
        <w:rPr>
          <w:rFonts w:eastAsia="Times New Roman" w:cs="Calibri"/>
          <w:u w:val="single"/>
        </w:rPr>
        <w:t xml:space="preserve"> by which </w:t>
      </w:r>
      <w:r w:rsidRPr="00403D65">
        <w:rPr>
          <w:rFonts w:eastAsia="Times New Roman" w:cs="Calibri"/>
          <w:highlight w:val="cyan"/>
          <w:u w:val="single"/>
        </w:rPr>
        <w:t>to define imperialism</w:t>
      </w:r>
      <w:r w:rsidRPr="00125DFC">
        <w:rPr>
          <w:rFonts w:eastAsia="Times New Roman" w:cs="Calibri"/>
          <w:u w:val="single"/>
        </w:rPr>
        <w:t xml:space="preserve">. The </w:t>
      </w:r>
      <w:r w:rsidRPr="00403D65">
        <w:rPr>
          <w:rFonts w:eastAsia="Times New Roman" w:cs="Calibri"/>
          <w:highlight w:val="cyan"/>
          <w:u w:val="single"/>
        </w:rPr>
        <w:t>first is monopoly capital gaining control of</w:t>
      </w:r>
      <w:r w:rsidRPr="00FB5BB0">
        <w:rPr>
          <w:rFonts w:eastAsia="Times New Roman" w:cs="Calibri"/>
          <w:u w:val="single"/>
        </w:rPr>
        <w:t xml:space="preserve"> the </w:t>
      </w:r>
      <w:r w:rsidRPr="00403D65">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403D65">
        <w:rPr>
          <w:rFonts w:eastAsia="Times New Roman" w:cs="Calibri"/>
          <w:highlight w:val="cyan"/>
          <w:u w:val="single"/>
        </w:rPr>
        <w:t>second</w:t>
      </w:r>
      <w:r w:rsidRPr="00125DFC">
        <w:rPr>
          <w:rFonts w:eastAsia="Times New Roman" w:cs="Calibri"/>
          <w:u w:val="single"/>
        </w:rPr>
        <w:t xml:space="preserve"> pillar </w:t>
      </w:r>
      <w:r w:rsidRPr="00403D65">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403D65">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403D65">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403D65">
        <w:rPr>
          <w:rFonts w:eastAsia="Times New Roman" w:cs="Calibri"/>
          <w:highlight w:val="cyan"/>
          <w:u w:val="single"/>
        </w:rPr>
        <w:t>over-accumulation</w:t>
      </w:r>
      <w:r w:rsidRPr="00125DFC">
        <w:rPr>
          <w:rFonts w:eastAsia="Times New Roman" w:cs="Calibri"/>
          <w:u w:val="single"/>
        </w:rPr>
        <w:t xml:space="preserve">, which </w:t>
      </w:r>
      <w:r w:rsidRPr="00403D65">
        <w:rPr>
          <w:highlight w:val="cyan"/>
          <w:u w:val="single"/>
        </w:rPr>
        <w:t>forces monopoly capital to export merchandise and invest abroad.</w:t>
      </w:r>
      <w:r w:rsidRPr="00125DFC">
        <w:rPr>
          <w:rFonts w:eastAsia="Times New Roman" w:cs="Calibri"/>
          <w:u w:val="single"/>
        </w:rPr>
        <w:t xml:space="preserve"> The </w:t>
      </w:r>
      <w:r w:rsidRPr="00403D65">
        <w:rPr>
          <w:rFonts w:eastAsia="Times New Roman" w:cs="Calibri"/>
          <w:highlight w:val="cyan"/>
          <w:u w:val="single"/>
        </w:rPr>
        <w:t>fourth</w:t>
      </w:r>
      <w:r w:rsidRPr="00125DFC">
        <w:rPr>
          <w:rFonts w:eastAsia="Times New Roman" w:cs="Calibri"/>
          <w:u w:val="single"/>
        </w:rPr>
        <w:t xml:space="preserve"> pillar </w:t>
      </w:r>
      <w:r w:rsidRPr="00403D65">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403D65">
        <w:rPr>
          <w:highlight w:val="cyan"/>
          <w:u w:val="single"/>
        </w:rPr>
        <w:t xml:space="preserve">fifth </w:t>
      </w:r>
      <w:r w:rsidRPr="00125DFC">
        <w:rPr>
          <w:u w:val="single"/>
        </w:rPr>
        <w:t xml:space="preserve">pillar </w:t>
      </w:r>
      <w:r w:rsidRPr="00403D65">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125DFC">
        <w:rPr>
          <w:rFonts w:eastAsia="Times New Roman" w:cs="Calibri"/>
          <w:sz w:val="16"/>
        </w:rPr>
        <w:t>as a means to</w:t>
      </w:r>
      <w:proofErr w:type="gramEnd"/>
      <w:r w:rsidRPr="00125DFC">
        <w:rPr>
          <w:rFonts w:eastAsia="Times New Roman" w:cs="Calibri"/>
          <w:sz w:val="16"/>
        </w:rPr>
        <w:t xml:space="preserve">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w:t>
      </w:r>
      <w:proofErr w:type="gramStart"/>
      <w:r w:rsidRPr="00125DFC">
        <w:rPr>
          <w:rFonts w:eastAsia="Times New Roman" w:cs="Calibri"/>
          <w:sz w:val="16"/>
        </w:rPr>
        <w:t>final outcome</w:t>
      </w:r>
      <w:proofErr w:type="gramEnd"/>
      <w:r w:rsidRPr="00125DFC">
        <w:rPr>
          <w:rFonts w:eastAsia="Times New Roman" w:cs="Calibri"/>
          <w:sz w:val="16"/>
        </w:rPr>
        <w:t xml:space="preserve"> of the governing power of monopoly capital. </w:t>
      </w:r>
      <w:proofErr w:type="gramStart"/>
      <w:r w:rsidRPr="00125DFC">
        <w:rPr>
          <w:rFonts w:eastAsia="Times New Roman" w:cs="Calibri"/>
          <w:sz w:val="16"/>
        </w:rPr>
        <w:t>This is why</w:t>
      </w:r>
      <w:proofErr w:type="gramEnd"/>
      <w:r w:rsidRPr="00125DFC">
        <w:rPr>
          <w:rFonts w:eastAsia="Times New Roman" w:cs="Calibri"/>
          <w:sz w:val="16"/>
        </w:rPr>
        <w:t xml:space="preserve">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w:t>
      </w:r>
      <w:proofErr w:type="gramStart"/>
      <w:r w:rsidRPr="00125DFC">
        <w:rPr>
          <w:rFonts w:eastAsia="Times New Roman" w:cs="Calibri"/>
          <w:u w:val="single"/>
        </w:rPr>
        <w:t xml:space="preserve">it is clear that </w:t>
      </w:r>
      <w:r w:rsidRPr="00403D65">
        <w:rPr>
          <w:rFonts w:eastAsia="Times New Roman" w:cs="Calibri"/>
          <w:highlight w:val="cyan"/>
          <w:u w:val="single"/>
        </w:rPr>
        <w:t>four of the five</w:t>
      </w:r>
      <w:proofErr w:type="gramEnd"/>
      <w:r w:rsidRPr="00403D65">
        <w:rPr>
          <w:rFonts w:eastAsia="Times New Roman" w:cs="Calibri"/>
          <w:highlight w:val="cyan"/>
          <w:u w:val="single"/>
        </w:rPr>
        <w:t xml:space="preserve"> pillars</w:t>
      </w:r>
      <w:r w:rsidRPr="00125DFC">
        <w:rPr>
          <w:rFonts w:eastAsia="Times New Roman" w:cs="Calibri"/>
          <w:u w:val="single"/>
        </w:rPr>
        <w:t xml:space="preserve"> (excepting the fifth) </w:t>
      </w:r>
      <w:r w:rsidRPr="00403D65">
        <w:rPr>
          <w:rFonts w:eastAsia="Times New Roman" w:cs="Calibri"/>
          <w:highlight w:val="cyan"/>
          <w:u w:val="single"/>
        </w:rPr>
        <w:t>are</w:t>
      </w:r>
      <w:r w:rsidRPr="00FB5BB0">
        <w:rPr>
          <w:rFonts w:eastAsia="Times New Roman" w:cs="Calibri"/>
          <w:u w:val="single"/>
        </w:rPr>
        <w:t xml:space="preserve"> still </w:t>
      </w:r>
      <w:r w:rsidRPr="00403D65">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403D65">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w:t>
      </w:r>
      <w:r w:rsidRPr="00125DFC">
        <w:rPr>
          <w:rFonts w:eastAsia="Times New Roman" w:cs="Calibri"/>
          <w:sz w:val="16"/>
        </w:rPr>
        <w:lastRenderedPageBreak/>
        <w:t>lobbying, revolving doors, and the like.</w:t>
      </w:r>
      <w:r w:rsidRPr="00F468DB">
        <w:rPr>
          <w:rFonts w:eastAsia="Times New Roman" w:cs="Calibri"/>
          <w:sz w:val="16"/>
        </w:rPr>
        <w:t xml:space="preserve"> </w:t>
      </w:r>
      <w:r w:rsidRPr="00083F9C">
        <w:rPr>
          <w:rFonts w:eastAsia="Times New Roman" w:cs="Calibri"/>
          <w:u w:val="single"/>
        </w:rPr>
        <w:t xml:space="preserve">Second, </w:t>
      </w:r>
      <w:proofErr w:type="gramStart"/>
      <w:r w:rsidRPr="00083F9C">
        <w:rPr>
          <w:rFonts w:eastAsia="Times New Roman" w:cs="Calibri"/>
          <w:u w:val="single"/>
        </w:rPr>
        <w:t>industrial</w:t>
      </w:r>
      <w:proofErr w:type="gramEnd"/>
      <w:r w:rsidRPr="00083F9C">
        <w:rPr>
          <w:rFonts w:eastAsia="Times New Roman" w:cs="Calibri"/>
          <w:u w:val="single"/>
        </w:rPr>
        <w:t xml:space="preserve">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w:t>
      </w:r>
      <w:proofErr w:type="gramStart"/>
      <w:r w:rsidRPr="00083F9C">
        <w:rPr>
          <w:rFonts w:eastAsia="Times New Roman" w:cs="Calibri"/>
          <w:u w:val="single"/>
        </w:rPr>
        <w:t>in the course of</w:t>
      </w:r>
      <w:proofErr w:type="gramEnd"/>
      <w:r w:rsidRPr="00083F9C">
        <w:rPr>
          <w:rFonts w:eastAsia="Times New Roman" w:cs="Calibri"/>
          <w:u w:val="single"/>
        </w:rPr>
        <w:t xml:space="preserve"> intense competition over dominant market shares, large multinational corporations often collude to form price cartels (Connor 2001; </w:t>
      </w:r>
      <w:proofErr w:type="spellStart"/>
      <w:r w:rsidRPr="00083F9C">
        <w:rPr>
          <w:rFonts w:eastAsia="Times New Roman" w:cs="Calibri"/>
          <w:u w:val="single"/>
        </w:rPr>
        <w:t>Levenstein</w:t>
      </w:r>
      <w:proofErr w:type="spellEnd"/>
      <w:r w:rsidRPr="00083F9C">
        <w:rPr>
          <w:rFonts w:eastAsia="Times New Roman" w:cs="Calibri"/>
          <w:u w:val="single"/>
        </w:rPr>
        <w:t xml:space="preserve"> and </w:t>
      </w:r>
      <w:proofErr w:type="spellStart"/>
      <w:r w:rsidRPr="00083F9C">
        <w:rPr>
          <w:rFonts w:eastAsia="Times New Roman" w:cs="Calibri"/>
          <w:u w:val="single"/>
        </w:rPr>
        <w:t>Suslow</w:t>
      </w:r>
      <w:proofErr w:type="spellEnd"/>
      <w:r w:rsidRPr="00083F9C">
        <w:rPr>
          <w:rFonts w:eastAsia="Times New Roman" w:cs="Calibri"/>
          <w:u w:val="single"/>
        </w:rPr>
        <w:t xml:space="preserve">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403D65">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403D65">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 xml:space="preserve">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83F9C">
        <w:rPr>
          <w:rFonts w:eastAsia="Times New Roman" w:cs="Calibri"/>
          <w:u w:val="single"/>
        </w:rPr>
        <w:t>Traidcraft</w:t>
      </w:r>
      <w:proofErr w:type="spellEnd"/>
      <w:r w:rsidRPr="00083F9C">
        <w:rPr>
          <w:rFonts w:eastAsia="Times New Roman" w:cs="Calibri"/>
          <w:u w:val="single"/>
        </w:rPr>
        <w:t xml:space="preserve">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83F9C">
        <w:rPr>
          <w:rFonts w:eastAsia="Times New Roman" w:cs="Calibri"/>
          <w:sz w:val="16"/>
        </w:rPr>
        <w:t>Balanyá</w:t>
      </w:r>
      <w:proofErr w:type="spellEnd"/>
      <w:r w:rsidRPr="00083F9C">
        <w:rPr>
          <w:rFonts w:eastAsia="Times New Roman" w:cs="Calibri"/>
          <w:sz w:val="16"/>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403D65">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403D65">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w:t>
      </w:r>
      <w:proofErr w:type="gramStart"/>
      <w:r w:rsidRPr="00125DFC">
        <w:rPr>
          <w:rFonts w:eastAsia="Times New Roman" w:cs="Calibri"/>
          <w:sz w:val="16"/>
        </w:rPr>
        <w:t>in order to</w:t>
      </w:r>
      <w:proofErr w:type="gramEnd"/>
      <w:r w:rsidRPr="00125DFC">
        <w:rPr>
          <w:rFonts w:eastAsia="Times New Roman" w:cs="Calibri"/>
          <w:sz w:val="16"/>
        </w:rPr>
        <w:t xml:space="preserve"> facilitate employee sharing between multinational corporations and the Bank (Cray 2006). </w:t>
      </w:r>
      <w:r w:rsidRPr="00125DFC">
        <w:rPr>
          <w:rFonts w:eastAsia="Times New Roman" w:cs="Calibri"/>
          <w:u w:val="single"/>
        </w:rPr>
        <w:t xml:space="preserve">It was against this backdrop that the IMF and World Bank, </w:t>
      </w:r>
      <w:r w:rsidRPr="00403D65">
        <w:rPr>
          <w:rFonts w:eastAsia="Times New Roman" w:cs="Calibri"/>
          <w:highlight w:val="cyan"/>
          <w:u w:val="single"/>
        </w:rPr>
        <w:t>through loan conditionality,</w:t>
      </w:r>
      <w:r w:rsidRPr="00125DFC">
        <w:rPr>
          <w:rFonts w:eastAsia="Times New Roman" w:cs="Calibri"/>
          <w:u w:val="single"/>
        </w:rPr>
        <w:t xml:space="preserve"> forced </w:t>
      </w:r>
      <w:r w:rsidRPr="00403D65">
        <w:rPr>
          <w:rFonts w:eastAsia="Times New Roman" w:cs="Calibri"/>
          <w:highlight w:val="cyan"/>
          <w:u w:val="single"/>
        </w:rPr>
        <w:t>developing countries</w:t>
      </w:r>
      <w:r w:rsidRPr="00125DFC">
        <w:rPr>
          <w:rFonts w:eastAsia="Times New Roman" w:cs="Calibri"/>
          <w:u w:val="single"/>
        </w:rPr>
        <w:t xml:space="preserve"> to </w:t>
      </w:r>
      <w:r w:rsidRPr="00403D65">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t>
      </w:r>
      <w:proofErr w:type="spellStart"/>
      <w:r w:rsidRPr="00125DFC">
        <w:rPr>
          <w:rFonts w:eastAsia="Times New Roman" w:cs="Calibri"/>
          <w:u w:val="single"/>
        </w:rPr>
        <w:t>Weisbrot</w:t>
      </w:r>
      <w:proofErr w:type="spellEnd"/>
      <w:r w:rsidRPr="00125DFC">
        <w:rPr>
          <w:rFonts w:eastAsia="Times New Roman" w:cs="Calibri"/>
          <w:u w:val="single"/>
        </w:rPr>
        <w:t xml:space="preserve">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403D65">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618AACFE" w14:textId="77777777" w:rsidR="003E77CD" w:rsidRDefault="003E77CD" w:rsidP="003E77CD">
      <w:pPr>
        <w:pStyle w:val="Heading4"/>
      </w:pPr>
      <w:r>
        <w:rPr>
          <w:rFonts w:eastAsia="Calibri" w:cs="Calibri"/>
        </w:rPr>
        <w:lastRenderedPageBreak/>
        <w:t>Capitalism is a project of white domination – racialized bodies are exploited and dominated within the system</w:t>
      </w:r>
    </w:p>
    <w:p w14:paraId="201B6943" w14:textId="77777777" w:rsidR="003E77CD" w:rsidRPr="00BD2ED3" w:rsidRDefault="003E77CD" w:rsidP="003E77CD">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8">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56A1F2C6" w14:textId="77777777" w:rsidR="003E77CD" w:rsidRPr="009B3D58" w:rsidRDefault="003E77CD" w:rsidP="003E77CD">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w:t>
      </w:r>
      <w:proofErr w:type="spellStart"/>
      <w:r w:rsidRPr="00723F9F">
        <w:rPr>
          <w:sz w:val="12"/>
          <w:szCs w:val="12"/>
        </w:rPr>
        <w:t>Perrow</w:t>
      </w:r>
      <w:proofErr w:type="spellEnd"/>
      <w:r w:rsidRPr="00723F9F">
        <w:rPr>
          <w:sz w:val="12"/>
          <w:szCs w:val="12"/>
        </w:rPr>
        <w:t xml:space="preserve">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w:t>
      </w:r>
      <w:proofErr w:type="gramStart"/>
      <w:r w:rsidRPr="00723F9F">
        <w:rPr>
          <w:sz w:val="12"/>
          <w:szCs w:val="12"/>
        </w:rPr>
        <w:t>actually skilled</w:t>
      </w:r>
      <w:proofErr w:type="gramEnd"/>
      <w:r w:rsidRPr="00723F9F">
        <w:rPr>
          <w:sz w:val="12"/>
          <w:szCs w:val="12"/>
        </w:rPr>
        <w:t xml:space="preserve"> workers (</w:t>
      </w:r>
      <w:proofErr w:type="spellStart"/>
      <w:r w:rsidRPr="00723F9F">
        <w:rPr>
          <w:sz w:val="12"/>
          <w:szCs w:val="12"/>
        </w:rPr>
        <w:t>Brodkin</w:t>
      </w:r>
      <w:proofErr w:type="spellEnd"/>
      <w:r w:rsidRPr="00723F9F">
        <w:rPr>
          <w:sz w:val="12"/>
          <w:szCs w:val="12"/>
        </w:rPr>
        <w:t xml:space="preserve">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w:t>
      </w:r>
      <w:proofErr w:type="spellStart"/>
      <w:r w:rsidRPr="00723F9F">
        <w:rPr>
          <w:sz w:val="12"/>
          <w:szCs w:val="12"/>
        </w:rPr>
        <w:t>Amott</w:t>
      </w:r>
      <w:proofErr w:type="spellEnd"/>
      <w:r w:rsidRPr="00723F9F">
        <w:rPr>
          <w:sz w:val="12"/>
          <w:szCs w:val="12"/>
        </w:rPr>
        <w:t xml:space="preserve">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w:t>
      </w:r>
      <w:proofErr w:type="gramStart"/>
      <w:r w:rsidRPr="00723F9F">
        <w:rPr>
          <w:sz w:val="12"/>
          <w:szCs w:val="12"/>
        </w:rPr>
        <w:t>on the basis of</w:t>
      </w:r>
      <w:proofErr w:type="gramEnd"/>
      <w:r w:rsidRPr="00723F9F">
        <w:rPr>
          <w:sz w:val="12"/>
          <w:szCs w:val="12"/>
        </w:rPr>
        <w:t xml:space="preserve"> both gender and race. Unequal pay patterns went along with sex and race segregation, stratification, and exclusion. Differences in the earnings and wealth (Keister 2000) of women and men existed before the development of the capitalist wage (</w:t>
      </w:r>
      <w:proofErr w:type="spellStart"/>
      <w:r w:rsidRPr="00723F9F">
        <w:rPr>
          <w:sz w:val="12"/>
          <w:szCs w:val="12"/>
        </w:rPr>
        <w:t>Padavic</w:t>
      </w:r>
      <w:proofErr w:type="spellEnd"/>
      <w:r w:rsidRPr="00723F9F">
        <w:rPr>
          <w:sz w:val="12"/>
          <w:szCs w:val="12"/>
        </w:rPr>
        <w:t xml:space="preserve">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w:t>
      </w:r>
      <w:proofErr w:type="spellStart"/>
      <w:r w:rsidRPr="00723F9F">
        <w:rPr>
          <w:sz w:val="12"/>
          <w:szCs w:val="12"/>
        </w:rPr>
        <w:t>Figart</w:t>
      </w:r>
      <w:proofErr w:type="spellEnd"/>
      <w:r w:rsidRPr="00723F9F">
        <w:rPr>
          <w:sz w:val="12"/>
          <w:szCs w:val="12"/>
        </w:rPr>
        <w:t xml:space="preserve">, </w:t>
      </w:r>
      <w:proofErr w:type="spellStart"/>
      <w:r w:rsidRPr="00723F9F">
        <w:rPr>
          <w:sz w:val="12"/>
          <w:szCs w:val="12"/>
        </w:rPr>
        <w:t>Mutari</w:t>
      </w:r>
      <w:proofErr w:type="spellEnd"/>
      <w:r w:rsidRPr="00723F9F">
        <w:rPr>
          <w:sz w:val="12"/>
          <w:szCs w:val="12"/>
        </w:rPr>
        <w:t xml:space="preserve">, and Power 2002). </w:t>
      </w:r>
      <w:proofErr w:type="gramStart"/>
      <w:r w:rsidRPr="00723F9F">
        <w:rPr>
          <w:sz w:val="12"/>
          <w:szCs w:val="12"/>
        </w:rPr>
        <w:t>African-American</w:t>
      </w:r>
      <w:proofErr w:type="gramEnd"/>
      <w:r w:rsidRPr="00723F9F">
        <w:rPr>
          <w:sz w:val="12"/>
          <w:szCs w:val="12"/>
        </w:rPr>
        <w:t xml:space="preserve">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t>
      </w:r>
      <w:proofErr w:type="gramStart"/>
      <w:r w:rsidRPr="009B3D58">
        <w:rPr>
          <w:u w:val="single"/>
        </w:rPr>
        <w:t>women</w:t>
      </w:r>
      <w:proofErr w:type="gramEnd"/>
      <w:r w:rsidRPr="009B3D58">
        <w:rPr>
          <w:u w:val="single"/>
        </w:rPr>
        <w:t xml:space="preserve">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w:t>
      </w:r>
      <w:proofErr w:type="gramStart"/>
      <w:r w:rsidRPr="00723F9F">
        <w:rPr>
          <w:sz w:val="12"/>
          <w:szCs w:val="12"/>
        </w:rPr>
        <w:t>often larger</w:t>
      </w:r>
      <w:proofErr w:type="gramEnd"/>
      <w:r w:rsidRPr="00723F9F">
        <w:rPr>
          <w:sz w:val="12"/>
          <w:szCs w:val="12"/>
        </w:rPr>
        <w:t xml:space="preserve"> female work force in low-wage routine jobs, while males worked in other more highly paid, less routine, positions (Acker and Van </w:t>
      </w:r>
      <w:proofErr w:type="spellStart"/>
      <w:r w:rsidRPr="00723F9F">
        <w:rPr>
          <w:sz w:val="12"/>
          <w:szCs w:val="12"/>
        </w:rPr>
        <w:t>Houten</w:t>
      </w:r>
      <w:proofErr w:type="spellEnd"/>
      <w:r w:rsidRPr="00723F9F">
        <w:rPr>
          <w:sz w:val="12"/>
          <w:szCs w:val="12"/>
        </w:rPr>
        <w:t xml:space="preserve"> 1974). While white men might be paid more, capitalist organizations could benefit from this “gender/racial dividend.” Thus, by maintaining divisions, employers could pay less for certain levels of skill, responsibility, and experience when the worker was not a white </w:t>
      </w:r>
      <w:r w:rsidRPr="00723F9F">
        <w:rPr>
          <w:sz w:val="12"/>
          <w:szCs w:val="12"/>
        </w:rPr>
        <w:lastRenderedPageBreak/>
        <w:t xml:space="preserve">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w:t>
      </w:r>
      <w:proofErr w:type="gramStart"/>
      <w:r w:rsidRPr="00723F9F">
        <w:rPr>
          <w:sz w:val="12"/>
          <w:szCs w:val="12"/>
        </w:rPr>
        <w:t>But,</w:t>
      </w:r>
      <w:proofErr w:type="gramEnd"/>
      <w:r w:rsidRPr="00723F9F">
        <w:rPr>
          <w:sz w:val="12"/>
          <w:szCs w:val="12"/>
        </w:rPr>
        <w:t xml:space="preserve">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 xml:space="preserve">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w:t>
      </w:r>
      <w:proofErr w:type="gramStart"/>
      <w:r w:rsidRPr="00723F9F">
        <w:rPr>
          <w:sz w:val="12"/>
          <w:szCs w:val="12"/>
        </w:rPr>
        <w:t>still continue</w:t>
      </w:r>
      <w:proofErr w:type="gramEnd"/>
      <w:r w:rsidRPr="00723F9F">
        <w:rPr>
          <w:sz w:val="12"/>
          <w:szCs w:val="12"/>
        </w:rPr>
        <w:t>,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1DEB820E" w14:textId="77777777" w:rsidR="003E77CD" w:rsidRPr="00457A91" w:rsidRDefault="003E77CD" w:rsidP="003E77CD">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6EE90AAE" w14:textId="77777777" w:rsidR="003E77CD" w:rsidRDefault="003E77CD" w:rsidP="003E77CD">
      <w:pPr>
        <w:spacing w:after="0"/>
        <w:rPr>
          <w:rStyle w:val="StyleUnderline"/>
        </w:rPr>
      </w:pPr>
      <w:proofErr w:type="spellStart"/>
      <w:r>
        <w:rPr>
          <w:rStyle w:val="Style13ptBold"/>
        </w:rPr>
        <w:t>Shaviro</w:t>
      </w:r>
      <w:proofErr w:type="spellEnd"/>
      <w:r>
        <w:rPr>
          <w:rStyle w:val="Style13ptBold"/>
        </w:rPr>
        <w:t xml:space="preserve"> 15</w:t>
      </w:r>
      <w:r>
        <w:rPr>
          <w:rStyle w:val="StyleUnderline"/>
        </w:rPr>
        <w:br/>
      </w:r>
      <w:r w:rsidRPr="00B93934">
        <w:rPr>
          <w:rStyle w:val="StyleUnderline"/>
          <w:sz w:val="16"/>
          <w:u w:val="none"/>
        </w:rPr>
        <w:t xml:space="preserve">(Steven </w:t>
      </w:r>
      <w:proofErr w:type="spellStart"/>
      <w:r w:rsidRPr="00B93934">
        <w:rPr>
          <w:rStyle w:val="StyleUnderline"/>
          <w:sz w:val="16"/>
          <w:u w:val="none"/>
        </w:rPr>
        <w:t>Shaviro</w:t>
      </w:r>
      <w:proofErr w:type="spellEnd"/>
      <w:r w:rsidRPr="00B93934">
        <w:rPr>
          <w:rStyle w:val="StyleUnderline"/>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9" w:history="1">
        <w:r w:rsidRPr="00B93934">
          <w:rPr>
            <w:rStyle w:val="Hyperlink"/>
            <w:sz w:val="16"/>
          </w:rPr>
          <w:t>https://track5.mixtape.moe/qdkkdt.pdf</w:t>
        </w:r>
      </w:hyperlink>
      <w:r w:rsidRPr="00B93934">
        <w:rPr>
          <w:rStyle w:val="StyleUnderline"/>
          <w:sz w:val="16"/>
          <w:u w:val="none"/>
        </w:rPr>
        <w:t xml:space="preserve"> </w:t>
      </w:r>
      <w:proofErr w:type="spellStart"/>
      <w:r w:rsidRPr="00B93934">
        <w:rPr>
          <w:rStyle w:val="StyleUnderline"/>
          <w:sz w:val="16"/>
          <w:u w:val="none"/>
        </w:rPr>
        <w:t>rvs</w:t>
      </w:r>
      <w:proofErr w:type="spellEnd"/>
      <w:r w:rsidRPr="00B93934">
        <w:rPr>
          <w:rStyle w:val="StyleUnderline"/>
          <w:sz w:val="16"/>
          <w:u w:val="none"/>
        </w:rPr>
        <w:t>)</w:t>
      </w:r>
      <w:r>
        <w:rPr>
          <w:rFonts w:ascii="Arial" w:hAnsi="Arial" w:cs="Arial"/>
          <w:color w:val="222222"/>
          <w:sz w:val="14"/>
          <w:szCs w:val="20"/>
          <w:shd w:val="clear" w:color="auto" w:fill="FFFFFF"/>
        </w:rPr>
        <w:t xml:space="preserve"> </w:t>
      </w:r>
    </w:p>
    <w:p w14:paraId="7D4BACDE" w14:textId="77777777" w:rsidR="003E77CD" w:rsidRDefault="003E77CD" w:rsidP="003E77CD">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w:t>
      </w:r>
      <w:proofErr w:type="spellStart"/>
      <w:r w:rsidRPr="00694836">
        <w:rPr>
          <w:sz w:val="16"/>
        </w:rPr>
        <w:t>Badiou</w:t>
      </w:r>
      <w:proofErr w:type="spellEnd"/>
      <w:r w:rsidRPr="00694836">
        <w:rPr>
          <w:sz w:val="16"/>
        </w:rPr>
        <w:t xml:space="preserve">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w:t>
      </w:r>
      <w:proofErr w:type="gramStart"/>
      <w:r w:rsidRPr="00694836">
        <w:rPr>
          <w:sz w:val="16"/>
        </w:rPr>
        <w:t>on the basis of</w:t>
      </w:r>
      <w:proofErr w:type="gramEnd"/>
      <w:r w:rsidRPr="00694836">
        <w:rPr>
          <w:sz w:val="16"/>
        </w:rPr>
        <w:t xml:space="preserve">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Pr>
          <w:sz w:val="16"/>
        </w:rPr>
        <w:t>in order to</w:t>
      </w:r>
      <w:proofErr w:type="gramEnd"/>
      <w:r>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w:t>
      </w:r>
      <w:r>
        <w:rPr>
          <w:sz w:val="16"/>
        </w:rPr>
        <w:lastRenderedPageBreak/>
        <w:t xml:space="preserve">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w:t>
      </w:r>
      <w:proofErr w:type="gramStart"/>
      <w:r>
        <w:rPr>
          <w:rStyle w:val="StyleUnderline"/>
        </w:rPr>
        <w:t>All of</w:t>
      </w:r>
      <w:proofErr w:type="gramEnd"/>
      <w:r>
        <w:rPr>
          <w:rStyle w:val="StyleUnderline"/>
        </w:rPr>
        <w:t xml:space="preserve">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proofErr w:type="spellStart"/>
      <w:r>
        <w:rPr>
          <w:rStyle w:val="StyleUnderline"/>
        </w:rPr>
        <w:t>hyperobjects</w:t>
      </w:r>
      <w:proofErr w:type="spellEnd"/>
      <w:r>
        <w:rPr>
          <w:rStyle w:val="StyleUnderline"/>
        </w:rPr>
        <w:t xml:space="preserve">. </w:t>
      </w:r>
      <w:r>
        <w:rPr>
          <w:sz w:val="16"/>
        </w:rPr>
        <w:t xml:space="preserve">They are phenomena that </w:t>
      </w:r>
      <w:proofErr w:type="gramStart"/>
      <w:r>
        <w:rPr>
          <w:sz w:val="16"/>
        </w:rPr>
        <w:t>actually exist</w:t>
      </w:r>
      <w:proofErr w:type="gramEnd"/>
      <w:r>
        <w:rPr>
          <w:sz w:val="16"/>
        </w:rPr>
        <w:t xml:space="preserve"> but that “stretch our ideas of time and space, since they far outlast most human time scales, or they’re massively distributed in terrestrial space and so are unavailable to immediate experience.” </w:t>
      </w:r>
      <w:proofErr w:type="spellStart"/>
      <w:r>
        <w:rPr>
          <w:sz w:val="16"/>
        </w:rPr>
        <w:t>Hyperobjects</w:t>
      </w:r>
      <w:proofErr w:type="spellEnd"/>
      <w:r>
        <w:rPr>
          <w:sz w:val="16"/>
        </w:rPr>
        <w:t xml:space="preserve"> affect everything that we do, but we cannot point to them in specific instances. </w:t>
      </w:r>
      <w:r>
        <w:rPr>
          <w:rStyle w:val="StyleUnderline"/>
        </w:rPr>
        <w:t>The chains of causality are far too complicated and intermeshed for us to follow.</w:t>
      </w:r>
      <w:r>
        <w:rPr>
          <w:sz w:val="16"/>
        </w:rPr>
        <w:t xml:space="preserve"> </w:t>
      </w:r>
      <w:proofErr w:type="gramStart"/>
      <w:r>
        <w:rPr>
          <w:sz w:val="16"/>
        </w:rPr>
        <w:t>In order to</w:t>
      </w:r>
      <w:proofErr w:type="gramEnd"/>
      <w:r>
        <w:rPr>
          <w:sz w:val="16"/>
        </w:rPr>
        <w:t xml:space="preserve"> make sense of our condition, we are forced to deal with difficult abstractions. We </w:t>
      </w:r>
      <w:proofErr w:type="gramStart"/>
      <w:r>
        <w:rPr>
          <w:sz w:val="16"/>
        </w:rPr>
        <w:t>have to</w:t>
      </w:r>
      <w:proofErr w:type="gramEnd"/>
      <w:r>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 xml:space="preserve">—the creation of arcane financial instruments, </w:t>
      </w:r>
      <w:proofErr w:type="gramStart"/>
      <w:r>
        <w:rPr>
          <w:sz w:val="16"/>
        </w:rPr>
        <w:t>in order to</w:t>
      </w:r>
      <w:proofErr w:type="gramEnd"/>
      <w:r>
        <w:rPr>
          <w:sz w:val="16"/>
        </w:rPr>
        <w:t xml:space="preserve">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w:t>
      </w:r>
      <w:proofErr w:type="gramStart"/>
      <w:r>
        <w:rPr>
          <w:rStyle w:val="StyleUnderline"/>
        </w:rPr>
        <w:t xml:space="preserve">actually </w:t>
      </w:r>
      <w:r w:rsidRPr="002A44F5">
        <w:rPr>
          <w:rStyle w:val="StyleUnderline"/>
          <w:highlight w:val="cyan"/>
        </w:rPr>
        <w:t>help</w:t>
      </w:r>
      <w:proofErr w:type="gramEnd"/>
      <w:r w:rsidRPr="002A44F5">
        <w:rPr>
          <w:rStyle w:val="StyleUnderline"/>
          <w:highlight w:val="cyan"/>
        </w:rPr>
        <w:t xml:space="preserve">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 xml:space="preserve">in a state of “sheer aimless infinity and incessant changeability; where everything ought to be constantly new, everything remains just as it was.” This is because, in our current </w:t>
      </w:r>
      <w:proofErr w:type="gramStart"/>
      <w:r w:rsidRPr="00591179">
        <w:rPr>
          <w:rStyle w:val="StyleUnderline"/>
        </w:rPr>
        <w:t>state of affairs</w:t>
      </w:r>
      <w:proofErr w:type="gramEnd"/>
      <w:r w:rsidRPr="00591179">
        <w:rPr>
          <w:rStyle w:val="StyleUnderline"/>
        </w:rPr>
        <w:t>,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 xml:space="preserve">ucible to probabilistic analysis, because “there is no scientific basis on which to form any calculable probability whatever.” Keynes’s discussion of uncertainty has strong affinities with Quentin </w:t>
      </w:r>
      <w:proofErr w:type="spellStart"/>
      <w:r w:rsidRPr="00694836">
        <w:rPr>
          <w:sz w:val="16"/>
        </w:rPr>
        <w:t>Meillassoux’s</w:t>
      </w:r>
      <w:proofErr w:type="spellEnd"/>
      <w:r>
        <w:rPr>
          <w:sz w:val="16"/>
        </w:rPr>
        <w:t xml:space="preserve"> account of </w:t>
      </w:r>
      <w:proofErr w:type="spellStart"/>
      <w:r>
        <w:rPr>
          <w:sz w:val="16"/>
        </w:rPr>
        <w:t>hyperchaos</w:t>
      </w:r>
      <w:proofErr w:type="spellEnd"/>
      <w:r>
        <w:rPr>
          <w:sz w:val="16"/>
        </w:rPr>
        <w:t xml:space="preserve">. For </w:t>
      </w:r>
      <w:proofErr w:type="spellStart"/>
      <w:r>
        <w:rPr>
          <w:sz w:val="16"/>
        </w:rPr>
        <w:t>Meillassoux</w:t>
      </w:r>
      <w:proofErr w:type="spellEnd"/>
      <w:r>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Pr>
          <w:sz w:val="16"/>
        </w:rPr>
        <w:t>Meillassoux</w:t>
      </w:r>
      <w:proofErr w:type="spellEnd"/>
      <w:r>
        <w:rPr>
          <w:sz w:val="16"/>
        </w:rPr>
        <w:t xml:space="preserve"> and Keynes alike, there comes a point where “we simply do not know.” But today, Keynes’s distinction is entirely </w:t>
      </w:r>
      <w:r>
        <w:rPr>
          <w:sz w:val="16"/>
        </w:rPr>
        <w:lastRenderedPageBreak/>
        <w:t xml:space="preserve">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Pr>
          <w:sz w:val="16"/>
        </w:rPr>
        <w:t>actually work</w:t>
      </w:r>
      <w:proofErr w:type="gramEnd"/>
      <w:r>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w:t>
      </w:r>
      <w:proofErr w:type="spellStart"/>
      <w:r w:rsidRPr="00591179">
        <w:rPr>
          <w:sz w:val="16"/>
        </w:rPr>
        <w:t>Grusin</w:t>
      </w:r>
      <w:proofErr w:type="spellEnd"/>
      <w:r w:rsidRPr="00591179">
        <w:rPr>
          <w:sz w:val="16"/>
        </w:rPr>
        <w:t xml:space="preserve"> calls </w:t>
      </w:r>
      <w:proofErr w:type="spellStart"/>
      <w:r w:rsidRPr="00591179">
        <w:rPr>
          <w:sz w:val="16"/>
        </w:rPr>
        <w:t>premediation</w:t>
      </w:r>
      <w:proofErr w:type="spellEnd"/>
      <w:r w:rsidRPr="00591179">
        <w:rPr>
          <w:sz w:val="16"/>
        </w:rPr>
        <w:t xml:space="preserve">.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w:t>
      </w:r>
      <w:proofErr w:type="spellStart"/>
      <w:r>
        <w:rPr>
          <w:sz w:val="16"/>
        </w:rPr>
        <w:t>Žižek</w:t>
      </w:r>
      <w:proofErr w:type="spellEnd"/>
      <w:r>
        <w:rPr>
          <w:sz w:val="16"/>
        </w:rPr>
        <w:t xml:space="preserve">, </w:t>
      </w:r>
      <w:r>
        <w:rPr>
          <w:rStyle w:val="StyleUnderline"/>
        </w:rPr>
        <w:t>“it’s easier to imagine the end of the world than the end of capitalism.”</w:t>
      </w:r>
    </w:p>
    <w:p w14:paraId="5B33C3FF" w14:textId="77777777" w:rsidR="003E77CD" w:rsidRPr="00255BA4" w:rsidRDefault="003E77CD" w:rsidP="003E77CD">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6BF2F782" w14:textId="77777777" w:rsidR="003E77CD" w:rsidRPr="00C77454" w:rsidRDefault="003E77CD" w:rsidP="003E77CD">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20">
        <w:r>
          <w:rPr>
            <w:color w:val="000000"/>
          </w:rPr>
          <w:t>https://www.tandfonline.com/doi/abs/10.1080/0363452032000156190?journalCode=rced20</w:t>
        </w:r>
      </w:hyperlink>
      <w:r w:rsidRPr="00C77454">
        <w:rPr>
          <w:bCs/>
        </w:rPr>
        <w:t>, Accessed 6/28/21 VD</w:t>
      </w:r>
    </w:p>
    <w:p w14:paraId="630E2951" w14:textId="77777777" w:rsidR="003E77CD" w:rsidRDefault="003E77CD" w:rsidP="003E77CD">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 xml:space="preserve">It is under the reign of neoliberalism that the changing vocabulary about race and racial justice </w:t>
      </w:r>
      <w:proofErr w:type="gramStart"/>
      <w:r>
        <w:rPr>
          <w:rFonts w:eastAsia="Calibri" w:cs="Calibri"/>
          <w:color w:val="000000"/>
          <w:sz w:val="12"/>
          <w:szCs w:val="12"/>
        </w:rPr>
        <w:t>has to</w:t>
      </w:r>
      <w:proofErr w:type="gramEnd"/>
      <w:r>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w:t>
      </w:r>
      <w:proofErr w:type="spellStart"/>
      <w:r w:rsidRPr="004E2065">
        <w:rPr>
          <w:rFonts w:eastAsia="Calibri" w:cs="Calibri"/>
          <w:color w:val="000000"/>
          <w:sz w:val="12"/>
          <w:szCs w:val="12"/>
        </w:rPr>
        <w:t>neoracism</w:t>
      </w:r>
      <w:proofErr w:type="spellEnd"/>
      <w:r w:rsidRPr="004E2065">
        <w:rPr>
          <w:rFonts w:eastAsia="Calibri" w:cs="Calibri"/>
          <w:color w:val="000000"/>
          <w:sz w:val="12"/>
          <w:szCs w:val="12"/>
        </w:rPr>
        <w:t xml:space="preserve"> can be understood as part of a broader attack against not only difference but also the value of public memory, public goods, and democracy itself. </w:t>
      </w:r>
      <w:r>
        <w:rPr>
          <w:rFonts w:eastAsia="Calibri" w:cs="Calibri"/>
          <w:color w:val="000000"/>
          <w:sz w:val="12"/>
          <w:szCs w:val="12"/>
        </w:rPr>
        <w:t xml:space="preserve">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w:t>
      </w:r>
      <w:r>
        <w:rPr>
          <w:rFonts w:eastAsia="Calibri" w:cs="Calibri"/>
          <w:color w:val="000000"/>
          <w:sz w:val="12"/>
          <w:szCs w:val="12"/>
        </w:rPr>
        <w:lastRenderedPageBreak/>
        <w:t>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Pr>
          <w:rFonts w:eastAsia="Calibri" w:cs="Calibri"/>
          <w:color w:val="000000"/>
          <w:sz w:val="12"/>
          <w:szCs w:val="12"/>
        </w:rPr>
        <w:t>freedom</w:t>
      </w:r>
      <w:proofErr w:type="gramEnd"/>
      <w:r>
        <w:rPr>
          <w:rFonts w:eastAsia="Calibri" w:cs="Calibri"/>
          <w:color w:val="000000"/>
          <w:sz w:val="12"/>
          <w:szCs w:val="12"/>
        </w:rPr>
        <w:t xml:space="preserve">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3153E244" w14:textId="77777777" w:rsidR="003E77CD" w:rsidRPr="00C77454" w:rsidRDefault="003E77CD" w:rsidP="003E77CD">
      <w:pPr>
        <w:pBdr>
          <w:top w:val="nil"/>
          <w:left w:val="nil"/>
          <w:bottom w:val="nil"/>
          <w:right w:val="nil"/>
          <w:between w:val="nil"/>
        </w:pBdr>
        <w:spacing w:after="0" w:line="240" w:lineRule="auto"/>
        <w:rPr>
          <w:color w:val="000000"/>
          <w:sz w:val="12"/>
          <w:szCs w:val="12"/>
        </w:rPr>
      </w:pPr>
    </w:p>
    <w:p w14:paraId="7A1C1C5F" w14:textId="77777777" w:rsidR="003E77CD" w:rsidRDefault="003E77CD" w:rsidP="003E77CD">
      <w:pPr>
        <w:pStyle w:val="Heading4"/>
      </w:pPr>
      <w:r>
        <w:lastRenderedPageBreak/>
        <w:t xml:space="preserve">The alternative is one of </w:t>
      </w:r>
      <w:r>
        <w:rPr>
          <w:i/>
        </w:rPr>
        <w:t xml:space="preserve">revolutionary </w:t>
      </w:r>
      <w:proofErr w:type="spellStart"/>
      <w:r>
        <w:rPr>
          <w:i/>
        </w:rPr>
        <w:t>intercommunalism</w:t>
      </w:r>
      <w:proofErr w:type="spellEnd"/>
      <w:r>
        <w:rPr>
          <w:i/>
        </w:rPr>
        <w:t xml:space="preserve">, </w:t>
      </w:r>
      <w:r>
        <w:t xml:space="preserve">where the people of the world develop a community of care to improve material conditions, can establish communism and resolve the contradictions of racism.  </w:t>
      </w:r>
    </w:p>
    <w:p w14:paraId="23796844" w14:textId="77777777" w:rsidR="003E77CD" w:rsidRDefault="003E77CD" w:rsidP="003E77CD">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w:t>
      </w:r>
    </w:p>
    <w:p w14:paraId="03A1C702" w14:textId="77777777" w:rsidR="003E77CD" w:rsidRDefault="003E77CD" w:rsidP="003E77CD">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705C4415" w14:textId="77777777" w:rsidR="003E77CD" w:rsidRDefault="003E77CD" w:rsidP="003E77CD">
      <w:pPr>
        <w:pStyle w:val="Heading2"/>
      </w:pPr>
      <w:r>
        <w:lastRenderedPageBreak/>
        <w:t>Case</w:t>
      </w:r>
    </w:p>
    <w:p w14:paraId="1EACC7DA" w14:textId="75593944" w:rsidR="003E77CD" w:rsidRDefault="00276BC3" w:rsidP="003E77CD">
      <w:pPr>
        <w:pStyle w:val="Heading3"/>
      </w:pPr>
      <w:r>
        <w:lastRenderedPageBreak/>
        <w:t>Framing</w:t>
      </w:r>
    </w:p>
    <w:p w14:paraId="46F599FB" w14:textId="15CD08A4" w:rsidR="00E42E4C" w:rsidRDefault="00276BC3" w:rsidP="00276BC3">
      <w:pPr>
        <w:pStyle w:val="Heading4"/>
      </w:pPr>
      <w:r>
        <w:t xml:space="preserve">Racial cap first – notions of the human are </w:t>
      </w:r>
      <w:proofErr w:type="spellStart"/>
      <w:r>
        <w:t>differntiated</w:t>
      </w:r>
      <w:proofErr w:type="spellEnd"/>
      <w:r>
        <w:t xml:space="preserve"> based on race</w:t>
      </w:r>
    </w:p>
    <w:p w14:paraId="75D13A5D" w14:textId="21701CBB" w:rsidR="002C5E36" w:rsidRPr="002C5E36" w:rsidRDefault="002C5E36" w:rsidP="002C5E36">
      <w:pPr>
        <w:pStyle w:val="Heading4"/>
      </w:pPr>
      <w:r>
        <w:t>Comes before on education</w:t>
      </w:r>
    </w:p>
    <w:p w14:paraId="1C556ECE" w14:textId="264E997B" w:rsidR="00276BC3" w:rsidRDefault="00276BC3" w:rsidP="00276BC3">
      <w:pPr>
        <w:pStyle w:val="Heading4"/>
      </w:pPr>
      <w:proofErr w:type="spellStart"/>
      <w:r>
        <w:t>Aff</w:t>
      </w:r>
      <w:proofErr w:type="spellEnd"/>
      <w:r>
        <w:t xml:space="preserve"> doesn’t affirm under butler</w:t>
      </w:r>
    </w:p>
    <w:p w14:paraId="3062D73B" w14:textId="3F25681A" w:rsidR="00276BC3" w:rsidRDefault="00276BC3" w:rsidP="00276BC3">
      <w:pPr>
        <w:pStyle w:val="Heading3"/>
      </w:pPr>
      <w:r>
        <w:lastRenderedPageBreak/>
        <w:t>Adv</w:t>
      </w:r>
    </w:p>
    <w:p w14:paraId="5DC2AE36" w14:textId="77777777" w:rsidR="00276BC3" w:rsidRPr="00A013B9" w:rsidRDefault="00276BC3" w:rsidP="00276BC3">
      <w:pPr>
        <w:pStyle w:val="Heading4"/>
      </w:pPr>
      <w:r>
        <w:t>TRIPS reduces global health inequality</w:t>
      </w:r>
    </w:p>
    <w:p w14:paraId="10A22AF9" w14:textId="77777777" w:rsidR="00276BC3" w:rsidRDefault="00276BC3" w:rsidP="00276BC3">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21" w:history="1">
        <w:r w:rsidRPr="00686BA3">
          <w:rPr>
            <w:rStyle w:val="Hyperlink"/>
          </w:rPr>
          <w:t>https://www.iasj.net/iasj/article/109180</w:t>
        </w:r>
      </w:hyperlink>
    </w:p>
    <w:p w14:paraId="38574316" w14:textId="77777777" w:rsidR="00276BC3" w:rsidRPr="003C696D" w:rsidRDefault="00276BC3" w:rsidP="00276BC3">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19177DEC" w14:textId="77777777" w:rsidR="00276BC3" w:rsidRPr="00276BC3" w:rsidRDefault="00276BC3" w:rsidP="00276BC3"/>
    <w:sectPr w:rsidR="00276BC3" w:rsidRPr="00276B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77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BC3"/>
    <w:rsid w:val="0027729E"/>
    <w:rsid w:val="002843B2"/>
    <w:rsid w:val="00284ED6"/>
    <w:rsid w:val="00290C5A"/>
    <w:rsid w:val="00290C92"/>
    <w:rsid w:val="0029647A"/>
    <w:rsid w:val="00296504"/>
    <w:rsid w:val="002B5511"/>
    <w:rsid w:val="002B7ACF"/>
    <w:rsid w:val="002C5E3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7CD"/>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30BC3"/>
  <w14:defaultImageDpi w14:val="300"/>
  <w15:docId w15:val="{275DACDF-DCF5-4A47-8016-AB2317D1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77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77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77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77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3E77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77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7CD"/>
  </w:style>
  <w:style w:type="character" w:customStyle="1" w:styleId="Heading1Char">
    <w:name w:val="Heading 1 Char"/>
    <w:aliases w:val="Pocket Char"/>
    <w:basedOn w:val="DefaultParagraphFont"/>
    <w:link w:val="Heading1"/>
    <w:uiPriority w:val="9"/>
    <w:rsid w:val="003E77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77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77C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3E77C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77C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3E77C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3E77C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77C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E77CD"/>
    <w:rPr>
      <w:color w:val="auto"/>
      <w:u w:val="none"/>
    </w:rPr>
  </w:style>
  <w:style w:type="paragraph" w:styleId="DocumentMap">
    <w:name w:val="Document Map"/>
    <w:basedOn w:val="Normal"/>
    <w:link w:val="DocumentMapChar"/>
    <w:uiPriority w:val="99"/>
    <w:semiHidden/>
    <w:unhideWhenUsed/>
    <w:rsid w:val="003E77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77CD"/>
    <w:rPr>
      <w:rFonts w:ascii="Lucida Grande" w:hAnsi="Lucida Grande" w:cs="Lucida Grande"/>
    </w:rPr>
  </w:style>
  <w:style w:type="paragraph" w:customStyle="1" w:styleId="UnderlinePara">
    <w:name w:val="Underline Para"/>
    <w:basedOn w:val="Normal"/>
    <w:link w:val="StyleUnderline"/>
    <w:uiPriority w:val="1"/>
    <w:rsid w:val="003E77CD"/>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3E77C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3E77C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3E77CD"/>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Medium Grid 21,Tags,Debate Text,No Spacing11,No Spacing31,No Spacing22,No Spacing111,No Spacing3,No Spacing2,Read stuff"/>
    <w:basedOn w:val="Normal"/>
    <w:next w:val="Normal"/>
    <w:link w:val="cardChar"/>
    <w:uiPriority w:val="1"/>
    <w:qFormat/>
    <w:rsid w:val="00276BC3"/>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276BC3"/>
    <w:rPr>
      <w:rFonts w:ascii="Times New Roman" w:eastAsia="Times New Roman" w:hAnsi="Times New Roman" w:cs="Times New Roman"/>
      <w:sz w:val="16"/>
      <w:szCs w:val="20"/>
    </w:rPr>
  </w:style>
  <w:style w:type="character" w:customStyle="1" w:styleId="underline">
    <w:name w:val="underline"/>
    <w:basedOn w:val="DefaultParagraphFont"/>
    <w:rsid w:val="00276BC3"/>
    <w:rPr>
      <w:sz w:val="20"/>
      <w:u w:val="single"/>
    </w:rPr>
  </w:style>
  <w:style w:type="character" w:customStyle="1" w:styleId="Emphasis2">
    <w:name w:val="Emphasis2"/>
    <w:basedOn w:val="DefaultParagraphFont"/>
    <w:rsid w:val="00276BC3"/>
    <w:rPr>
      <w:rFonts w:ascii="Times New Roman" w:hAnsi="Times New Roman"/>
      <w:b/>
      <w:iCs/>
      <w:sz w:val="24"/>
      <w:u w:val="single"/>
    </w:rPr>
  </w:style>
  <w:style w:type="paragraph" w:customStyle="1" w:styleId="Card0">
    <w:name w:val="Card"/>
    <w:basedOn w:val="Normal"/>
    <w:rsid w:val="00276BC3"/>
    <w:pPr>
      <w:spacing w:after="0" w:line="240" w:lineRule="auto"/>
    </w:pPr>
    <w:rPr>
      <w:rFonts w:ascii="Times New Roman" w:eastAsia="Times New Roman" w:hAnsi="Times New Roman" w:cs="Times New Roman"/>
      <w:sz w:val="20"/>
      <w:szCs w:val="20"/>
    </w:rPr>
  </w:style>
  <w:style w:type="paragraph" w:customStyle="1" w:styleId="textbold">
    <w:name w:val="text bold"/>
    <w:basedOn w:val="Normal"/>
    <w:uiPriority w:val="20"/>
    <w:qFormat/>
    <w:rsid w:val="00276BC3"/>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bes.net/system/tdf/2018_americas_full_report_book_v5_pages_0.pdf?file=1&amp;type=node&amp;id=29404" TargetMode="External"/><Relationship Id="rId18" Type="http://schemas.openxmlformats.org/officeDocument/2006/relationships/hyperlink" Target="https://www.cengage.com/c/race-class-gender-an-anthology-9e-andersen/9781305093614/" TargetMode="External"/><Relationship Id="rId3" Type="http://schemas.openxmlformats.org/officeDocument/2006/relationships/customXml" Target="../customXml/item3.xml"/><Relationship Id="rId21" Type="http://schemas.openxmlformats.org/officeDocument/2006/relationships/hyperlink" Target="https://www.iasj.net/iasj/article/109180" TargetMode="External"/><Relationship Id="rId7" Type="http://schemas.openxmlformats.org/officeDocument/2006/relationships/settings" Target="settings.xml"/><Relationship Id="rId12" Type="http://schemas.openxmlformats.org/officeDocument/2006/relationships/hyperlink" Target="https://www.ipbes.net/" TargetMode="External"/><Relationship Id="rId17" Type="http://schemas.openxmlformats.org/officeDocument/2006/relationships/hyperlink" Target="https://hermes-ir.lib.hit-u.ac.jp/hermes/ir/re/22161/0101106701.pdf" TargetMode="External"/><Relationship Id="rId2" Type="http://schemas.openxmlformats.org/officeDocument/2006/relationships/customXml" Target="../customXml/item2.xml"/><Relationship Id="rId16" Type="http://schemas.openxmlformats.org/officeDocument/2006/relationships/hyperlink" Target="https://www.upress.umn.edu/book-division/books/toward-a-global-idea-of-race" TargetMode="External"/><Relationship Id="rId20" Type="http://schemas.openxmlformats.org/officeDocument/2006/relationships/hyperlink" Target="https://www.tandfonline.com/doi/abs/10.1080/0363452032000156190?journalCode=rce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9/05/06/science/tigers-climate-change-sundarbans.html?smtyp=cur&amp;smid=tw-nytclimate" TargetMode="External"/><Relationship Id="rId5" Type="http://schemas.openxmlformats.org/officeDocument/2006/relationships/numbering" Target="numbering.xml"/><Relationship Id="rId15" Type="http://schemas.openxmlformats.org/officeDocument/2006/relationships/hyperlink" Target="https://oxford.universitypressscholarship.com/view/10.1093/acprof:oso/9780199676743.001.0001/acprof-9780199676743" TargetMode="External"/><Relationship Id="rId23" Type="http://schemas.openxmlformats.org/officeDocument/2006/relationships/theme" Target="theme/theme1.xml"/><Relationship Id="rId10" Type="http://schemas.openxmlformats.org/officeDocument/2006/relationships/hyperlink" Target="https://www.ipbes.net/news/ipbes-global-assessment-summary-policymakers-pdf" TargetMode="External"/><Relationship Id="rId19"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s://www.twn.my/title2/wto.info/2021/ti210723.htm" TargetMode="External"/><Relationship Id="rId14" Type="http://schemas.openxmlformats.org/officeDocument/2006/relationships/hyperlink" Target="https://www.nytimes.com/2018/12/05/climate/agriculture-food-global-warming.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21</Pages>
  <Words>13392</Words>
  <Characters>76336</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2021-09-18T03:47:00Z</dcterms:created>
  <dcterms:modified xsi:type="dcterms:W3CDTF">2021-09-18T15:33:00Z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