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7561D" w14:textId="6E532C67" w:rsidR="00A96FC2" w:rsidRPr="00A15207" w:rsidRDefault="009025AD" w:rsidP="00A96FC2">
      <w:pPr>
        <w:pStyle w:val="Heading2"/>
        <w:rPr>
          <w:rFonts w:cs="Calibri"/>
        </w:rPr>
      </w:pPr>
      <w:r w:rsidRPr="00A15207">
        <w:rPr>
          <w:rFonts w:cs="Calibri"/>
        </w:rPr>
        <w:t>1</w:t>
      </w:r>
    </w:p>
    <w:p w14:paraId="783F6103" w14:textId="77777777" w:rsidR="00A96FC2" w:rsidRPr="00A15207" w:rsidRDefault="00A96FC2" w:rsidP="00A96FC2">
      <w:pPr>
        <w:rPr>
          <w:rFonts w:cs="Calibri"/>
        </w:rPr>
      </w:pPr>
    </w:p>
    <w:p w14:paraId="1091B2C6" w14:textId="7D9E6DD8" w:rsidR="009E5EF5" w:rsidRPr="009E5EF5" w:rsidRDefault="00A15207" w:rsidP="009E5EF5">
      <w:pPr>
        <w:pStyle w:val="Heading4"/>
        <w:rPr>
          <w:rFonts w:cs="Calibri"/>
        </w:rPr>
      </w:pPr>
      <w:r w:rsidRPr="00A15207">
        <w:rPr>
          <w:rFonts w:cs="Calibri"/>
        </w:rPr>
        <w:t xml:space="preserve">1] </w:t>
      </w:r>
      <w:r w:rsidR="00890E4F">
        <w:rPr>
          <w:rFonts w:cs="Calibri"/>
        </w:rPr>
        <w:t>Corporate Colonialism M</w:t>
      </w:r>
      <w:r w:rsidRPr="00A15207">
        <w:rPr>
          <w:rFonts w:cs="Calibri"/>
        </w:rPr>
        <w:t xml:space="preserve">arxist understandings of alienation and “the good life” either exclude or fetishize Native cosmologies. </w:t>
      </w:r>
    </w:p>
    <w:p w14:paraId="01B1B9A7" w14:textId="77777777" w:rsidR="00A15207" w:rsidRPr="00A15207" w:rsidRDefault="00A15207" w:rsidP="00A15207">
      <w:pPr>
        <w:rPr>
          <w:rFonts w:cs="Calibri"/>
        </w:rPr>
      </w:pPr>
      <w:r w:rsidRPr="00A15207">
        <w:rPr>
          <w:rFonts w:cs="Calibri"/>
        </w:rPr>
        <w:t>-Lakota example</w:t>
      </w:r>
    </w:p>
    <w:p w14:paraId="1A2BF6CA" w14:textId="77777777" w:rsidR="00A15207" w:rsidRPr="00A15207" w:rsidRDefault="00A15207" w:rsidP="00A15207">
      <w:pPr>
        <w:rPr>
          <w:rStyle w:val="Style13ptBold"/>
          <w:rFonts w:cs="Calibri"/>
        </w:rPr>
      </w:pPr>
      <w:r w:rsidRPr="00A15207">
        <w:rPr>
          <w:rStyle w:val="Style13ptBold"/>
          <w:rFonts w:cs="Calibri"/>
        </w:rPr>
        <w:t>Beier 05</w:t>
      </w:r>
    </w:p>
    <w:p w14:paraId="23A762ED" w14:textId="77777777" w:rsidR="00A15207" w:rsidRPr="00A15207" w:rsidRDefault="00A15207" w:rsidP="00A15207">
      <w:pPr>
        <w:rPr>
          <w:rFonts w:cs="Calibri"/>
          <w:b/>
          <w:sz w:val="20"/>
          <w:szCs w:val="20"/>
        </w:rPr>
      </w:pPr>
      <w:r w:rsidRPr="00A15207">
        <w:rPr>
          <w:rStyle w:val="Style13ptBold"/>
          <w:rFonts w:cs="Calibri"/>
          <w:sz w:val="20"/>
          <w:szCs w:val="20"/>
        </w:rPr>
        <w:t>(Marshall Beier received his PhD in Political Science from York University and is a former Associate Director of the York Centre for International and Security Studies. He joined the Department of Political Science at McMaster University in 2000, Emancipatory Violences, Chapter 7 in: International Relations in Uncommon Places- Indigeneity, Cosmology, and the Limits of International Theory, Palgrave Macmillan 2005, it’s a book, JKS)</w:t>
      </w:r>
    </w:p>
    <w:p w14:paraId="678AE9C6" w14:textId="77777777" w:rsidR="00A15207" w:rsidRPr="00A15207" w:rsidRDefault="00A15207" w:rsidP="00A15207">
      <w:pPr>
        <w:rPr>
          <w:rFonts w:cs="Calibri"/>
          <w:sz w:val="14"/>
        </w:rPr>
      </w:pPr>
      <w:r w:rsidRPr="00A15207">
        <w:rPr>
          <w:rFonts w:cs="Calibri"/>
          <w:sz w:val="14"/>
        </w:rPr>
        <w:t xml:space="preserve">Again, the voice of the hegemonologue in this account of “the good life” is audible in the characteristic Western cosmological siting of humans apart from and above nature. It is therefore quite telling that this inclination is dis- cernible also in other emancipatory theories. And the homogenizing impulse borne in emancipatory designs turns out to be a more general phenomenon also. As Rice observes: The hatred of the physical world finding expression in the most seminal western thinkers from Plato through Paul to Augustine to Calvin reaches into the philosophies of Freud and Marx. Freud thought of nature as a tooth and claw battle of beasts, and of human nature in a state of contin- ual war with an inner beast, requiring Calvinistic vigilance. </w:t>
      </w:r>
      <w:r w:rsidRPr="00A15207">
        <w:rPr>
          <w:rStyle w:val="StyleUnderline"/>
          <w:rFonts w:cs="Calibri"/>
        </w:rPr>
        <w:t>Marx had little sense of existence apart from abstract economic and social arrangement,</w:t>
      </w:r>
      <w:r w:rsidRPr="00A15207">
        <w:rPr>
          <w:rFonts w:cs="Calibri"/>
          <w:sz w:val="14"/>
        </w:rPr>
        <w:t xml:space="preserve"> a view from the air. . . . </w:t>
      </w:r>
      <w:r w:rsidRPr="00A15207">
        <w:rPr>
          <w:rStyle w:val="StyleUnderline"/>
          <w:rFonts w:cs="Calibri"/>
        </w:rPr>
        <w:t>Marxism is not the first “great religion” to be “ethnocidal by design.” Its intention to level national differences emulates the Christian effort to erase religious ones</w:t>
      </w:r>
      <w:r w:rsidRPr="00A15207">
        <w:rPr>
          <w:rFonts w:cs="Calibri"/>
          <w:sz w:val="14"/>
        </w:rPr>
        <w:t xml:space="preserve">. (Rice 1991: 26) </w:t>
      </w:r>
      <w:r w:rsidRPr="00A15207">
        <w:rPr>
          <w:rStyle w:val="StyleUnderline"/>
          <w:rFonts w:cs="Calibri"/>
        </w:rPr>
        <w:t xml:space="preserve">Marxist-inspired accounts of “the good life” are underwritten by this view of humanity’s relationship to nature: in common with liberalism, a </w:t>
      </w:r>
      <w:r w:rsidRPr="00A15207">
        <w:rPr>
          <w:rStyle w:val="StyleUnderline"/>
          <w:rFonts w:cs="Calibri"/>
          <w:highlight w:val="green"/>
        </w:rPr>
        <w:t>Western notion of progress merges here with subordination of the physical world to the satisfaction of material wants</w:t>
      </w:r>
      <w:r w:rsidRPr="00A15207">
        <w:rPr>
          <w:rFonts w:cs="Calibri"/>
          <w:sz w:val="14"/>
        </w:rPr>
        <w:t xml:space="preserve">. As Rice points out, “Marxism replaces the dualism of Christian society [i.e., heaven and earth] with its own dualism of matter and spirit, by valorizing matter” (Rice 1991: 24). And as with liberalism, </w:t>
      </w:r>
      <w:r w:rsidRPr="00A15207">
        <w:rPr>
          <w:rStyle w:val="Emphasis"/>
          <w:rFonts w:cs="Calibri"/>
          <w:highlight w:val="green"/>
        </w:rPr>
        <w:t>this</w:t>
      </w:r>
      <w:r w:rsidRPr="00A15207">
        <w:rPr>
          <w:rStyle w:val="Emphasis"/>
          <w:rFonts w:cs="Calibri"/>
        </w:rPr>
        <w:t xml:space="preserve"> </w:t>
      </w:r>
      <w:r w:rsidRPr="00A15207">
        <w:rPr>
          <w:rStyle w:val="Emphasis"/>
          <w:rFonts w:cs="Calibri"/>
          <w:highlight w:val="green"/>
        </w:rPr>
        <w:t>implicates Marxists in the ideational structures of historic colonialism to which Indigenous peoples have been subjected</w:t>
      </w:r>
      <w:r w:rsidRPr="00A15207">
        <w:rPr>
          <w:rFonts w:cs="Calibri"/>
          <w:sz w:val="14"/>
        </w:rPr>
        <w:t xml:space="preserve">.9 “In certain respects,” according to Loomba, </w:t>
      </w:r>
      <w:r w:rsidRPr="00A15207">
        <w:rPr>
          <w:rStyle w:val="StyleUnderline"/>
          <w:rFonts w:cs="Calibri"/>
        </w:rPr>
        <w:t>“ ‘</w:t>
      </w:r>
      <w:r w:rsidRPr="00A15207">
        <w:rPr>
          <w:rStyle w:val="StyleUnderline"/>
          <w:rFonts w:cs="Calibri"/>
          <w:highlight w:val="green"/>
        </w:rPr>
        <w:t>progress’ was understood in similar ways by capitalists as well as socialists</w:t>
      </w:r>
      <w:r w:rsidRPr="00A15207">
        <w:rPr>
          <w:rStyle w:val="StyleUnderline"/>
          <w:rFonts w:cs="Calibri"/>
        </w:rPr>
        <w:t xml:space="preserve">—for both it </w:t>
      </w:r>
      <w:r w:rsidRPr="00A15207">
        <w:rPr>
          <w:rStyle w:val="StyleUnderline"/>
          <w:rFonts w:cs="Calibri"/>
          <w:highlight w:val="green"/>
        </w:rPr>
        <w:t>included</w:t>
      </w:r>
      <w:r w:rsidRPr="00A15207">
        <w:rPr>
          <w:rStyle w:val="StyleUnderline"/>
          <w:rFonts w:cs="Calibri"/>
        </w:rPr>
        <w:t xml:space="preserve"> a </w:t>
      </w:r>
      <w:r w:rsidRPr="00A15207">
        <w:rPr>
          <w:rStyle w:val="StyleUnderline"/>
          <w:rFonts w:cs="Calibri"/>
          <w:highlight w:val="green"/>
        </w:rPr>
        <w:t>high level of industrialization</w:t>
      </w:r>
      <w:r w:rsidRPr="00A15207">
        <w:rPr>
          <w:rStyle w:val="StyleUnderline"/>
          <w:rFonts w:cs="Calibri"/>
        </w:rPr>
        <w:t xml:space="preserve">, the </w:t>
      </w:r>
      <w:r w:rsidRPr="00A15207">
        <w:rPr>
          <w:rStyle w:val="StyleUnderline"/>
          <w:rFonts w:cs="Calibri"/>
          <w:highlight w:val="green"/>
        </w:rPr>
        <w:t>mastery of ‘man’ over ‘nature</w:t>
      </w:r>
      <w:r w:rsidRPr="00A15207">
        <w:rPr>
          <w:rStyle w:val="StyleUnderline"/>
          <w:rFonts w:cs="Calibri"/>
        </w:rPr>
        <w:t xml:space="preserve">,’ the modern </w:t>
      </w:r>
      <w:r w:rsidRPr="00A15207">
        <w:rPr>
          <w:rStyle w:val="StyleUnderline"/>
          <w:rFonts w:cs="Calibri"/>
          <w:highlight w:val="green"/>
        </w:rPr>
        <w:t>European view of science and technology</w:t>
      </w:r>
      <w:r w:rsidRPr="00A15207">
        <w:rPr>
          <w:rStyle w:val="StyleUnderline"/>
          <w:rFonts w:cs="Calibri"/>
        </w:rPr>
        <w:t>”</w:t>
      </w:r>
      <w:r w:rsidRPr="00A15207">
        <w:rPr>
          <w:rFonts w:cs="Calibri"/>
          <w:sz w:val="14"/>
        </w:rPr>
        <w:t xml:space="preserve"> (Loomba 1998: 21). </w:t>
      </w:r>
      <w:r w:rsidRPr="00A15207">
        <w:rPr>
          <w:rStyle w:val="StyleUnderline"/>
          <w:rFonts w:cs="Calibri"/>
        </w:rPr>
        <w:t>All of this</w:t>
      </w:r>
      <w:r w:rsidRPr="00A15207">
        <w:rPr>
          <w:rFonts w:cs="Calibri"/>
          <w:sz w:val="14"/>
        </w:rPr>
        <w:t xml:space="preserve">, of course, </w:t>
      </w:r>
      <w:r w:rsidRPr="00A15207">
        <w:rPr>
          <w:rStyle w:val="StyleUnderline"/>
          <w:rFonts w:cs="Calibri"/>
        </w:rPr>
        <w:t>is also quite contrary to traditional Lakota accounts of “the good life,” understood as the imperative of maintaining balance</w:t>
      </w:r>
      <w:r w:rsidRPr="00A15207">
        <w:rPr>
          <w:rFonts w:cs="Calibri"/>
          <w:sz w:val="14"/>
        </w:rPr>
        <w:t xml:space="preserve">. </w:t>
      </w:r>
      <w:r w:rsidRPr="00A15207">
        <w:rPr>
          <w:rStyle w:val="StyleUnderline"/>
          <w:rFonts w:cs="Calibri"/>
        </w:rPr>
        <w:t xml:space="preserve">The </w:t>
      </w:r>
      <w:r w:rsidRPr="00A15207">
        <w:rPr>
          <w:rStyle w:val="StyleUnderline"/>
          <w:rFonts w:cs="Calibri"/>
          <w:highlight w:val="green"/>
        </w:rPr>
        <w:t xml:space="preserve">rigid teleology of </w:t>
      </w:r>
      <w:r w:rsidRPr="00A15207">
        <w:rPr>
          <w:rStyle w:val="StyleUnderline"/>
          <w:rFonts w:cs="Calibri"/>
        </w:rPr>
        <w:t xml:space="preserve">much </w:t>
      </w:r>
      <w:r w:rsidRPr="00A15207">
        <w:rPr>
          <w:rStyle w:val="StyleUnderline"/>
          <w:rFonts w:cs="Calibri"/>
          <w:highlight w:val="green"/>
        </w:rPr>
        <w:t>Marxist-inspired theory is especially problematic</w:t>
      </w:r>
      <w:r w:rsidRPr="00A15207">
        <w:rPr>
          <w:rStyle w:val="StyleUnderline"/>
          <w:rFonts w:cs="Calibri"/>
        </w:rPr>
        <w:t xml:space="preserve"> to the extent that, </w:t>
      </w:r>
      <w:r w:rsidRPr="00A15207">
        <w:rPr>
          <w:rStyle w:val="StyleUnderline"/>
          <w:rFonts w:cs="Calibri"/>
          <w:highlight w:val="green"/>
        </w:rPr>
        <w:t>in the same way as liberal notions of progress</w:t>
      </w:r>
      <w:r w:rsidRPr="00A15207">
        <w:rPr>
          <w:rStyle w:val="StyleUnderline"/>
          <w:rFonts w:cs="Calibri"/>
        </w:rPr>
        <w:t>, it ends up bespeaking the inevitability</w:t>
      </w:r>
      <w:r w:rsidRPr="00A15207">
        <w:rPr>
          <w:rFonts w:cs="Calibri"/>
          <w:sz w:val="14"/>
        </w:rPr>
        <w:t xml:space="preserve"> (and, again, the desirability) </w:t>
      </w:r>
      <w:r w:rsidRPr="00A15207">
        <w:rPr>
          <w:rStyle w:val="StyleUnderline"/>
          <w:rFonts w:cs="Calibri"/>
        </w:rPr>
        <w:t>of the disappearance of Lakota traditionalism. Friedrich Engels’s notion of “primitive communism,” for instance, is elaborated in the past tense as a first form of human society.</w:t>
      </w:r>
      <w:r w:rsidRPr="00A15207">
        <w:rPr>
          <w:rFonts w:cs="Calibri"/>
          <w:sz w:val="14"/>
        </w:rPr>
        <w:t xml:space="preserve">10 But </w:t>
      </w:r>
      <w:r w:rsidRPr="00A15207">
        <w:rPr>
          <w:rStyle w:val="StyleUnderline"/>
          <w:rFonts w:cs="Calibri"/>
        </w:rPr>
        <w:t>it turns out that this idea</w:t>
      </w:r>
      <w:r w:rsidRPr="00A15207">
        <w:rPr>
          <w:rFonts w:cs="Calibri"/>
          <w:sz w:val="14"/>
        </w:rPr>
        <w:t xml:space="preserve">, like the orthodox social theorists’ accounts of life without the Leviathan, </w:t>
      </w:r>
      <w:r w:rsidRPr="00A15207">
        <w:rPr>
          <w:rStyle w:val="Emphasis"/>
          <w:rFonts w:cs="Calibri"/>
          <w:highlight w:val="green"/>
        </w:rPr>
        <w:t>rests upon bad ethnography that, in turn, implicates it in the very social evolutionism that has underwritten so many colonial violences</w:t>
      </w:r>
      <w:r w:rsidRPr="00A15207">
        <w:rPr>
          <w:rFonts w:cs="Calibri"/>
          <w:sz w:val="14"/>
        </w:rPr>
        <w:t xml:space="preserve">.11 Implying all that we might expect the word “primitive” to connote, and as befits its founding in a progressive discourse, it is a condition ultimately to be transcended. This is significant to the extent that some important aspects of traditional Lakota lifeways are crucial to Engels’s description of “primitive communism”: most notably, the absence of both social hierarchy and a productive surplus. That these are taken as the defining features of a first form of human social organization and produc- tive endeavor is quite telling given that they are constructed by Engels as something inevitably (to be) transcended. Progress, then, brings in tandem the unsustainable immoderation of surplus production. </w:t>
      </w:r>
      <w:r w:rsidRPr="00A15207">
        <w:rPr>
          <w:rStyle w:val="StyleUnderline"/>
          <w:rFonts w:cs="Calibri"/>
        </w:rPr>
        <w:t>And in its discursive framing, this has the effect of valorizing excess while sustainable lifeways are, somewhat paradoxically, cast as unsustainable in an historical sense</w:t>
      </w:r>
      <w:r w:rsidRPr="00A15207">
        <w:rPr>
          <w:rFonts w:cs="Calibri"/>
          <w:sz w:val="14"/>
        </w:rPr>
        <w:t xml:space="preserve">. According to Clastres, </w:t>
      </w:r>
      <w:r w:rsidRPr="00A15207">
        <w:rPr>
          <w:rStyle w:val="StyleUnderline"/>
          <w:rFonts w:cs="Calibri"/>
          <w:highlight w:val="green"/>
        </w:rPr>
        <w:t>the problem here is fundamentally that what have been inscribed as “primitive” societies cannot be what they were/are because Marxism insists on their being what it needs them to be: in a word, “precapitalist</w:t>
      </w:r>
      <w:r w:rsidRPr="00A15207">
        <w:rPr>
          <w:rFonts w:cs="Calibri"/>
          <w:sz w:val="14"/>
        </w:rPr>
        <w:t xml:space="preserve">” (Clastres 1994: 136–37). In his retrospective on the violences of the European “conquest of the planet” after 1492, Samir Amin argues that prior to the colonial encounter, “gestating” capitalisms existed in the non- European world and that this reflected “a general law of evolution of human societies” (Amin 1992: 12). And lest there be any uncertainty about the extent of this claim, Amin holds that “[f ]ar from having introduced capital- ism to the peripheries of global capitalism, the Western expansion sometimes delayed its ripening and always deformed its development so as to create an impasse” (Amin 1992: 14). But the idea that nascent forms of capitalism were “gestating” throughout the world is a profoundly teleological form of homog- enization that denies Lakota cosmology. Moreover, </w:t>
      </w:r>
      <w:r w:rsidRPr="00A15207">
        <w:rPr>
          <w:rStyle w:val="StyleUnderline"/>
          <w:rFonts w:cs="Calibri"/>
        </w:rPr>
        <w:t xml:space="preserve">there is a clear sense in which this might serve as an apology for Europe’s conquests: if capitalism was everywhere inevitable, then we might imagine that colonialism only hastened an outcome that was, in any event, preordained. </w:t>
      </w:r>
      <w:r w:rsidRPr="00A15207">
        <w:rPr>
          <w:rFonts w:cs="Calibri"/>
          <w:sz w:val="14"/>
        </w:rPr>
        <w:t xml:space="preserve">Capitalism is a system of exploitation whose very logic demands expansion, meaning that sooner or later those “other capitalisms” would have had to insert themselves into the capitalist world system; the more advanced capitalisms of Europe would then have exploited them on these universal terms as surely as they did through direct colonial control. We might be forgiven for wondering, then, just what informs Amin’s complaint, since the outcome is the same either way. Perhaps it is enough to lament that the rest of the world was not permitted to be the architect of its own exploitation. Regardless, Amin leaves no room to doubt its eventual insertion into a capitalist world system dominated by the advanced capitalism of Europe. And it is thus that comfort could be given to colonialism’s apologists, insofar as direct conquest would seem only to have hastened the inevitable. </w:t>
      </w:r>
      <w:r w:rsidRPr="00A15207">
        <w:rPr>
          <w:rStyle w:val="Emphasis"/>
          <w:rFonts w:cs="Calibri"/>
        </w:rPr>
        <w:t xml:space="preserve">Even notions like alienation leave Lakota traditionalism either problematically inscribed or, </w:t>
      </w:r>
      <w:r w:rsidRPr="00A15207">
        <w:rPr>
          <w:rFonts w:cs="Calibri"/>
          <w:sz w:val="14"/>
        </w:rPr>
        <w:t>alternatively,</w:t>
      </w:r>
      <w:r w:rsidRPr="00A15207">
        <w:rPr>
          <w:rStyle w:val="Emphasis"/>
          <w:rFonts w:cs="Calibri"/>
        </w:rPr>
        <w:t xml:space="preserve"> excluded.</w:t>
      </w:r>
      <w:r w:rsidRPr="00A15207">
        <w:rPr>
          <w:rFonts w:cs="Calibri"/>
          <w:sz w:val="14"/>
        </w:rPr>
        <w:t xml:space="preserve"> Noting that </w:t>
      </w:r>
      <w:r w:rsidRPr="00A15207">
        <w:rPr>
          <w:rStyle w:val="StyleUnderline"/>
          <w:rFonts w:cs="Calibri"/>
          <w:highlight w:val="green"/>
        </w:rPr>
        <w:t>alienation is a central problematic taken up</w:t>
      </w:r>
      <w:r w:rsidRPr="00A15207">
        <w:rPr>
          <w:rStyle w:val="StyleUnderline"/>
          <w:rFonts w:cs="Calibri"/>
        </w:rPr>
        <w:t xml:space="preserve"> by Christianity as well as by </w:t>
      </w:r>
      <w:r w:rsidRPr="00A15207">
        <w:rPr>
          <w:rStyle w:val="StyleUnderline"/>
          <w:rFonts w:cs="Calibri"/>
          <w:highlight w:val="green"/>
        </w:rPr>
        <w:t>Marxism</w:t>
      </w:r>
      <w:r w:rsidRPr="00A15207">
        <w:rPr>
          <w:rStyle w:val="StyleUnderline"/>
          <w:rFonts w:cs="Calibri"/>
        </w:rPr>
        <w:t xml:space="preserve">, Deloria argues that it reflects a cosmological predisposition not generalizable to Indigenous North American societies: Indians . . . are notably devoid of concern for alienation as a cosmic ingredient of human life, a question to be answered or a problem to be confronted. This is not to say that Indians do not feel some degree of alienation. Rather, they do not make it a central concern of their ceremonial life, they do not feature it prominently in their cosmic mythology, and they do not see it as an essential part of institutional existence which colors their approach to other aspects of life. </w:t>
      </w:r>
      <w:r w:rsidRPr="00A15207">
        <w:rPr>
          <w:rFonts w:cs="Calibri"/>
          <w:sz w:val="14"/>
        </w:rPr>
        <w:t xml:space="preserve">Alienation, therefore, is an essential element of Western cosmology, either in the metaphysical sense or in the epistemological dimension; it is a minor phenomenon of short duration in the larger context of cosmic balance for American Indians. (Deloria 1983: 114–15; emphasis in original) </w:t>
      </w:r>
      <w:r w:rsidRPr="00A15207">
        <w:rPr>
          <w:rStyle w:val="StyleUnderline"/>
          <w:rFonts w:cs="Calibri"/>
        </w:rPr>
        <w:t>This view is shared by Frank Black Elk, who offers that the traditional Lakota commitment to the interrelatedness of all in Creation—expressed as mitakuye oyasin—destabilizes Marxist conceptions of alienation:</w:t>
      </w:r>
      <w:r w:rsidRPr="00A15207">
        <w:rPr>
          <w:rFonts w:cs="Calibri"/>
          <w:sz w:val="14"/>
        </w:rPr>
        <w:t xml:space="preserve"> We, as a people (within the traditional culture view, at any rate) view our- selves only in direct (natural) relation to everything else at all times. Thus, we cannot feel the sort of distance indicated in the notion of alienation, either between each other as people, or between ourselves and any aspect of the universe. </w:t>
      </w:r>
      <w:r w:rsidRPr="00A15207">
        <w:rPr>
          <w:rStyle w:val="StyleUnderline"/>
          <w:rFonts w:cs="Calibri"/>
        </w:rPr>
        <w:t>Alienation is an impossibility within traditional Lakota culture; we are prevented, by the way we view reality, from taking those steps which would, sooner or later, produce the condition of alienation.</w:t>
      </w:r>
      <w:r w:rsidRPr="00A15207">
        <w:rPr>
          <w:rFonts w:cs="Calibri"/>
          <w:sz w:val="14"/>
        </w:rPr>
        <w:t xml:space="preserve"> (Black Elk 1983: 152–53; emphasis in original) And </w:t>
      </w:r>
      <w:r w:rsidRPr="00A15207">
        <w:rPr>
          <w:rStyle w:val="StyleUnderline"/>
          <w:rFonts w:cs="Calibri"/>
        </w:rPr>
        <w:t xml:space="preserve">this is suggestive of how it might be argued that traditional Lakota cosmology is actually truer to the idea of dialectical knowledge than Marxist- inspired theory: mitakuye oyasin resists </w:t>
      </w:r>
      <w:r w:rsidRPr="00A15207">
        <w:rPr>
          <w:rStyle w:val="StyleUnderline"/>
          <w:rFonts w:cs="Calibri"/>
          <w:highlight w:val="green"/>
        </w:rPr>
        <w:t>the unequal oppositional rendering of ontologized binaries that Marxism ultimately upholds in its denigration of nature</w:t>
      </w:r>
      <w:r w:rsidRPr="00A15207">
        <w:rPr>
          <w:rStyle w:val="StyleUnderline"/>
          <w:rFonts w:cs="Calibri"/>
        </w:rPr>
        <w:t>.</w:t>
      </w:r>
      <w:r w:rsidRPr="00A15207">
        <w:rPr>
          <w:rFonts w:cs="Calibri"/>
          <w:sz w:val="14"/>
        </w:rPr>
        <w:t>12</w:t>
      </w:r>
    </w:p>
    <w:p w14:paraId="71072CEA" w14:textId="6791C6B2" w:rsidR="00A15207" w:rsidRPr="00A15207" w:rsidRDefault="00A15207" w:rsidP="00A96FC2">
      <w:pPr>
        <w:rPr>
          <w:rFonts w:cs="Calibri"/>
        </w:rPr>
      </w:pPr>
    </w:p>
    <w:p w14:paraId="77F93A22" w14:textId="2ADE867D" w:rsidR="00F86EE6" w:rsidRPr="00A15207" w:rsidRDefault="00F86EE6" w:rsidP="00F86EE6">
      <w:pPr>
        <w:pStyle w:val="Heading4"/>
        <w:rPr>
          <w:rFonts w:cs="Calibri"/>
        </w:rPr>
      </w:pPr>
      <w:r w:rsidRPr="00A15207">
        <w:rPr>
          <w:rFonts w:cs="Calibri"/>
        </w:rPr>
        <w:t xml:space="preserve">2] </w:t>
      </w:r>
      <w:r w:rsidRPr="00A15207">
        <w:rPr>
          <w:rFonts w:cs="Calibri"/>
        </w:rPr>
        <w:t>The notion of the “commons” has historically been weaponized to build a state-sanctioned trust in white humanity – extending that trust to the stars does not make it less white supremacist, and doing it in the name of “pragmatism” does not make it less colonialist.</w:t>
      </w:r>
    </w:p>
    <w:p w14:paraId="2F3810B4" w14:textId="77777777" w:rsidR="00F86EE6" w:rsidRPr="00A15207" w:rsidRDefault="00F86EE6" w:rsidP="00F86EE6">
      <w:pPr>
        <w:rPr>
          <w:rStyle w:val="Emphasis"/>
          <w:rFonts w:cs="Calibri"/>
        </w:rPr>
      </w:pPr>
      <w:r w:rsidRPr="00A15207">
        <w:rPr>
          <w:rStyle w:val="Emphasis"/>
          <w:rFonts w:cs="Calibri"/>
        </w:rPr>
        <w:t>Goldstein, 18</w:t>
      </w:r>
    </w:p>
    <w:p w14:paraId="14E5A807" w14:textId="77777777" w:rsidR="00F86EE6" w:rsidRPr="00A15207" w:rsidRDefault="00F86EE6" w:rsidP="00F86EE6">
      <w:pPr>
        <w:rPr>
          <w:rFonts w:cs="Calibri"/>
        </w:rPr>
      </w:pPr>
      <w:r w:rsidRPr="00A15207">
        <w:rPr>
          <w:rFonts w:cs="Calibri"/>
        </w:rPr>
        <w:t>[Alyosha, Prof. American Studies @ UNewMexico, PhD @ NYU: “By Force of Expectation: Colonization, Public Lands, and the Property Relation,” published by UCLA Law Review on 3-1-2018. https://www.uclalawreview.org/by-force-of-expectation/]//AD</w:t>
      </w:r>
    </w:p>
    <w:p w14:paraId="496BD7D4" w14:textId="77777777" w:rsidR="00F86EE6" w:rsidRPr="00A15207" w:rsidRDefault="00F86EE6" w:rsidP="00F86EE6">
      <w:pPr>
        <w:rPr>
          <w:rFonts w:cs="Calibri"/>
          <w:sz w:val="16"/>
        </w:rPr>
      </w:pPr>
      <w:r w:rsidRPr="00A15207">
        <w:rPr>
          <w:rFonts w:cs="Calibri"/>
          <w:sz w:val="16"/>
        </w:rPr>
        <w:t xml:space="preserve">Over the course of the long nineteenth century, </w:t>
      </w:r>
      <w:r w:rsidRPr="00A15207">
        <w:rPr>
          <w:rFonts w:cs="Calibri"/>
        </w:rPr>
        <w:t>land policy</w:t>
      </w:r>
      <w:r w:rsidRPr="00A15207">
        <w:rPr>
          <w:rFonts w:cs="Calibri"/>
          <w:sz w:val="16"/>
        </w:rPr>
        <w:t xml:space="preserve"> was increasingly </w:t>
      </w:r>
      <w:r w:rsidRPr="00A15207">
        <w:rPr>
          <w:rFonts w:cs="Calibri"/>
        </w:rPr>
        <w:t>deployed as</w:t>
      </w:r>
      <w:r w:rsidRPr="00A15207">
        <w:rPr>
          <w:rFonts w:cs="Calibri"/>
          <w:sz w:val="16"/>
        </w:rPr>
        <w:t xml:space="preserve"> a means of </w:t>
      </w:r>
      <w:r w:rsidRPr="00A15207">
        <w:rPr>
          <w:rFonts w:cs="Calibri"/>
        </w:rPr>
        <w:t>encouraging western settlement, while also being symptomatic of the tensions among federal administration, private speculators, and extra-legal settler encroachment.</w:t>
      </w:r>
      <w:r w:rsidRPr="00A15207">
        <w:rPr>
          <w:rFonts w:cs="Calibri"/>
          <w:sz w:val="16"/>
        </w:rPr>
        <w:t>13  As is often noted in scholarship on the public domain—but infrequently emphasized in discussions of the United States more generally—almost one-third of all land in the United States is administered by the federal government.  This land is disproportionately concentrated in the western states, with federal acreage totaling nearly 80 percent of Nevada, 63 percent of Utah, and 53 percent of Oregon.14  Considered a revenue source for federal war debt during the early national era, public land policy operated initially to survey, secure, and dispose collateral in the service of national solvency in accordance with the Land Ordinance of 1785.15  Enormous giveaways and preferential lease arrangements for railroad corporations and extractive industries accompanied the aftermath of the Civil War.  The Taylor Grazing Act of 1934 inaugurated a new era in federal management of public lands by instituting grazing fees for use of the public domain and effectively ending homesteading.16  In 1976, the Federal Land Policy and Management Act mandated multiple-use standards—including environmental protections aligned with the 1969 National Environmental Policy Act—that continue to govern Bureau of Land Management oversight.17  It was in the context of increased federal management and conservationist legislation that ranchers such as the Bundys increasingly cast themselves as victims of government overreach, as the true embodiment of the American people oppressed by governmental tyranny.  Moreover, as has been the case in other settler uprisings in the west, the Bundys displayed no interest whatsoever in the actual and still-present Native peoples whose land they occupied as anything other than a historical metaphor for contemporary white injury.  As Ryan Bundy remarked during the 2016 occupation of the Malheur National Wildlife Refuge in Oregon, the militia “recognize that the Native Americans had the claim to the land . . . but they lost that claim. . . . There are things to learn from cultures of the past, but the current culture is the most important.”18</w:t>
      </w:r>
    </w:p>
    <w:p w14:paraId="4943BE33" w14:textId="77777777" w:rsidR="00F86EE6" w:rsidRPr="00A15207" w:rsidRDefault="00F86EE6" w:rsidP="00F86EE6">
      <w:pPr>
        <w:rPr>
          <w:rFonts w:cs="Calibri"/>
          <w:b/>
          <w:u w:val="single"/>
        </w:rPr>
      </w:pPr>
      <w:r w:rsidRPr="00A15207">
        <w:rPr>
          <w:rFonts w:cs="Calibri"/>
          <w:sz w:val="16"/>
          <w:u w:val="single"/>
        </w:rPr>
        <w:t xml:space="preserve">In fact, </w:t>
      </w:r>
      <w:r w:rsidRPr="00A15207">
        <w:rPr>
          <w:rFonts w:cs="Calibri"/>
          <w:u w:val="single"/>
        </w:rPr>
        <w:t xml:space="preserve">a variety </w:t>
      </w:r>
      <w:r w:rsidRPr="00A15207">
        <w:rPr>
          <w:rFonts w:cs="Calibri"/>
          <w:b/>
          <w:bCs/>
          <w:u w:val="single"/>
        </w:rPr>
        <w:t xml:space="preserve">of </w:t>
      </w:r>
      <w:r w:rsidRPr="00A15207">
        <w:rPr>
          <w:rStyle w:val="Heading5Char"/>
          <w:rFonts w:ascii="Calibri" w:hAnsi="Calibri" w:cs="Calibri"/>
          <w:b/>
          <w:bCs/>
          <w:color w:val="auto"/>
          <w:highlight w:val="green"/>
          <w:u w:val="single"/>
        </w:rPr>
        <w:t>claims</w:t>
      </w:r>
      <w:r w:rsidRPr="00A15207">
        <w:rPr>
          <w:rStyle w:val="Heading5Char"/>
          <w:rFonts w:ascii="Calibri" w:hAnsi="Calibri" w:cs="Calibri"/>
          <w:b/>
          <w:bCs/>
          <w:color w:val="auto"/>
          <w:u w:val="single"/>
        </w:rPr>
        <w:t xml:space="preserve"> to land are made </w:t>
      </w:r>
      <w:r w:rsidRPr="00A15207">
        <w:rPr>
          <w:rStyle w:val="Heading5Char"/>
          <w:rFonts w:ascii="Calibri" w:hAnsi="Calibri" w:cs="Calibri"/>
          <w:b/>
          <w:bCs/>
          <w:color w:val="auto"/>
          <w:highlight w:val="green"/>
          <w:u w:val="single"/>
        </w:rPr>
        <w:t>in the name of</w:t>
      </w:r>
      <w:r w:rsidRPr="00A15207">
        <w:rPr>
          <w:rStyle w:val="Heading5Char"/>
          <w:rFonts w:ascii="Calibri" w:hAnsi="Calibri" w:cs="Calibri"/>
          <w:b/>
          <w:bCs/>
          <w:color w:val="auto"/>
          <w:u w:val="single"/>
        </w:rPr>
        <w:t xml:space="preserve"> “the public” and “</w:t>
      </w:r>
      <w:r w:rsidRPr="00A15207">
        <w:rPr>
          <w:rStyle w:val="Heading5Char"/>
          <w:rFonts w:ascii="Calibri" w:hAnsi="Calibri" w:cs="Calibri"/>
          <w:b/>
          <w:bCs/>
          <w:color w:val="auto"/>
          <w:highlight w:val="green"/>
          <w:u w:val="single"/>
        </w:rPr>
        <w:t>the people”</w:t>
      </w:r>
      <w:r w:rsidRPr="00A15207">
        <w:rPr>
          <w:rStyle w:val="Heading5Char"/>
          <w:rFonts w:ascii="Calibri" w:hAnsi="Calibri" w:cs="Calibri"/>
          <w:color w:val="auto"/>
          <w:u w:val="single"/>
        </w:rPr>
        <w:t xml:space="preserve"> as a </w:t>
      </w:r>
      <w:r w:rsidRPr="00A15207">
        <w:rPr>
          <w:rStyle w:val="Heading5Char"/>
          <w:rFonts w:ascii="Calibri" w:hAnsi="Calibri" w:cs="Calibri"/>
          <w:b/>
          <w:bCs/>
          <w:color w:val="auto"/>
          <w:u w:val="single"/>
        </w:rPr>
        <w:t>collective interest</w:t>
      </w:r>
      <w:r w:rsidRPr="00A15207">
        <w:rPr>
          <w:rFonts w:cs="Calibri"/>
          <w:u w:val="single"/>
        </w:rPr>
        <w:t xml:space="preserve"> in opposition to</w:t>
      </w:r>
      <w:r w:rsidRPr="00A15207">
        <w:rPr>
          <w:rFonts w:cs="Calibri"/>
          <w:sz w:val="16"/>
          <w:u w:val="single"/>
        </w:rPr>
        <w:t xml:space="preserve"> the federal government, the </w:t>
      </w:r>
      <w:r w:rsidRPr="00A15207">
        <w:rPr>
          <w:rFonts w:cs="Calibri"/>
          <w:u w:val="single"/>
        </w:rPr>
        <w:t>extractive industries</w:t>
      </w:r>
      <w:r w:rsidRPr="00A15207">
        <w:rPr>
          <w:rFonts w:cs="Calibri"/>
          <w:sz w:val="16"/>
          <w:u w:val="single"/>
        </w:rPr>
        <w:t xml:space="preserve">, or the supposedly special interests of Native American tribes.19  Here, </w:t>
      </w:r>
      <w:r w:rsidRPr="00A15207">
        <w:rPr>
          <w:rStyle w:val="Heading5Char"/>
          <w:rFonts w:ascii="Calibri" w:hAnsi="Calibri" w:cs="Calibri"/>
          <w:b/>
          <w:bCs/>
          <w:color w:val="auto"/>
          <w:highlight w:val="green"/>
          <w:u w:val="single"/>
        </w:rPr>
        <w:t>generalized</w:t>
      </w:r>
      <w:r w:rsidRPr="00A15207">
        <w:rPr>
          <w:rStyle w:val="Heading5Char"/>
          <w:rFonts w:ascii="Calibri" w:hAnsi="Calibri" w:cs="Calibri"/>
          <w:b/>
          <w:bCs/>
          <w:color w:val="auto"/>
          <w:u w:val="single"/>
        </w:rPr>
        <w:t xml:space="preserve"> claims to representing “</w:t>
      </w:r>
      <w:r w:rsidRPr="00A15207">
        <w:rPr>
          <w:rStyle w:val="Heading5Char"/>
          <w:rFonts w:ascii="Calibri" w:hAnsi="Calibri" w:cs="Calibri"/>
          <w:b/>
          <w:bCs/>
          <w:color w:val="auto"/>
          <w:highlight w:val="green"/>
          <w:u w:val="single"/>
        </w:rPr>
        <w:t>the public</w:t>
      </w:r>
      <w:r w:rsidRPr="00A15207">
        <w:rPr>
          <w:rStyle w:val="Heading5Char"/>
          <w:rFonts w:ascii="Calibri" w:hAnsi="Calibri" w:cs="Calibri"/>
          <w:b/>
          <w:bCs/>
          <w:color w:val="auto"/>
          <w:u w:val="single"/>
        </w:rPr>
        <w:t>”</w:t>
      </w:r>
      <w:r w:rsidRPr="00A15207">
        <w:rPr>
          <w:rFonts w:cs="Calibri"/>
          <w:u w:val="single"/>
        </w:rPr>
        <w:t xml:space="preserve"> and “the people” obscure the particular and often </w:t>
      </w:r>
      <w:r w:rsidRPr="00A15207">
        <w:rPr>
          <w:rStyle w:val="Heading5Char"/>
          <w:rFonts w:ascii="Calibri" w:hAnsi="Calibri" w:cs="Calibri"/>
          <w:b/>
          <w:bCs/>
          <w:color w:val="auto"/>
          <w:u w:val="single"/>
        </w:rPr>
        <w:t>antagonistic positions that galvanize such claims</w:t>
      </w:r>
      <w:r w:rsidRPr="00A15207">
        <w:rPr>
          <w:rFonts w:cs="Calibri"/>
          <w:u w:val="single"/>
        </w:rPr>
        <w:t xml:space="preserve">, as well as </w:t>
      </w:r>
      <w:r w:rsidRPr="00A15207">
        <w:rPr>
          <w:rStyle w:val="Heading5Char"/>
          <w:rFonts w:ascii="Calibri" w:hAnsi="Calibri" w:cs="Calibri"/>
          <w:b/>
          <w:bCs/>
          <w:color w:val="auto"/>
          <w:highlight w:val="green"/>
          <w:u w:val="single"/>
        </w:rPr>
        <w:t>casting</w:t>
      </w:r>
      <w:r w:rsidRPr="00A15207">
        <w:rPr>
          <w:rStyle w:val="Heading5Char"/>
          <w:rFonts w:ascii="Calibri" w:hAnsi="Calibri" w:cs="Calibri"/>
          <w:b/>
          <w:bCs/>
          <w:color w:val="auto"/>
          <w:u w:val="single"/>
        </w:rPr>
        <w:t xml:space="preserve"> </w:t>
      </w:r>
      <w:r w:rsidRPr="00A15207">
        <w:rPr>
          <w:rStyle w:val="Heading5Char"/>
          <w:rFonts w:ascii="Calibri" w:hAnsi="Calibri" w:cs="Calibri"/>
          <w:b/>
          <w:bCs/>
          <w:color w:val="auto"/>
          <w:highlight w:val="green"/>
          <w:u w:val="single"/>
        </w:rPr>
        <w:t>tribes as</w:t>
      </w:r>
      <w:r w:rsidRPr="00A15207">
        <w:rPr>
          <w:rStyle w:val="Heading5Char"/>
          <w:rFonts w:ascii="Calibri" w:hAnsi="Calibri" w:cs="Calibri"/>
          <w:b/>
          <w:bCs/>
          <w:color w:val="auto"/>
          <w:u w:val="single"/>
        </w:rPr>
        <w:t xml:space="preserve"> a </w:t>
      </w:r>
      <w:r w:rsidRPr="00A15207">
        <w:rPr>
          <w:rStyle w:val="Heading5Char"/>
          <w:rFonts w:ascii="Calibri" w:hAnsi="Calibri" w:cs="Calibri"/>
          <w:b/>
          <w:bCs/>
          <w:color w:val="auto"/>
          <w:highlight w:val="green"/>
          <w:u w:val="single"/>
        </w:rPr>
        <w:t>single</w:t>
      </w:r>
      <w:r w:rsidRPr="00A15207">
        <w:rPr>
          <w:rStyle w:val="Heading5Char"/>
          <w:rFonts w:ascii="Calibri" w:hAnsi="Calibri" w:cs="Calibri"/>
          <w:b/>
          <w:bCs/>
          <w:color w:val="auto"/>
          <w:u w:val="single"/>
        </w:rPr>
        <w:t xml:space="preserve"> interest </w:t>
      </w:r>
      <w:r w:rsidRPr="00A15207">
        <w:rPr>
          <w:rStyle w:val="Heading5Char"/>
          <w:rFonts w:ascii="Calibri" w:hAnsi="Calibri" w:cs="Calibri"/>
          <w:b/>
          <w:bCs/>
          <w:color w:val="auto"/>
          <w:highlight w:val="green"/>
          <w:u w:val="single"/>
        </w:rPr>
        <w:t>group that fraudulently</w:t>
      </w:r>
      <w:r w:rsidRPr="00A15207">
        <w:rPr>
          <w:rStyle w:val="Heading5Char"/>
          <w:rFonts w:ascii="Calibri" w:hAnsi="Calibri" w:cs="Calibri"/>
          <w:b/>
          <w:bCs/>
          <w:color w:val="auto"/>
          <w:u w:val="single"/>
        </w:rPr>
        <w:t xml:space="preserve"> make </w:t>
      </w:r>
      <w:r w:rsidRPr="00A15207">
        <w:rPr>
          <w:rStyle w:val="Heading5Char"/>
          <w:rFonts w:ascii="Calibri" w:hAnsi="Calibri" w:cs="Calibri"/>
          <w:b/>
          <w:bCs/>
          <w:color w:val="auto"/>
          <w:highlight w:val="green"/>
          <w:u w:val="single"/>
        </w:rPr>
        <w:t>claims</w:t>
      </w:r>
      <w:r w:rsidRPr="00A15207">
        <w:rPr>
          <w:rStyle w:val="Heading5Char"/>
          <w:rFonts w:ascii="Calibri" w:hAnsi="Calibri" w:cs="Calibri"/>
          <w:b/>
          <w:bCs/>
          <w:color w:val="auto"/>
          <w:u w:val="single"/>
        </w:rPr>
        <w:t xml:space="preserve"> in the name of </w:t>
      </w:r>
      <w:r w:rsidRPr="00A15207">
        <w:rPr>
          <w:rStyle w:val="Heading5Char"/>
          <w:rFonts w:ascii="Calibri" w:hAnsi="Calibri" w:cs="Calibri"/>
          <w:b/>
          <w:bCs/>
          <w:color w:val="auto"/>
          <w:highlight w:val="green"/>
          <w:u w:val="single"/>
        </w:rPr>
        <w:t>sovereignty</w:t>
      </w:r>
      <w:r w:rsidRPr="00A15207">
        <w:rPr>
          <w:rFonts w:cs="Calibri"/>
          <w:u w:val="single"/>
        </w:rPr>
        <w:t xml:space="preserve"> and treaty rights.</w:t>
      </w:r>
      <w:r w:rsidRPr="00A15207">
        <w:rPr>
          <w:rFonts w:cs="Calibri"/>
          <w:sz w:val="16"/>
          <w:u w:val="single"/>
        </w:rPr>
        <w:t xml:space="preserve">  The </w:t>
      </w:r>
      <w:r w:rsidRPr="00A15207">
        <w:rPr>
          <w:rFonts w:cs="Calibri"/>
          <w:u w:val="single"/>
        </w:rPr>
        <w:t xml:space="preserve">spectrum of </w:t>
      </w:r>
      <w:r w:rsidRPr="00A15207">
        <w:rPr>
          <w:rStyle w:val="Heading5Char"/>
          <w:rFonts w:ascii="Calibri" w:hAnsi="Calibri" w:cs="Calibri"/>
          <w:color w:val="auto"/>
          <w:sz w:val="28"/>
          <w:highlight w:val="green"/>
          <w:u w:val="single"/>
        </w:rPr>
        <w:t>debate</w:t>
      </w:r>
      <w:r w:rsidRPr="00A15207">
        <w:rPr>
          <w:rFonts w:cs="Calibri"/>
          <w:sz w:val="28"/>
          <w:u w:val="single"/>
        </w:rPr>
        <w:t xml:space="preserve"> </w:t>
      </w:r>
      <w:r w:rsidRPr="00A15207">
        <w:rPr>
          <w:rFonts w:cs="Calibri"/>
          <w:u w:val="single"/>
        </w:rPr>
        <w:t>on public lands today</w:t>
      </w:r>
      <w:r w:rsidRPr="00A15207">
        <w:rPr>
          <w:rFonts w:cs="Calibri"/>
          <w:sz w:val="16"/>
          <w:u w:val="single"/>
        </w:rPr>
        <w:t xml:space="preserve"> tends to </w:t>
      </w:r>
      <w:r w:rsidRPr="00A15207">
        <w:rPr>
          <w:rStyle w:val="Heading5Char"/>
          <w:rFonts w:ascii="Calibri" w:hAnsi="Calibri" w:cs="Calibri"/>
          <w:b/>
          <w:bCs/>
          <w:color w:val="auto"/>
          <w:highlight w:val="green"/>
          <w:u w:val="single"/>
        </w:rPr>
        <w:t xml:space="preserve">naturalize </w:t>
      </w:r>
      <w:r w:rsidRPr="00A15207">
        <w:rPr>
          <w:rStyle w:val="Heading5Char"/>
          <w:rFonts w:ascii="Calibri" w:hAnsi="Calibri" w:cs="Calibri"/>
          <w:b/>
          <w:bCs/>
          <w:color w:val="auto"/>
          <w:u w:val="single"/>
        </w:rPr>
        <w:t xml:space="preserve">the </w:t>
      </w:r>
      <w:r w:rsidRPr="00A15207">
        <w:rPr>
          <w:rStyle w:val="Heading5Char"/>
          <w:rFonts w:ascii="Calibri" w:hAnsi="Calibri" w:cs="Calibri"/>
          <w:b/>
          <w:bCs/>
          <w:color w:val="auto"/>
          <w:highlight w:val="green"/>
          <w:u w:val="single"/>
        </w:rPr>
        <w:t>white</w:t>
      </w:r>
      <w:r w:rsidRPr="00A15207">
        <w:rPr>
          <w:rStyle w:val="Heading5Char"/>
          <w:rFonts w:ascii="Calibri" w:hAnsi="Calibri" w:cs="Calibri"/>
          <w:b/>
          <w:bCs/>
          <w:color w:val="auto"/>
          <w:u w:val="single"/>
        </w:rPr>
        <w:t xml:space="preserve"> </w:t>
      </w:r>
      <w:r w:rsidRPr="00A15207">
        <w:rPr>
          <w:rStyle w:val="Heading5Char"/>
          <w:rFonts w:ascii="Calibri" w:hAnsi="Calibri" w:cs="Calibri"/>
          <w:b/>
          <w:bCs/>
          <w:color w:val="auto"/>
          <w:highlight w:val="green"/>
          <w:u w:val="single"/>
        </w:rPr>
        <w:t>nationalism</w:t>
      </w:r>
      <w:r w:rsidRPr="00A15207">
        <w:rPr>
          <w:rFonts w:cs="Calibri"/>
          <w:sz w:val="16"/>
          <w:u w:val="single"/>
        </w:rPr>
        <w:t xml:space="preserve"> espoused by the Bundys—even when ostensibly criticizing the occupations as extremist or without merit—</w:t>
      </w:r>
      <w:r w:rsidRPr="00A15207">
        <w:rPr>
          <w:rFonts w:cs="Calibri"/>
          <w:u w:val="single"/>
        </w:rPr>
        <w:t xml:space="preserve">by recourse to conceptions of the national public and </w:t>
      </w:r>
      <w:r w:rsidRPr="00A15207">
        <w:rPr>
          <w:rStyle w:val="Heading5Char"/>
          <w:rFonts w:ascii="Calibri" w:hAnsi="Calibri" w:cs="Calibri"/>
          <w:b/>
          <w:bCs/>
          <w:color w:val="auto"/>
          <w:u w:val="single"/>
        </w:rPr>
        <w:t xml:space="preserve">natural resources </w:t>
      </w:r>
      <w:r w:rsidRPr="00A15207">
        <w:rPr>
          <w:rStyle w:val="Heading5Char"/>
          <w:rFonts w:ascii="Calibri" w:hAnsi="Calibri" w:cs="Calibri"/>
          <w:b/>
          <w:bCs/>
          <w:color w:val="auto"/>
          <w:highlight w:val="green"/>
          <w:u w:val="single"/>
        </w:rPr>
        <w:t>as national commons</w:t>
      </w:r>
      <w:r w:rsidRPr="00A15207">
        <w:rPr>
          <w:rFonts w:cs="Calibri"/>
          <w:u w:val="single"/>
        </w:rPr>
        <w:t>.</w:t>
      </w:r>
      <w:r w:rsidRPr="00A15207">
        <w:rPr>
          <w:rFonts w:cs="Calibri"/>
          <w:sz w:val="16"/>
          <w:u w:val="single"/>
        </w:rPr>
        <w:t xml:space="preserve">20  </w:t>
      </w:r>
      <w:r w:rsidRPr="00A15207">
        <w:rPr>
          <w:rFonts w:cs="Calibri"/>
          <w:u w:val="single"/>
        </w:rPr>
        <w:t xml:space="preserve">The notion of the commons itself is a </w:t>
      </w:r>
      <w:r w:rsidRPr="00A15207">
        <w:rPr>
          <w:rStyle w:val="Heading5Char"/>
          <w:rFonts w:ascii="Calibri" w:hAnsi="Calibri" w:cs="Calibri"/>
          <w:color w:val="auto"/>
          <w:u w:val="single"/>
        </w:rPr>
        <w:t>logic</w:t>
      </w:r>
      <w:r w:rsidRPr="00A15207">
        <w:rPr>
          <w:rFonts w:cs="Calibri"/>
          <w:u w:val="single"/>
        </w:rPr>
        <w:t xml:space="preserve"> of apparent universal access and public good that </w:t>
      </w:r>
      <w:r w:rsidRPr="00A15207">
        <w:rPr>
          <w:rFonts w:cs="Calibri"/>
          <w:b/>
          <w:bCs/>
          <w:u w:val="single"/>
        </w:rPr>
        <w:t xml:space="preserve">is </w:t>
      </w:r>
      <w:r w:rsidRPr="00A15207">
        <w:rPr>
          <w:rStyle w:val="Heading5Char"/>
          <w:rFonts w:ascii="Calibri" w:hAnsi="Calibri" w:cs="Calibri"/>
          <w:b/>
          <w:bCs/>
          <w:color w:val="auto"/>
          <w:u w:val="single"/>
        </w:rPr>
        <w:t xml:space="preserve">used </w:t>
      </w:r>
      <w:r w:rsidRPr="00A15207">
        <w:rPr>
          <w:rStyle w:val="Heading5Char"/>
          <w:rFonts w:ascii="Calibri" w:hAnsi="Calibri" w:cs="Calibri"/>
          <w:b/>
          <w:bCs/>
          <w:color w:val="auto"/>
          <w:highlight w:val="green"/>
          <w:u w:val="single"/>
        </w:rPr>
        <w:t>to justify indigenous dispossession</w:t>
      </w:r>
      <w:r w:rsidRPr="00A15207">
        <w:rPr>
          <w:rFonts w:cs="Calibri"/>
          <w:u w:val="single"/>
        </w:rPr>
        <w:t>,</w:t>
      </w:r>
      <w:r w:rsidRPr="00A15207">
        <w:rPr>
          <w:rFonts w:cs="Calibri"/>
          <w:sz w:val="16"/>
          <w:u w:val="single"/>
        </w:rPr>
        <w:t xml:space="preserve"> </w:t>
      </w:r>
      <w:r w:rsidRPr="00A15207">
        <w:rPr>
          <w:rFonts w:cs="Calibri"/>
          <w:u w:val="single"/>
        </w:rPr>
        <w:t>depicting</w:t>
      </w:r>
      <w:r w:rsidRPr="00A15207">
        <w:rPr>
          <w:rFonts w:cs="Calibri"/>
          <w:sz w:val="16"/>
          <w:u w:val="single"/>
        </w:rPr>
        <w:t xml:space="preserve"> the particular and historical belonging of </w:t>
      </w:r>
      <w:r w:rsidRPr="00A15207">
        <w:rPr>
          <w:rFonts w:cs="Calibri"/>
          <w:u w:val="single"/>
        </w:rPr>
        <w:t>Native peoples as an overly self-interested obstacle to the greater good of the commons.</w:t>
      </w:r>
    </w:p>
    <w:p w14:paraId="46E490BB" w14:textId="77777777" w:rsidR="00F86EE6" w:rsidRPr="00A15207" w:rsidRDefault="00F86EE6" w:rsidP="00F86EE6">
      <w:pPr>
        <w:rPr>
          <w:rFonts w:cs="Calibri"/>
          <w:b/>
          <w:u w:val="single"/>
        </w:rPr>
      </w:pPr>
      <w:r w:rsidRPr="00A15207">
        <w:rPr>
          <w:rFonts w:cs="Calibri"/>
          <w:sz w:val="16"/>
        </w:rPr>
        <w:t xml:space="preserve">At the same time, recourse to an exceptionalist discourse that casts public lands as “the common birthright of all Americans” has become a frequent rejoinder to either plans for the large-scale transfer of federal lands to states and private industry.  For instance, Utah Congressman Jason Chaffetz’s proposed Disposal of Excess Federal Lands Act in January 2017 was abruptly withdrawn after criticism from groups such as Backcountry Hunters and Anglers proclaimed: “It seems the politicians on Capitol Hill have forgotten to whom the land actually belongs.  You, me and every other citizen of this country.”21  The substance of the bill echoed both Utah’s 2012 Transfer of Public Lands Act (which demanded that the U.S. Congress convey federal public lands to the state) and the 2016 Republican Party campaign platform (which likewise called for the devolution of public lands to states), even as it remained out of step with public statements by Donald Trump and Montana representative Ryan Zinke, then Trump’s likely nominee on his way to becoming the Secretary of the Interior, who sought to maintain federal control while increasing deregulation to allow for expanded access for private industry.22  Yet </w:t>
      </w:r>
      <w:r w:rsidRPr="00A15207">
        <w:rPr>
          <w:rFonts w:cs="Calibri"/>
        </w:rPr>
        <w:t xml:space="preserve">both proponents of the populist “to whom the land actually belongs” and legislators espouse </w:t>
      </w:r>
      <w:r w:rsidRPr="00A15207">
        <w:rPr>
          <w:rFonts w:cs="Calibri"/>
          <w:highlight w:val="green"/>
        </w:rPr>
        <w:t xml:space="preserve">a </w:t>
      </w:r>
      <w:r w:rsidRPr="00A15207">
        <w:rPr>
          <w:rStyle w:val="Heading5Char"/>
          <w:rFonts w:ascii="Calibri" w:hAnsi="Calibri" w:cs="Calibri"/>
          <w:b/>
          <w:bCs/>
          <w:color w:val="auto"/>
          <w:highlight w:val="green"/>
        </w:rPr>
        <w:t>defensive nationalism</w:t>
      </w:r>
      <w:r w:rsidRPr="00A15207">
        <w:rPr>
          <w:rFonts w:cs="Calibri"/>
        </w:rPr>
        <w:t xml:space="preserve"> and incontrovertible possession </w:t>
      </w:r>
      <w:r w:rsidRPr="00A15207">
        <w:rPr>
          <w:rStyle w:val="Heading5Char"/>
          <w:rFonts w:ascii="Calibri" w:hAnsi="Calibri" w:cs="Calibri"/>
          <w:color w:val="auto"/>
        </w:rPr>
        <w:t>contingent upon the presumed comprehensive dispossession of indigenous peoples</w:t>
      </w:r>
      <w:r w:rsidRPr="00A15207">
        <w:rPr>
          <w:rFonts w:cs="Calibri"/>
        </w:rPr>
        <w:t>.</w:t>
      </w:r>
    </w:p>
    <w:p w14:paraId="4991267B" w14:textId="77777777" w:rsidR="00F86EE6" w:rsidRPr="00A15207" w:rsidRDefault="00F86EE6" w:rsidP="00F86EE6">
      <w:pPr>
        <w:rPr>
          <w:rFonts w:cs="Calibri"/>
          <w:b/>
          <w:bCs/>
          <w:u w:val="single"/>
        </w:rPr>
      </w:pPr>
      <w:r w:rsidRPr="00A15207">
        <w:rPr>
          <w:rFonts w:cs="Calibri"/>
          <w:sz w:val="16"/>
        </w:rPr>
        <w:t xml:space="preserve">The pattern of settler trespass and land claims over and against indigenous peoples in excess of imperial or state sanction led to the British colonial government’s Proclamation of 1763. Although the proclamation ultimately served as a justification for the U.S. War of Independence because of its supposedly unjust limitation on territorial expansion by the colonies, it also provided a model for the subsequent U.S. federal government’s authority over constituent states and settlers.23 During the early national period when the federal government administered public lands primarily as a source of revenue, legal and military action sought to curb and control widespread settler trespass and unlawful habitation. In the wake of the Louisiana Purchase, Congress authorized the army to forcibly eject squatters. The 1807 Unlawful Intrusions Act increased criminal sanctions and penalties for settling or occupying public lands without legal claim, but ultimately did little to limit the expectations and incursions of settlers west of the Mississippi River. These expectations and settler claims were first given legal endorsement following the War of 1812 when Congress conferred partial preemption rights to squatters in Louisiana and the Illinois and Missouri Territories. The right of preemption—the preferential right granted to squatters to purchase the lands they occupied prior to public sale at a minimum price per acre—essentially authorized settler illegality and theft as a means of further consolidating colonization. Legislative debates over the regulation of settler trespass intensified throughout the 1820s, eventually resulting in a series of expansive preemption acts between 1830 and 1841.24 In 1862, Congress passed the first of the Homestead Acts, which gave federal land to settlers for farming as a means to encourage westward migration over and against the sovereign territorial claims of indigenous peoples. It similarly encouraged the western settlement of European immigrants as a palliative means of economic mobility intended to defuse full blown class war among the settler population in the east.25 At the same time, the lackluster and minimally implemented Southern Homestead Act of 1866—intended to support landownership by formerly enslaved African Americans—makes clear the unevenly racialized and white nationalist terms of settlement.26 II. The White Republic of Cliven Bundy The historical imaginary expressed in the Bundy occupations is predicated on claiming to defend the true legacy of the American Revolution, the principles of the U.S. Constitution, and the heritage of conquest in the U.S. West. The “Sagebrush Rebellion” of the 1970s restaged the possessive expectations of settlers and western ranchers manifest in reaction to Progressive-era conservationist legislation during the 1890s, including the Forest Reserve Act of 1891 and the Forest Service Organic Administration Act of 1897, which allowed the federal agency to designate areas to be reserved and protected from development. Statements by the Bundys on the illegitimacy of federal authority deliberately align them with this reactionary moment, as well as with historical lineage of white supremacist Posse Comitatus during the 1970s and 1980s, the militia and “county supremacist” movements of the 1990s, and the more recent “sovereign citizen” movement. Distinct in many ways, each of these movements nonetheless claimed to defend private property against federal tyranny.27 For the Bundys and other Western ranchers, these three themes—the American Revolution, the U.S. Constitution, and the so-called frontier—converge most saliently on the issue of land held in the public domain.28 Ignoring not only the ongoing and genocidal history of indigenous displacement, but also the historical consolidation of cattle baron monopolies through their brutal reign of terror and class war against impoverished homesteaders, the Bundy narrative highlights claims of rancher oppression and dispossession. Similar claims were reignited in opposition to the environmental movement in the 1960s and 1970s and legislation such as the National Environmental Policy Act of 1969, which encouraged federal agencies such as the Bureau of Land Management and the National Forest Service to manage natural resources for purposes other than grazing, mining, and logging.29 The county supremacy, wise use, and white nationalist movements share the idea that the U.S. Constitution does not allow federal ownership of public lands within the borders of a state.30 They argue that federal lands should have been relinquished to the states upon their admission to the Union under the so-called “equal footing doctrine.” Originating with the state land cessions negotiated on behalf of the Articles of Confederation as a means of securing the political unification of the states, and further articulated in the expansionist terms of the 1787 Northwest Ordinance, the equal footing doctrine requires that new states be admitted to the Union as political equals of the existing states. Although all of the continental western states had clauses in their admissions acts disclaiming any right to unappropriated public lands within their borders, these groups contend that such clauses are unconstitutional under the equal footing doctrine, and therefore invalid.31 As empirically spurious as such assertions are, they link claims to public land, such as those made by the Bundys, to state’s rights agendas and the terms of continental colonization negotiated among settlers, states, and the federal government. In April 2014, Cliven Bundy’s confrontation with the Bureau of Land Management in the aptly named Bunkerville, Nevada—an unincorporated town founded by Mormons in 1877 and 82 miles northeast of Las Vegas—gained widespread news coverage. Since 1989, Bundy had accumulated more than $1.2 million in unpaid grazing fees for use of public lands. When in 2014, as a response to Bundy’s refusal to pay these fees, the BLM began confiscating Bundy’s cattle, he issued a call to militia across the country to come to his ranch and take up arms against the federal government.32 Although the Bundy family only purchased their ranch land in 1948 and did not begin grazing cattle until 1954, Bundy insisted on his ancestral and preemption-derived rights: “My forefathers . . . have been up and down the Virgin Valley here since 1877. All these rights I claim have been created through pre-emptive rights and beneficial use of the forage and the water and the access and range improvements.”33 At no point has Bundy substantively addressed the Moapa Band of Paiutes, whose homeland was appropriated as the public domain to which he claimed to have rights by virtue of ancestry, preemption, and American citizenship. Nor did Bundy’s advocates make the comparison between the federal government’s treatment of the Nevada rancher and its considerably more severe, violent, and illegal actions toward the nearby Western Shoshone and the Dann sisters.34 Although Bundy had little to say regarding the Southern Paiute he did have thoughts to share on the place of African Americans in the United States. “I want to tell you one . . . thing I know about the Negro,” he said. Referring to a public-housing project in North Las Vegas, he decried “government subsidy” as leading to immoral abortion and crime. He concluded with a nostalgic gloss on slavery by remarking that he’d “often wondered, are they better off as slaves, picking cotton and having a family life and doing things, or are they better off under government subsidy?”35 Indeed, he contended that African Americans taking government assistance were less free than slaves. Las Vegas as a site of escalating racialized struggle over housing and displacement was of little concern for Bundy. Likewise, his criticism of federal land policy omitted any mention of how the 1998 Southern Nevada Land Management Act opened up federal lands for rapid development, and paved the way for the real estate boom in the Las Vegas Valley. During the 1990s, Nevada had the fastest growing population in the country and was subsequently among the state’s most impacted by the 2008 foreclosure crisis.36 Especially relevant for the frame of expectation as property, Cliven Bundy’s racial imaginary and racialization of the state articulate familiar reactionary tropes in response to the gains of the civil rights movement and grudging expansion of the semi-welfare state during the 1960s. These have historically accompanied the assertion of states’ rights and the burgeoning white hostility to federal authority—manifest in struggles such as those against taxation and school integration—and advanced the further devolution and downsizing of government. Likewise, the reactionary 1970s “taxpayer revolt” and successive antiwelfare campaigns disputed what they characterized as the inordinate tax burden placed on them by the state.37 More recently the link between states’ rights claims and efforts to dismantle civil rights legislation such as the Voting Rights Act has been evident in such conservative jurisprudence as the U.S. Supreme Court’s 2013 decision in Shelby County v. Holder.38 Acknowledging the ways in such hostility to federal authority is articulated in terms of declarations of patriotism and claims to represent fundamental constitutionally based American values suggests the importance of understanding how antiwelfare discourse evokes American exceptionalist conceptions of the nation. Underwritten by Lockean notions of property and proper possession, as well as the “doctrine of discovery,” the settler construct of the independent and rugged individualist pioneer that has long served as foundational to the mythology of white nationalism remains predicated upon not only indigenous dispossession and its disavowal, but on the attributions of dependency and devaluation to racialized others more broadly. This is where the white republic of Cliven Bundy is an aspiration to a racially specific national belonging that evokes its own vision of common inheritance and birthright. Bundy’s white republic is at once exclusive, possessory, and an expansive claim to be and to defend America that denies its own dependence on lands and labor taken by attributing reprehensible dependency to those who have been dispossessed and racialized as socially expendable. III. A Certain Public The case of Gold Butte is useful to briefly consider in this regard. Gold Butte is land formation with numerous petroglyphs, historical artifacts, and sacred sites that is part of the traditional territory of the Moapa Band of Paiutes to the south of Bunkerville and on which Bundy had been grazing his cattle.39 In the wake of Mormon-led colonization efforts in the region that began during the mid-nineteenth century and through which settlers seized the most arable Southern Paiute land, the federal government established the Moapa River Indian Reservation in 1873. Initially 2.5 million acres—including much of present-day Moapa, Logandale, Overton, Virgin Valley, and the Gold Butte area—the reservation was reduced to a mere 1,000 acres two years later to make way for mining industry interests. A claim filed with the Indian Claims Commission by the Moapa Paiute in 1951 provided limited compensation for lands taken and legislation in 1980 returned 70,000 acres to the tribe.40 Legislation introduced in 2014 that would have further reinstated land to the tribe failed in committee, but provoked criticism from various settler factions. Real estate developers in the area complained that this would be a “negative economic legacy to the state of Nevada in perpetuity,” and a spokesperson for the organization Partners in Conservation expressed concerns about lack access for non-tribal members and “families that have traditional, historic, and cultural ties to that area . . . . We have lost a lot in the past years with all the various restrictions on federal lands.”41 In addition to such acquisitive hostilities, the Moapa and the Las Vegas Paiute have also fought against the toxic consequences of military test sites and extractive energy projects throughout the region, such as the Yucca Mountain Repository for nuclear waste and the Reid Gardner coal plant.42 Facing resistance to regaining stolen lands, the Moapa worked with the environmentalist group Friends of Gold Butte and Sierra Club, and successfully lobbied outgoing President Obama to establish the Gold Butte National Monument. Former tribal council member Vernon Lee observed: “We want to protect the lands, we want to protect the animals and we want our sacred sites protected . . . . Right now, the best thing we can think of is to go on the side of this creation of a monument.”43 This protection required the Moapa to strategically partner with environmentalists so as to advocate on behalf of the public interest and lobby for a national monument to be established under the Antiquities Act for a nation other than itself and antiquities that would symbolically be conserved as an inheritance for the people of the United States generally.  </w:t>
      </w:r>
      <w:r w:rsidRPr="00A15207">
        <w:rPr>
          <w:rFonts w:cs="Calibri"/>
        </w:rPr>
        <w:t xml:space="preserve">This </w:t>
      </w:r>
      <w:r w:rsidRPr="00A15207">
        <w:rPr>
          <w:rStyle w:val="Heading5Char"/>
          <w:rFonts w:ascii="Calibri" w:hAnsi="Calibri" w:cs="Calibri"/>
          <w:b/>
          <w:bCs/>
          <w:color w:val="auto"/>
          <w:u w:val="single"/>
        </w:rPr>
        <w:t xml:space="preserve">general </w:t>
      </w:r>
      <w:r w:rsidRPr="00A15207">
        <w:rPr>
          <w:rStyle w:val="Heading5Char"/>
          <w:rFonts w:ascii="Calibri" w:hAnsi="Calibri" w:cs="Calibri"/>
          <w:b/>
          <w:bCs/>
          <w:color w:val="auto"/>
          <w:highlight w:val="green"/>
          <w:u w:val="single"/>
        </w:rPr>
        <w:t>public</w:t>
      </w:r>
      <w:r w:rsidRPr="00A15207">
        <w:rPr>
          <w:rStyle w:val="Heading5Char"/>
          <w:rFonts w:ascii="Calibri" w:hAnsi="Calibri" w:cs="Calibri"/>
          <w:b/>
          <w:bCs/>
          <w:color w:val="auto"/>
          <w:u w:val="single"/>
        </w:rPr>
        <w:t xml:space="preserve"> is always </w:t>
      </w:r>
      <w:r w:rsidRPr="00A15207">
        <w:rPr>
          <w:rStyle w:val="Heading5Char"/>
          <w:rFonts w:ascii="Calibri" w:hAnsi="Calibri" w:cs="Calibri"/>
          <w:b/>
          <w:bCs/>
          <w:color w:val="auto"/>
          <w:highlight w:val="green"/>
          <w:u w:val="single"/>
        </w:rPr>
        <w:t>already a</w:t>
      </w:r>
      <w:r w:rsidRPr="00A15207">
        <w:rPr>
          <w:rStyle w:val="Heading5Char"/>
          <w:rFonts w:ascii="Calibri" w:hAnsi="Calibri" w:cs="Calibri"/>
          <w:b/>
          <w:bCs/>
          <w:color w:val="auto"/>
          <w:u w:val="single"/>
        </w:rPr>
        <w:t xml:space="preserve"> particular </w:t>
      </w:r>
      <w:r w:rsidRPr="00A15207">
        <w:rPr>
          <w:rStyle w:val="Heading5Char"/>
          <w:rFonts w:ascii="Calibri" w:hAnsi="Calibri" w:cs="Calibri"/>
          <w:b/>
          <w:bCs/>
          <w:color w:val="auto"/>
          <w:highlight w:val="green"/>
          <w:u w:val="single"/>
        </w:rPr>
        <w:t>settler public</w:t>
      </w:r>
      <w:r w:rsidRPr="00A15207">
        <w:rPr>
          <w:rFonts w:cs="Calibri"/>
          <w:sz w:val="16"/>
          <w:u w:val="single"/>
        </w:rPr>
        <w:t>—itself composed of specific antagonisms and divisions—</w:t>
      </w:r>
      <w:r w:rsidRPr="00A15207">
        <w:rPr>
          <w:rFonts w:cs="Calibri"/>
          <w:u w:val="single"/>
        </w:rPr>
        <w:t xml:space="preserve">that </w:t>
      </w:r>
      <w:r w:rsidRPr="00A15207">
        <w:rPr>
          <w:rFonts w:cs="Calibri"/>
          <w:b/>
          <w:bCs/>
          <w:highlight w:val="green"/>
          <w:u w:val="single"/>
        </w:rPr>
        <w:t xml:space="preserve">strives to </w:t>
      </w:r>
      <w:r w:rsidRPr="00A15207">
        <w:rPr>
          <w:rStyle w:val="Heading5Char"/>
          <w:rFonts w:ascii="Calibri" w:hAnsi="Calibri" w:cs="Calibri"/>
          <w:b/>
          <w:bCs/>
          <w:color w:val="auto"/>
          <w:highlight w:val="green"/>
          <w:u w:val="single"/>
        </w:rPr>
        <w:t>secure national certainty</w:t>
      </w:r>
      <w:r w:rsidRPr="00A15207">
        <w:rPr>
          <w:rFonts w:cs="Calibri"/>
          <w:b/>
          <w:bCs/>
          <w:u w:val="single"/>
        </w:rPr>
        <w:t xml:space="preserve"> and capacity </w:t>
      </w:r>
      <w:r w:rsidRPr="00A15207">
        <w:rPr>
          <w:rStyle w:val="Heading5Char"/>
          <w:rFonts w:ascii="Calibri" w:hAnsi="Calibri" w:cs="Calibri"/>
          <w:b/>
          <w:bCs/>
          <w:color w:val="auto"/>
          <w:highlight w:val="green"/>
          <w:u w:val="single"/>
        </w:rPr>
        <w:t>through indigenous dispossession</w:t>
      </w:r>
      <w:r w:rsidRPr="00A15207">
        <w:rPr>
          <w:rFonts w:cs="Calibri"/>
          <w:b/>
          <w:bCs/>
          <w:highlight w:val="green"/>
          <w:u w:val="single"/>
        </w:rPr>
        <w:t>.</w:t>
      </w:r>
    </w:p>
    <w:p w14:paraId="607E20A3" w14:textId="77777777" w:rsidR="00F86EE6" w:rsidRPr="00A15207" w:rsidRDefault="00F86EE6" w:rsidP="00F86EE6">
      <w:pPr>
        <w:rPr>
          <w:rFonts w:cs="Calibri"/>
          <w:sz w:val="16"/>
          <w:u w:val="single"/>
        </w:rPr>
      </w:pPr>
      <w:r w:rsidRPr="00A15207">
        <w:rPr>
          <w:rFonts w:cs="Calibri"/>
          <w:sz w:val="16"/>
        </w:rPr>
        <w:t xml:space="preserve">It is instructive to compare Lee’s statement with </w:t>
      </w:r>
      <w:r w:rsidRPr="00A15207">
        <w:rPr>
          <w:rFonts w:cs="Calibri"/>
          <w:u w:val="single"/>
        </w:rPr>
        <w:t>Nevada Senator Harry Reid</w:t>
      </w:r>
      <w:r w:rsidRPr="00A15207">
        <w:rPr>
          <w:rFonts w:cs="Calibri"/>
          <w:sz w:val="16"/>
          <w:u w:val="single"/>
        </w:rPr>
        <w:t xml:space="preserve">, who </w:t>
      </w:r>
      <w:r w:rsidRPr="00A15207">
        <w:rPr>
          <w:rFonts w:cs="Calibri"/>
          <w:u w:val="single"/>
        </w:rPr>
        <w:t>championed the initiative to set aside Gold Butte as a national monument.  Reid declared: “Threats to our public lands are threats to our economy, our environment, and our culture</w:t>
      </w:r>
      <w:r w:rsidRPr="00A15207">
        <w:rPr>
          <w:rFonts w:cs="Calibri"/>
          <w:b/>
          <w:bCs/>
          <w:u w:val="single"/>
        </w:rPr>
        <w:t xml:space="preserve">.  </w:t>
      </w:r>
      <w:r w:rsidRPr="00A15207">
        <w:rPr>
          <w:rStyle w:val="Heading5Char"/>
          <w:rFonts w:ascii="Calibri" w:hAnsi="Calibri" w:cs="Calibri"/>
          <w:b/>
          <w:bCs/>
          <w:color w:val="auto"/>
          <w:u w:val="single"/>
        </w:rPr>
        <w:t>When we preserve our lands, we preserve America</w:t>
      </w:r>
      <w:r w:rsidRPr="00A15207">
        <w:rPr>
          <w:rFonts w:cs="Calibri"/>
          <w:u w:val="single"/>
        </w:rPr>
        <w:t>.”</w:t>
      </w:r>
      <w:r w:rsidRPr="00A15207">
        <w:rPr>
          <w:rFonts w:cs="Calibri"/>
          <w:sz w:val="16"/>
          <w:u w:val="single"/>
        </w:rPr>
        <w:t xml:space="preserve">44 </w:t>
      </w:r>
      <w:r w:rsidRPr="00A15207">
        <w:rPr>
          <w:rFonts w:cs="Calibri"/>
          <w:u w:val="single"/>
        </w:rPr>
        <w:t xml:space="preserve">The force of colonial dispossession and disavowal as settler common </w:t>
      </w:r>
      <w:r w:rsidRPr="00A15207">
        <w:rPr>
          <w:rFonts w:cs="Calibri"/>
          <w:b/>
          <w:bCs/>
          <w:u w:val="single"/>
        </w:rPr>
        <w:t xml:space="preserve">sense </w:t>
      </w:r>
      <w:r w:rsidRPr="00A15207">
        <w:rPr>
          <w:rStyle w:val="Heading5Char"/>
          <w:rFonts w:ascii="Calibri" w:hAnsi="Calibri" w:cs="Calibri"/>
          <w:b/>
          <w:bCs/>
          <w:color w:val="auto"/>
          <w:highlight w:val="green"/>
          <w:u w:val="single"/>
        </w:rPr>
        <w:t>obscures</w:t>
      </w:r>
      <w:r w:rsidRPr="00A15207">
        <w:rPr>
          <w:rFonts w:cs="Calibri"/>
          <w:b/>
          <w:bCs/>
          <w:u w:val="single"/>
        </w:rPr>
        <w:t xml:space="preserve"> the gap between</w:t>
      </w:r>
      <w:r w:rsidRPr="00A15207">
        <w:rPr>
          <w:rFonts w:cs="Calibri"/>
          <w:b/>
          <w:bCs/>
          <w:sz w:val="16"/>
          <w:u w:val="single"/>
        </w:rPr>
        <w:t xml:space="preserve"> the </w:t>
      </w:r>
      <w:r w:rsidRPr="00A15207">
        <w:rPr>
          <w:rFonts w:cs="Calibri"/>
          <w:b/>
          <w:bCs/>
          <w:u w:val="single"/>
        </w:rPr>
        <w:t xml:space="preserve">strategic </w:t>
      </w:r>
      <w:r w:rsidRPr="00A15207">
        <w:rPr>
          <w:rStyle w:val="Heading5Char"/>
          <w:rFonts w:ascii="Calibri" w:hAnsi="Calibri" w:cs="Calibri"/>
          <w:b/>
          <w:bCs/>
          <w:color w:val="auto"/>
          <w:highlight w:val="green"/>
          <w:u w:val="single"/>
        </w:rPr>
        <w:t>pragmatism</w:t>
      </w:r>
      <w:r w:rsidRPr="00A15207">
        <w:rPr>
          <w:rFonts w:cs="Calibri"/>
          <w:sz w:val="16"/>
          <w:u w:val="single"/>
        </w:rPr>
        <w:t xml:space="preserve"> of “right now, the best thing we can think of” espoused by Lee—a pragmatism I take to be ultimately </w:t>
      </w:r>
      <w:r w:rsidRPr="00A15207">
        <w:rPr>
          <w:rFonts w:cs="Calibri"/>
          <w:u w:val="single"/>
        </w:rPr>
        <w:t>in the service of tribal sovereignty</w:t>
      </w:r>
      <w:r w:rsidRPr="00A15207">
        <w:rPr>
          <w:rFonts w:cs="Calibri"/>
          <w:sz w:val="16"/>
          <w:u w:val="single"/>
        </w:rPr>
        <w:t>—</w:t>
      </w:r>
      <w:r w:rsidRPr="00A15207">
        <w:rPr>
          <w:rFonts w:cs="Calibri"/>
          <w:u w:val="single"/>
        </w:rPr>
        <w:t>and the national purpose invoked by Reid, that “we preserve America.”</w:t>
      </w:r>
      <w:r w:rsidRPr="00A15207">
        <w:rPr>
          <w:rFonts w:cs="Calibri"/>
          <w:sz w:val="16"/>
          <w:u w:val="single"/>
        </w:rPr>
        <w:t xml:space="preserve">  Where Lee speaks to the limited options for asserting Moapa relations to place and Moapa authority in relation to lands taken under colonization, Reid’s remarks suggest the ways in which </w:t>
      </w:r>
      <w:r w:rsidRPr="00A15207">
        <w:rPr>
          <w:rFonts w:cs="Calibri"/>
          <w:u w:val="single"/>
        </w:rPr>
        <w:t>the past and futurity of the United States are at stake in preserving a uniquely American heritage and landscape.</w:t>
      </w:r>
    </w:p>
    <w:p w14:paraId="61B6F2E4" w14:textId="77777777" w:rsidR="00F86EE6" w:rsidRPr="00A15207" w:rsidRDefault="00F86EE6" w:rsidP="00F86EE6">
      <w:pPr>
        <w:rPr>
          <w:rFonts w:cs="Calibri"/>
          <w:sz w:val="16"/>
        </w:rPr>
      </w:pPr>
      <w:r w:rsidRPr="00A15207">
        <w:rPr>
          <w:rFonts w:cs="Calibri"/>
        </w:rPr>
        <w:t>To ignore the racial and colonial constitution of the property relation</w:t>
      </w:r>
      <w:r w:rsidRPr="00A15207">
        <w:rPr>
          <w:rFonts w:cs="Calibri"/>
          <w:sz w:val="16"/>
        </w:rPr>
        <w:t xml:space="preserve"> threatens </w:t>
      </w:r>
      <w:r w:rsidRPr="00A15207">
        <w:rPr>
          <w:rFonts w:cs="Calibri"/>
        </w:rPr>
        <w:t>not only</w:t>
      </w:r>
      <w:r w:rsidRPr="00A15207">
        <w:rPr>
          <w:rFonts w:cs="Calibri"/>
          <w:sz w:val="16"/>
        </w:rPr>
        <w:t xml:space="preserve"> to </w:t>
      </w:r>
      <w:r w:rsidRPr="00A15207">
        <w:rPr>
          <w:rFonts w:cs="Calibri"/>
        </w:rPr>
        <w:t>perpetuate, but also</w:t>
      </w:r>
      <w:r w:rsidRPr="00A15207">
        <w:rPr>
          <w:rFonts w:cs="Calibri"/>
          <w:sz w:val="16"/>
        </w:rPr>
        <w:t xml:space="preserve"> to </w:t>
      </w:r>
      <w:r w:rsidRPr="00A15207">
        <w:rPr>
          <w:rFonts w:cs="Calibri"/>
        </w:rPr>
        <w:t>intensify the ways</w:t>
      </w:r>
      <w:r w:rsidRPr="00A15207">
        <w:rPr>
          <w:rFonts w:cs="Calibri"/>
          <w:sz w:val="16"/>
        </w:rPr>
        <w:t xml:space="preserve"> in which </w:t>
      </w:r>
      <w:r w:rsidRPr="00A15207">
        <w:rPr>
          <w:rFonts w:cs="Calibri"/>
        </w:rPr>
        <w:t xml:space="preserve">property itself as a historical and material relation is </w:t>
      </w:r>
      <w:r w:rsidRPr="00A15207">
        <w:rPr>
          <w:rStyle w:val="Heading5Char"/>
          <w:rFonts w:ascii="Calibri" w:hAnsi="Calibri" w:cs="Calibri"/>
          <w:b/>
          <w:bCs/>
          <w:color w:val="auto"/>
          <w:highlight w:val="green"/>
          <w:u w:val="single"/>
        </w:rPr>
        <w:t>predicated</w:t>
      </w:r>
      <w:r w:rsidRPr="00A15207">
        <w:rPr>
          <w:rStyle w:val="Heading5Char"/>
          <w:rFonts w:ascii="Calibri" w:hAnsi="Calibri" w:cs="Calibri"/>
          <w:b/>
          <w:bCs/>
          <w:color w:val="auto"/>
          <w:u w:val="single"/>
        </w:rPr>
        <w:t xml:space="preserve"> upon racial and </w:t>
      </w:r>
      <w:r w:rsidRPr="00A15207">
        <w:rPr>
          <w:rStyle w:val="Heading5Char"/>
          <w:rFonts w:ascii="Calibri" w:hAnsi="Calibri" w:cs="Calibri"/>
          <w:b/>
          <w:bCs/>
          <w:color w:val="auto"/>
          <w:highlight w:val="green"/>
          <w:u w:val="single"/>
        </w:rPr>
        <w:t>colonial dispossession</w:t>
      </w:r>
      <w:r w:rsidRPr="00A15207">
        <w:rPr>
          <w:rFonts w:cs="Calibri"/>
          <w:b/>
          <w:bCs/>
          <w:u w:val="single"/>
        </w:rPr>
        <w:t>.</w:t>
      </w:r>
      <w:r w:rsidRPr="00A15207">
        <w:rPr>
          <w:rFonts w:cs="Calibri"/>
          <w:b/>
          <w:bCs/>
          <w:sz w:val="16"/>
          <w:u w:val="single"/>
        </w:rPr>
        <w:t xml:space="preserve">  </w:t>
      </w:r>
      <w:r w:rsidRPr="00A15207">
        <w:rPr>
          <w:rStyle w:val="Heading5Char"/>
          <w:rFonts w:ascii="Calibri" w:hAnsi="Calibri" w:cs="Calibri"/>
          <w:b/>
          <w:bCs/>
          <w:color w:val="auto"/>
          <w:u w:val="single"/>
        </w:rPr>
        <w:t>Nor, is it possible to simply substitute a supposedly colorblind ethic</w:t>
      </w:r>
      <w:r w:rsidRPr="00A15207">
        <w:rPr>
          <w:rFonts w:cs="Calibri"/>
          <w:u w:val="single"/>
        </w:rPr>
        <w:t>—</w:t>
      </w:r>
      <w:r w:rsidRPr="00A15207">
        <w:rPr>
          <w:rFonts w:cs="Calibri"/>
        </w:rPr>
        <w:t>such as ending de jure racist property exclusions or redlining in real estate markets—that renders the property relation more equitable.</w:t>
      </w:r>
      <w:r w:rsidRPr="00A15207">
        <w:rPr>
          <w:rFonts w:cs="Calibri"/>
          <w:sz w:val="16"/>
        </w:rPr>
        <w:t xml:space="preserve">  Colonization and the differential devaluation of racialized peoples remain constitutive.  This is not to say that property is exclusively a manifestation of these historical relations of power, but it is to suggest that it remains in significant ways enmeshed with and disposed by these relations.  </w:t>
      </w:r>
      <w:r w:rsidRPr="00A15207">
        <w:rPr>
          <w:rFonts w:cs="Calibri"/>
        </w:rPr>
        <w:t>In prevailing conceptions of possession and property</w:t>
      </w:r>
      <w:r w:rsidRPr="00A15207">
        <w:rPr>
          <w:rFonts w:cs="Calibri"/>
          <w:sz w:val="16"/>
        </w:rPr>
        <w:t>, as Eva Mackey points out, “</w:t>
      </w:r>
      <w:r w:rsidRPr="00A15207">
        <w:rPr>
          <w:rStyle w:val="Heading5Char"/>
          <w:rFonts w:ascii="Calibri" w:hAnsi="Calibri" w:cs="Calibri"/>
          <w:b/>
          <w:bCs/>
          <w:color w:val="auto"/>
          <w:u w:val="single"/>
        </w:rPr>
        <w:t>jurisprudence has legally entrenched and attempted to materialize the fantasy of certainty and stability for settlers</w:t>
      </w:r>
      <w:r w:rsidRPr="00A15207">
        <w:rPr>
          <w:rFonts w:cs="Calibri"/>
          <w:b/>
          <w:bCs/>
          <w:sz w:val="16"/>
        </w:rPr>
        <w:t>”—</w:t>
      </w:r>
      <w:r w:rsidRPr="00A15207">
        <w:rPr>
          <w:rFonts w:cs="Calibri"/>
          <w:sz w:val="16"/>
        </w:rPr>
        <w:t>precisely the certainty and stability upon which expectation depends.45  Taking seriously the notion that property is a social relation requires looking at the specificity of that relation as it is continuously remade in the broader social circumstances in which it is situated and social struggles of which it is part. This perpetual need for its remaking and reiteration, in effect, conveys in part how the property relation as a colonial relation remains uncertain, unstable, and open to contestation.</w:t>
      </w:r>
    </w:p>
    <w:p w14:paraId="42910153" w14:textId="77777777" w:rsidR="00F86EE6" w:rsidRPr="00A15207" w:rsidRDefault="00F86EE6" w:rsidP="00F86EE6">
      <w:pPr>
        <w:rPr>
          <w:rFonts w:cs="Calibri"/>
          <w:sz w:val="16"/>
        </w:rPr>
      </w:pPr>
      <w:r w:rsidRPr="00A15207">
        <w:rPr>
          <w:rFonts w:cs="Calibri"/>
        </w:rPr>
        <w:t>The genealogy of white supremacy in the United States is made in shifting material relations of colonial and racial dispossession.</w:t>
      </w:r>
      <w:r w:rsidRPr="00A15207">
        <w:rPr>
          <w:rFonts w:cs="Calibri"/>
          <w:sz w:val="16"/>
        </w:rPr>
        <w:t xml:space="preserve">  Both white supremacy and what Mark Rifkin calls “settler common sense” are used to mediate inequalities among white people over and against indigenous peoples, people of color, and migrants.46  The Bundy </w:t>
      </w:r>
      <w:r w:rsidRPr="00A15207">
        <w:rPr>
          <w:rFonts w:cs="Calibri"/>
        </w:rPr>
        <w:t xml:space="preserve">claims provide an example of these ideologies, </w:t>
      </w:r>
      <w:r w:rsidRPr="00A15207">
        <w:rPr>
          <w:rFonts w:cs="Calibri"/>
          <w:u w:val="single"/>
        </w:rPr>
        <w:t xml:space="preserve">which </w:t>
      </w:r>
      <w:r w:rsidRPr="00A15207">
        <w:rPr>
          <w:rStyle w:val="Heading5Char"/>
          <w:rFonts w:ascii="Calibri" w:hAnsi="Calibri" w:cs="Calibri"/>
          <w:b/>
          <w:bCs/>
          <w:color w:val="auto"/>
          <w:highlight w:val="green"/>
          <w:u w:val="single"/>
        </w:rPr>
        <w:t>assert</w:t>
      </w:r>
      <w:r w:rsidRPr="00A15207">
        <w:rPr>
          <w:rStyle w:val="Heading5Char"/>
          <w:rFonts w:ascii="Calibri" w:hAnsi="Calibri" w:cs="Calibri"/>
          <w:b/>
          <w:bCs/>
          <w:color w:val="auto"/>
          <w:u w:val="single"/>
        </w:rPr>
        <w:t xml:space="preserve"> a particular conception of collective belonging and </w:t>
      </w:r>
      <w:r w:rsidRPr="00A15207">
        <w:rPr>
          <w:rStyle w:val="Heading5Char"/>
          <w:rFonts w:ascii="Calibri" w:hAnsi="Calibri" w:cs="Calibri"/>
          <w:b/>
          <w:bCs/>
          <w:color w:val="auto"/>
          <w:highlight w:val="green"/>
          <w:u w:val="single"/>
        </w:rPr>
        <w:t>nationalist imaginary</w:t>
      </w:r>
      <w:r w:rsidRPr="00A15207">
        <w:rPr>
          <w:rFonts w:cs="Calibri"/>
          <w:b/>
          <w:bCs/>
        </w:rPr>
        <w:t>.</w:t>
      </w:r>
      <w:r w:rsidRPr="00A15207">
        <w:rPr>
          <w:rFonts w:cs="Calibri"/>
          <w:sz w:val="16"/>
        </w:rPr>
        <w:t xml:space="preserve">  This is a settler nation that gains a semblance of coherence over and against indigenous and racialized others.  </w:t>
      </w:r>
      <w:r w:rsidRPr="00A15207">
        <w:rPr>
          <w:rFonts w:cs="Calibri"/>
        </w:rPr>
        <w:t xml:space="preserve">To challenge this claim by asserting a more inclusive national public and the celebration of national commons may provide a seemingly effective counter-discourse, but it does so </w:t>
      </w:r>
      <w:r w:rsidRPr="00A15207">
        <w:rPr>
          <w:rStyle w:val="Heading5Char"/>
          <w:rFonts w:ascii="Calibri" w:hAnsi="Calibri" w:cs="Calibri"/>
          <w:b/>
          <w:bCs/>
          <w:color w:val="auto"/>
          <w:u w:val="single"/>
        </w:rPr>
        <w:t xml:space="preserve">only by </w:t>
      </w:r>
      <w:r w:rsidRPr="00A15207">
        <w:rPr>
          <w:rStyle w:val="Heading5Char"/>
          <w:rFonts w:ascii="Calibri" w:hAnsi="Calibri" w:cs="Calibri"/>
          <w:b/>
          <w:bCs/>
          <w:color w:val="auto"/>
          <w:highlight w:val="green"/>
          <w:u w:val="single"/>
        </w:rPr>
        <w:t>further inscribing settler prerogative</w:t>
      </w:r>
      <w:r w:rsidRPr="00A15207">
        <w:rPr>
          <w:rStyle w:val="Heading5Char"/>
          <w:rFonts w:ascii="Calibri" w:hAnsi="Calibri" w:cs="Calibri"/>
          <w:b/>
          <w:bCs/>
          <w:color w:val="auto"/>
          <w:u w:val="single"/>
        </w:rPr>
        <w:t xml:space="preserve"> and naturalizing colonial and racialized dispossession</w:t>
      </w:r>
      <w:r w:rsidRPr="00A15207">
        <w:rPr>
          <w:rFonts w:cs="Calibri"/>
          <w:u w:val="single"/>
        </w:rPr>
        <w:t>.</w:t>
      </w:r>
      <w:r w:rsidRPr="00A15207">
        <w:rPr>
          <w:rFonts w:cs="Calibri"/>
        </w:rPr>
        <w:t xml:space="preserve"> </w:t>
      </w:r>
      <w:r w:rsidRPr="00A15207">
        <w:rPr>
          <w:rFonts w:cs="Calibri"/>
          <w:sz w:val="16"/>
        </w:rPr>
        <w:t xml:space="preserve"> Putatively antigovernment white supremacy in the United States conjoins colonial and racial dispossession in its attacks on the U.S. state.  Rather than simply being anti-statist, such maneuvers are attempts to capture and redeploy state power in particular ways, while at the same time categorically denying the historical co-constitution of colonial and racial dispossession and how this remains crucial in the current conjuncture.  These are the ideational and material sources of expectation as property.</w:t>
      </w:r>
    </w:p>
    <w:p w14:paraId="7AFBC26B" w14:textId="77777777" w:rsidR="00142E46" w:rsidRPr="00A15207" w:rsidRDefault="00142E46" w:rsidP="00A96FC2">
      <w:pPr>
        <w:rPr>
          <w:rStyle w:val="StyleUnderline"/>
          <w:rFonts w:cs="Calibri"/>
        </w:rPr>
      </w:pPr>
    </w:p>
    <w:p w14:paraId="41E8FC2B" w14:textId="648EA184" w:rsidR="00CC4DB6" w:rsidRPr="009E5EF5" w:rsidRDefault="00A96FC2" w:rsidP="00CC4DB6">
      <w:pPr>
        <w:pStyle w:val="Heading4"/>
        <w:rPr>
          <w:rFonts w:cs="Calibri"/>
        </w:rPr>
      </w:pPr>
      <w:r w:rsidRPr="00A15207">
        <w:rPr>
          <w:rFonts w:cs="Calibri"/>
        </w:rPr>
        <w:t xml:space="preserve">3] Settler colonialism is the permeating structure of the nation-state which requires the elimination of indigenous life and land via the occupation of settlers. The appropriation of land turns Natives into ghosts and chattel slaves into excess labor. </w:t>
      </w:r>
      <w:r w:rsidR="00CC4DB6">
        <w:rPr>
          <w:rFonts w:cs="Calibri"/>
        </w:rPr>
        <w:t>Existing structures are unequal</w:t>
      </w:r>
      <w:r w:rsidR="00CC4DB6">
        <w:rPr>
          <w:rFonts w:cs="Calibri"/>
        </w:rPr>
        <w:t>, extending them</w:t>
      </w:r>
    </w:p>
    <w:p w14:paraId="466631E6" w14:textId="77777777" w:rsidR="00A96FC2" w:rsidRPr="00A15207" w:rsidRDefault="00A96FC2" w:rsidP="00A96FC2">
      <w:pPr>
        <w:pStyle w:val="Heading4"/>
        <w:rPr>
          <w:rFonts w:cs="Calibri"/>
        </w:rPr>
      </w:pPr>
      <w:r w:rsidRPr="00A15207">
        <w:rPr>
          <w:rFonts w:cs="Calibri"/>
        </w:rPr>
        <w:t xml:space="preserve">4] This debate is </w:t>
      </w:r>
      <w:r w:rsidRPr="00A15207">
        <w:rPr>
          <w:rFonts w:cs="Calibri"/>
          <w:u w:val="single"/>
        </w:rPr>
        <w:t>not</w:t>
      </w:r>
      <w:r w:rsidRPr="00A15207">
        <w:rPr>
          <w:rFonts w:cs="Calibri"/>
        </w:rPr>
        <w:t xml:space="preserve"> private space good/bad, but instead a question of Native </w:t>
      </w:r>
      <w:r w:rsidRPr="00A15207">
        <w:rPr>
          <w:rFonts w:cs="Calibri"/>
          <w:u w:val="single"/>
        </w:rPr>
        <w:t>sovereignty</w:t>
      </w:r>
      <w:r w:rsidRPr="00A15207">
        <w:rPr>
          <w:rFonts w:cs="Calibri"/>
        </w:rPr>
        <w:t xml:space="preserve"> and the power to </w:t>
      </w:r>
      <w:r w:rsidRPr="00A15207">
        <w:rPr>
          <w:rFonts w:cs="Calibri"/>
          <w:u w:val="single"/>
        </w:rPr>
        <w:t>invoke</w:t>
      </w:r>
      <w:r w:rsidRPr="00A15207">
        <w:rPr>
          <w:rFonts w:cs="Calibri"/>
        </w:rPr>
        <w:t xml:space="preserve"> the plan. The 1AC eclipses the authority of Native nations, so in response we affirm the long tradition of </w:t>
      </w:r>
      <w:r w:rsidRPr="00A15207">
        <w:rPr>
          <w:rFonts w:cs="Calibri"/>
          <w:u w:val="single"/>
        </w:rPr>
        <w:t>Indigenous internationalism</w:t>
      </w:r>
      <w:r w:rsidRPr="00A15207">
        <w:rPr>
          <w:rFonts w:cs="Calibri"/>
        </w:rPr>
        <w:t xml:space="preserve"> across colonial borders. </w:t>
      </w:r>
    </w:p>
    <w:p w14:paraId="59951B05" w14:textId="77777777" w:rsidR="00A96FC2" w:rsidRPr="00A15207" w:rsidRDefault="00A96FC2" w:rsidP="00A96FC2">
      <w:pPr>
        <w:rPr>
          <w:rStyle w:val="Style13ptBold"/>
          <w:rFonts w:cs="Calibri"/>
        </w:rPr>
      </w:pPr>
      <w:r w:rsidRPr="00A15207">
        <w:rPr>
          <w:rStyle w:val="Style13ptBold"/>
          <w:rFonts w:cs="Calibri"/>
        </w:rPr>
        <w:t>Estes 19</w:t>
      </w:r>
    </w:p>
    <w:p w14:paraId="483A802F" w14:textId="77777777" w:rsidR="00A96FC2" w:rsidRPr="00A15207" w:rsidRDefault="00A96FC2" w:rsidP="00A96FC2">
      <w:pPr>
        <w:rPr>
          <w:rStyle w:val="Style13ptBold"/>
          <w:rFonts w:cs="Calibri"/>
          <w:sz w:val="20"/>
          <w:szCs w:val="20"/>
        </w:rPr>
      </w:pPr>
      <w:r w:rsidRPr="00A15207">
        <w:rPr>
          <w:rStyle w:val="Style13ptBold"/>
          <w:rFonts w:cs="Calibri"/>
          <w:sz w:val="20"/>
          <w:szCs w:val="20"/>
        </w:rPr>
        <w:t>(Nick Estes is a citizen of the Lower Brule Sioux Tribe. He is an Assistant Professor in the American Studies Department at the University of New Mexico. In 2014, he co-founded The Red Nation, an Indigenous resistance organization. For 2017-2018, Estes was the American Democracy Fellow at the Charles Warren Center for Studies in American History at Harvard University. Chapter 6: Internationalism, Our History Is the Future: STANDING ROCK VERSUS THE DAKOTA ACCESS PIPELINE, AND THE LONG TRADITION OF INDIGENOUS RESISTANCE, 2019, hardback, JKS)</w:t>
      </w:r>
    </w:p>
    <w:p w14:paraId="07545E19" w14:textId="77777777" w:rsidR="00A96FC2" w:rsidRPr="00A15207" w:rsidRDefault="00A96FC2" w:rsidP="00A96FC2">
      <w:pPr>
        <w:rPr>
          <w:rFonts w:cs="Calibri"/>
          <w:sz w:val="14"/>
        </w:rPr>
      </w:pPr>
      <w:r w:rsidRPr="00A15207">
        <w:rPr>
          <w:rStyle w:val="StyleUnderline"/>
          <w:rFonts w:cs="Calibri"/>
        </w:rPr>
        <w:t>The Treaty Council</w:t>
      </w:r>
      <w:r w:rsidRPr="00A15207">
        <w:rPr>
          <w:rFonts w:cs="Calibri"/>
          <w:sz w:val="14"/>
        </w:rPr>
        <w:t xml:space="preserve">, however, </w:t>
      </w:r>
      <w:r w:rsidRPr="00A15207">
        <w:rPr>
          <w:rStyle w:val="StyleUnderline"/>
          <w:rFonts w:cs="Calibri"/>
        </w:rPr>
        <w:t xml:space="preserve">was not the first or only version of </w:t>
      </w:r>
      <w:r w:rsidRPr="00A15207">
        <w:rPr>
          <w:rFonts w:cs="Calibri"/>
          <w:sz w:val="14"/>
        </w:rPr>
        <w:t>what historian Daniel Cobb calls a “</w:t>
      </w:r>
      <w:r w:rsidRPr="00A15207">
        <w:rPr>
          <w:rStyle w:val="StyleUnderline"/>
          <w:rFonts w:cs="Calibri"/>
        </w:rPr>
        <w:t>global Indigenous identity.</w:t>
      </w:r>
      <w:r w:rsidRPr="00A15207">
        <w:rPr>
          <w:rFonts w:cs="Calibri"/>
          <w:sz w:val="14"/>
        </w:rPr>
        <w:t xml:space="preserve">” Rather, </w:t>
      </w:r>
      <w:r w:rsidRPr="00A15207">
        <w:rPr>
          <w:rStyle w:val="StyleUnderline"/>
          <w:rFonts w:cs="Calibri"/>
        </w:rPr>
        <w:t xml:space="preserve">it belonged to and drew from a long tradition of </w:t>
      </w:r>
      <w:r w:rsidRPr="00A15207">
        <w:rPr>
          <w:rStyle w:val="Emphasis"/>
          <w:rFonts w:cs="Calibri"/>
          <w:highlight w:val="green"/>
        </w:rPr>
        <w:t>Indigenous internationalism</w:t>
      </w:r>
      <w:r w:rsidRPr="00A15207">
        <w:rPr>
          <w:rFonts w:cs="Calibri"/>
          <w:sz w:val="14"/>
        </w:rPr>
        <w:t xml:space="preserve">.5 Prior to European contact, </w:t>
      </w:r>
      <w:r w:rsidRPr="00A15207">
        <w:rPr>
          <w:rStyle w:val="StyleUnderline"/>
          <w:rFonts w:cs="Calibri"/>
        </w:rPr>
        <w:t>Indigenous nations had often entered into relations with each other for alliance, kinship, war, peace, or trade.</w:t>
      </w:r>
      <w:r w:rsidRPr="00A15207">
        <w:rPr>
          <w:rFonts w:cs="Calibri"/>
          <w:sz w:val="14"/>
        </w:rPr>
        <w:t xml:space="preserve"> As shown in previous chapters, agreements were made not solely between human nations, but also among nonhuman nations as well, such as the buffalo and the land. </w:t>
      </w:r>
      <w:r w:rsidRPr="00A15207">
        <w:rPr>
          <w:rStyle w:val="StyleUnderline"/>
          <w:rFonts w:cs="Calibri"/>
        </w:rPr>
        <w:t>Such treaties were, and continue to be, the basis of diplomacy and the evidence of a prior and continuing status of Indigenous nationhood.</w:t>
      </w:r>
      <w:r w:rsidRPr="00A15207">
        <w:rPr>
          <w:rFonts w:cs="Calibri"/>
          <w:sz w:val="14"/>
        </w:rPr>
        <w:t xml:space="preserve"> </w:t>
      </w:r>
      <w:r w:rsidRPr="00A15207">
        <w:rPr>
          <w:rStyle w:val="Emphasis"/>
          <w:rFonts w:cs="Calibri"/>
          <w:highlight w:val="green"/>
        </w:rPr>
        <w:t>Sovereign nations do not enter into international relations or treaties with domestic or “internal” populations</w:t>
      </w:r>
      <w:r w:rsidRPr="00A15207">
        <w:rPr>
          <w:rStyle w:val="Emphasis"/>
          <w:rFonts w:cs="Calibri"/>
        </w:rPr>
        <w:t>.</w:t>
      </w:r>
      <w:r w:rsidRPr="00A15207">
        <w:rPr>
          <w:rFonts w:cs="Calibri"/>
          <w:sz w:val="14"/>
        </w:rPr>
        <w:t xml:space="preserve"> On the contrary, </w:t>
      </w:r>
      <w:r w:rsidRPr="00A15207">
        <w:rPr>
          <w:rStyle w:val="StyleUnderline"/>
          <w:rFonts w:cs="Calibri"/>
          <w:sz w:val="24"/>
        </w:rPr>
        <w:t xml:space="preserve">the very basis of sovereignty is the power </w:t>
      </w:r>
      <w:r w:rsidRPr="00A15207">
        <w:rPr>
          <w:rStyle w:val="StyleUnderline"/>
          <w:rFonts w:cs="Calibri"/>
          <w:sz w:val="24"/>
          <w:highlight w:val="green"/>
        </w:rPr>
        <w:t>to negotiate relationships between</w:t>
      </w:r>
      <w:r w:rsidRPr="00A15207">
        <w:rPr>
          <w:rStyle w:val="StyleUnderline"/>
          <w:rFonts w:cs="Calibri"/>
          <w:sz w:val="24"/>
        </w:rPr>
        <w:t xml:space="preserve"> </w:t>
      </w:r>
      <w:r w:rsidRPr="00A15207">
        <w:rPr>
          <w:rStyle w:val="StyleUnderline"/>
          <w:rFonts w:cs="Calibri"/>
          <w:sz w:val="24"/>
          <w:highlight w:val="green"/>
        </w:rPr>
        <w:t>those</w:t>
      </w:r>
      <w:r w:rsidRPr="00A15207">
        <w:rPr>
          <w:rStyle w:val="StyleUnderline"/>
          <w:rFonts w:cs="Calibri"/>
          <w:sz w:val="24"/>
        </w:rPr>
        <w:t xml:space="preserve"> who are </w:t>
      </w:r>
      <w:r w:rsidRPr="00A15207">
        <w:rPr>
          <w:rStyle w:val="StyleUnderline"/>
          <w:rFonts w:cs="Calibri"/>
          <w:sz w:val="24"/>
          <w:highlight w:val="green"/>
        </w:rPr>
        <w:t>seen as</w:t>
      </w:r>
      <w:r w:rsidRPr="00A15207">
        <w:rPr>
          <w:rStyle w:val="StyleUnderline"/>
          <w:rFonts w:cs="Calibri"/>
          <w:sz w:val="24"/>
        </w:rPr>
        <w:t xml:space="preserve"> </w:t>
      </w:r>
      <w:r w:rsidRPr="00A15207">
        <w:rPr>
          <w:rStyle w:val="StyleUnderline"/>
          <w:rFonts w:cs="Calibri"/>
          <w:sz w:val="24"/>
          <w:highlight w:val="green"/>
        </w:rPr>
        <w:t>different</w:t>
      </w:r>
      <w:r w:rsidRPr="00A15207">
        <w:rPr>
          <w:rStyle w:val="StyleUnderline"/>
          <w:rFonts w:cs="Calibri"/>
        </w:rPr>
        <w:t>— between other sovereigns and nations. But concepts of “sovereignty” and “nation” possess different meanings for Indigenous peoples</w:t>
      </w:r>
      <w:r w:rsidRPr="00A15207">
        <w:rPr>
          <w:rFonts w:cs="Calibri"/>
          <w:sz w:val="14"/>
        </w:rPr>
        <w:t xml:space="preserve"> than for their European-derived counterparts. And they are not entirely consistent, either, with the aspirations for a nation-state that came to define decolonization movements in the Third World. While doing important defensive work, on face value these Western and Third World concepts only partially reflect traditions of Indigenous resistance. </w:t>
      </w:r>
      <w:r w:rsidRPr="00A15207">
        <w:rPr>
          <w:rStyle w:val="Emphasis"/>
          <w:rFonts w:cs="Calibri"/>
        </w:rPr>
        <w:t xml:space="preserve">Far beyond the project of seeking equality within the colonial state, the </w:t>
      </w:r>
      <w:r w:rsidRPr="00A15207">
        <w:rPr>
          <w:rStyle w:val="Emphasis"/>
          <w:rFonts w:cs="Calibri"/>
          <w:highlight w:val="green"/>
        </w:rPr>
        <w:t>tradition of radical Indigenous internationalism imagined a world</w:t>
      </w:r>
      <w:r w:rsidRPr="00A15207">
        <w:rPr>
          <w:rStyle w:val="Emphasis"/>
          <w:rFonts w:cs="Calibri"/>
        </w:rPr>
        <w:t xml:space="preserve"> altogether </w:t>
      </w:r>
      <w:r w:rsidRPr="00A15207">
        <w:rPr>
          <w:rStyle w:val="Emphasis"/>
          <w:rFonts w:cs="Calibri"/>
          <w:highlight w:val="green"/>
        </w:rPr>
        <w:t>free of colonial hierarchies of race, class, and nation</w:t>
      </w:r>
      <w:r w:rsidRPr="00A15207">
        <w:rPr>
          <w:rFonts w:cs="Calibri"/>
          <w:sz w:val="14"/>
        </w:rPr>
        <w:t xml:space="preserve">. </w:t>
      </w:r>
      <w:r w:rsidRPr="00A15207">
        <w:rPr>
          <w:rStyle w:val="StyleUnderline"/>
          <w:rFonts w:cs="Calibri"/>
        </w:rPr>
        <w:t>This vision allowed revolutionary Indigenous organizations such as the Treaty Council to make relative</w:t>
      </w:r>
      <w:r w:rsidRPr="00A15207">
        <w:rPr>
          <w:rFonts w:cs="Calibri"/>
          <w:sz w:val="14"/>
        </w:rPr>
        <w:t xml:space="preserve">s, so to speak, </w:t>
      </w:r>
      <w:r w:rsidRPr="00A15207">
        <w:rPr>
          <w:rStyle w:val="StyleUnderline"/>
          <w:rFonts w:cs="Calibri"/>
        </w:rPr>
        <w:t xml:space="preserve">with those they saw as different, </w:t>
      </w:r>
      <w:r w:rsidRPr="00A15207">
        <w:rPr>
          <w:rStyle w:val="Emphasis"/>
          <w:rFonts w:cs="Calibri"/>
          <w:highlight w:val="green"/>
        </w:rPr>
        <w:t>imagining themselves as part of Third World struggles and ideologies</w:t>
      </w:r>
      <w:r w:rsidRPr="00A15207">
        <w:rPr>
          <w:rStyle w:val="StyleUnderline"/>
          <w:rFonts w:cs="Calibri"/>
        </w:rPr>
        <w:t xml:space="preserve">, and entirely renouncing the imperialism and exceptionalism of the First World </w:t>
      </w:r>
      <w:r w:rsidRPr="00A15207">
        <w:rPr>
          <w:rFonts w:cs="Calibri"/>
          <w:sz w:val="14"/>
        </w:rPr>
        <w:t xml:space="preserve">(while still living in it). They were in the First World but not of it—much like American Indians are in, but not entirely of, the United States. </w:t>
      </w:r>
      <w:r w:rsidRPr="00A15207">
        <w:rPr>
          <w:rStyle w:val="StyleUnderline"/>
          <w:rFonts w:cs="Calibri"/>
          <w:highlight w:val="green"/>
        </w:rPr>
        <w:t>Indigenous peoples</w:t>
      </w:r>
      <w:r w:rsidRPr="00A15207">
        <w:rPr>
          <w:rStyle w:val="StyleUnderline"/>
          <w:rFonts w:cs="Calibri"/>
        </w:rPr>
        <w:t xml:space="preserve"> across North America and the world have fought, </w:t>
      </w:r>
      <w:r w:rsidRPr="00A15207">
        <w:rPr>
          <w:rStyle w:val="StyleUnderline"/>
          <w:rFonts w:cs="Calibri"/>
          <w:highlight w:val="green"/>
        </w:rPr>
        <w:t>died</w:t>
      </w:r>
      <w:r w:rsidRPr="00A15207">
        <w:rPr>
          <w:rStyle w:val="StyleUnderline"/>
          <w:rFonts w:cs="Calibri"/>
        </w:rPr>
        <w:t xml:space="preserve">, and struggled </w:t>
      </w:r>
      <w:r w:rsidRPr="00A15207">
        <w:rPr>
          <w:rStyle w:val="StyleUnderline"/>
          <w:rFonts w:cs="Calibri"/>
          <w:highlight w:val="green"/>
        </w:rPr>
        <w:t>to reclaim</w:t>
      </w:r>
      <w:r w:rsidRPr="00A15207">
        <w:rPr>
          <w:rStyle w:val="StyleUnderline"/>
          <w:rFonts w:cs="Calibri"/>
        </w:rPr>
        <w:t>, restore, and redefine these powerful ideas</w:t>
      </w:r>
      <w:r w:rsidRPr="00A15207">
        <w:rPr>
          <w:rFonts w:cs="Calibri"/>
          <w:sz w:val="14"/>
        </w:rPr>
        <w:t xml:space="preserve">. </w:t>
      </w:r>
      <w:r w:rsidRPr="00A15207">
        <w:rPr>
          <w:rStyle w:val="Emphasis"/>
          <w:rFonts w:cs="Calibri"/>
          <w:highlight w:val="green"/>
        </w:rPr>
        <w:t>Their</w:t>
      </w:r>
      <w:r w:rsidRPr="00A15207">
        <w:rPr>
          <w:rStyle w:val="Emphasis"/>
          <w:rFonts w:cs="Calibri"/>
        </w:rPr>
        <w:t xml:space="preserve"> goal has been to take </w:t>
      </w:r>
      <w:r w:rsidRPr="00A15207">
        <w:rPr>
          <w:rStyle w:val="Emphasis"/>
          <w:rFonts w:cs="Calibri"/>
          <w:highlight w:val="green"/>
        </w:rPr>
        <w:t>their proper place in the family of nations</w:t>
      </w:r>
      <w:r w:rsidRPr="00A15207">
        <w:rPr>
          <w:rStyle w:val="Emphasis"/>
          <w:rFonts w:cs="Calibri"/>
        </w:rPr>
        <w:t xml:space="preserve">. </w:t>
      </w:r>
      <w:r w:rsidRPr="00A15207">
        <w:rPr>
          <w:rFonts w:cs="Calibri"/>
          <w:sz w:val="14"/>
        </w:rPr>
        <w:t xml:space="preserve">Radical Indigenous internationalism, however, predates AIM and the Treaty Council. </w:t>
      </w:r>
      <w:r w:rsidRPr="00A15207">
        <w:rPr>
          <w:rStyle w:val="StyleUnderline"/>
          <w:rFonts w:cs="Calibri"/>
        </w:rPr>
        <w:t xml:space="preserve">Contemporary pan-Indigenous movements were a result of more than a decade of Red Power organizing </w:t>
      </w:r>
      <w:r w:rsidRPr="00A15207">
        <w:rPr>
          <w:rFonts w:cs="Calibri"/>
          <w:sz w:val="14"/>
        </w:rPr>
        <w:t xml:space="preserve">that began in the early 1960s, nearly a decade before the creation of AIM. Earlier, in the 1950s, Flathead scholar and writer </w:t>
      </w:r>
      <w:r w:rsidRPr="00A15207">
        <w:rPr>
          <w:rStyle w:val="StyleUnderline"/>
          <w:rFonts w:cs="Calibri"/>
        </w:rPr>
        <w:t>D’Arcy McNickle and the National Congress of American Indian</w:t>
      </w:r>
      <w:r w:rsidRPr="00A15207">
        <w:rPr>
          <w:rFonts w:cs="Calibri"/>
          <w:sz w:val="14"/>
        </w:rPr>
        <w:t xml:space="preserve">s had explored a similar intellectual and political terrain of internationalism. And before that, </w:t>
      </w:r>
      <w:r w:rsidRPr="00A15207">
        <w:rPr>
          <w:rStyle w:val="StyleUnderline"/>
          <w:rFonts w:cs="Calibri"/>
        </w:rPr>
        <w:t>the Society of American Indians advocated for a seat at the table during the 1919 Paris peace talks and representation at the League of Nations</w:t>
      </w:r>
      <w:r w:rsidRPr="00A15207">
        <w:rPr>
          <w:rFonts w:cs="Calibri"/>
          <w:sz w:val="14"/>
        </w:rPr>
        <w:t xml:space="preserve">. </w:t>
      </w:r>
      <w:r w:rsidRPr="00A15207">
        <w:rPr>
          <w:rStyle w:val="StyleUnderline"/>
          <w:rFonts w:cs="Calibri"/>
        </w:rPr>
        <w:t>Each distinct instance posed a similar question</w:t>
      </w:r>
      <w:r w:rsidRPr="00A15207">
        <w:rPr>
          <w:rStyle w:val="StyleUnderline"/>
          <w:rFonts w:cs="Calibri"/>
          <w:highlight w:val="green"/>
        </w:rPr>
        <w:t xml:space="preserve">: </w:t>
      </w:r>
      <w:r w:rsidRPr="00A15207">
        <w:rPr>
          <w:rStyle w:val="Emphasis"/>
          <w:rFonts w:cs="Calibri"/>
          <w:sz w:val="24"/>
          <w:highlight w:val="green"/>
        </w:rPr>
        <w:t>If Indigenous peoples are nations, why are they not afforded the right to self-determination?</w:t>
      </w:r>
      <w:r w:rsidRPr="00A15207">
        <w:rPr>
          <w:rStyle w:val="Emphasis"/>
          <w:rFonts w:cs="Calibri"/>
          <w:sz w:val="24"/>
        </w:rPr>
        <w:t xml:space="preserve"> </w:t>
      </w:r>
      <w:r w:rsidRPr="00A15207">
        <w:rPr>
          <w:rFonts w:cs="Calibri"/>
          <w:sz w:val="14"/>
        </w:rPr>
        <w:t xml:space="preserve">Two strands of thinking about self-determination for the colonial world prevailed following the First World War. In the first, US President Woodrow Wilson argued for self-determination with a limited set of rights that would not radically upset the colonial order. Such liberal internationalism, however, glaringly omitted Indigenous peoples, as they understood themselves as nations that existed prior to the formation of settler states. Rarely were Wilson’s principles applied to North America or the United States; nor were they ever intended to extend to Indigenous peoples. A second, more radical vision put forward by Communist revolutionary V. I. Lenin argued for the right of colonized nations to secede and declare independence from their colonial masters. This view was echoed by the Third World decolonization movement, as part of a global Socialist and Communist revolution, and it has frequently been applied in the Asian, African, and South American contexts. But this view remained almost entirely absent in North America, except among radical Indigenous, Black, Asian, Caribbean, and Chicanx national liberation movements. </w:t>
      </w:r>
      <w:r w:rsidRPr="00A15207">
        <w:rPr>
          <w:rStyle w:val="StyleUnderline"/>
          <w:rFonts w:cs="Calibri"/>
          <w:highlight w:val="green"/>
        </w:rPr>
        <w:t>The Treaty Council advocated</w:t>
      </w:r>
      <w:r w:rsidRPr="00A15207">
        <w:rPr>
          <w:rStyle w:val="StyleUnderline"/>
          <w:rFonts w:cs="Calibri"/>
        </w:rPr>
        <w:t xml:space="preserve"> </w:t>
      </w:r>
      <w:r w:rsidRPr="00A15207">
        <w:rPr>
          <w:rStyle w:val="StyleUnderline"/>
          <w:rFonts w:cs="Calibri"/>
          <w:highlight w:val="green"/>
        </w:rPr>
        <w:t>Indigenous nationhood</w:t>
      </w:r>
      <w:r w:rsidRPr="00A15207">
        <w:rPr>
          <w:rStyle w:val="StyleUnderline"/>
          <w:rFonts w:cs="Calibri"/>
        </w:rPr>
        <w:t xml:space="preserve"> as </w:t>
      </w:r>
      <w:r w:rsidRPr="00A15207">
        <w:rPr>
          <w:rStyle w:val="StyleUnderline"/>
          <w:rFonts w:cs="Calibri"/>
          <w:highlight w:val="green"/>
        </w:rPr>
        <w:t>part of</w:t>
      </w:r>
      <w:r w:rsidRPr="00A15207">
        <w:rPr>
          <w:rStyle w:val="StyleUnderline"/>
          <w:rFonts w:cs="Calibri"/>
        </w:rPr>
        <w:t xml:space="preserve"> this </w:t>
      </w:r>
      <w:r w:rsidRPr="00A15207">
        <w:rPr>
          <w:rStyle w:val="StyleUnderline"/>
          <w:rFonts w:cs="Calibri"/>
          <w:highlight w:val="green"/>
        </w:rPr>
        <w:t>global anti-colonial movement</w:t>
      </w:r>
      <w:r w:rsidRPr="00A15207">
        <w:rPr>
          <w:rStyle w:val="StyleUnderline"/>
          <w:rFonts w:cs="Calibri"/>
        </w:rPr>
        <w:t xml:space="preserve"> and in line with Third World liberation</w:t>
      </w:r>
      <w:r w:rsidRPr="00A15207">
        <w:rPr>
          <w:rFonts w:cs="Calibri"/>
          <w:sz w:val="14"/>
        </w:rPr>
        <w:t xml:space="preserve"> movements. </w:t>
      </w:r>
      <w:r w:rsidRPr="00A15207">
        <w:rPr>
          <w:rStyle w:val="StyleUnderline"/>
          <w:rFonts w:cs="Calibri"/>
          <w:highlight w:val="green"/>
        </w:rPr>
        <w:t>After decades</w:t>
      </w:r>
      <w:r w:rsidRPr="00A15207">
        <w:rPr>
          <w:rStyle w:val="StyleUnderline"/>
          <w:rFonts w:cs="Calibri"/>
        </w:rPr>
        <w:t xml:space="preserve"> of experiencing land loss, enduring bare survival, attempting to work with federal programs, filing court cases, defeating termination legislation, and facing mass relocation, an </w:t>
      </w:r>
      <w:r w:rsidRPr="00A15207">
        <w:rPr>
          <w:rStyle w:val="StyleUnderline"/>
          <w:rFonts w:cs="Calibri"/>
          <w:highlight w:val="green"/>
        </w:rPr>
        <w:t>assertion of Oceti Sakowin sovereignty went from ambition to prescription</w:t>
      </w:r>
      <w:r w:rsidRPr="00A15207">
        <w:rPr>
          <w:rFonts w:cs="Calibri"/>
          <w:sz w:val="14"/>
        </w:rPr>
        <w:t>. Few avenues remained other than the pursuit of international treaty rights</w:t>
      </w:r>
      <w:r w:rsidRPr="00A15207">
        <w:rPr>
          <w:rFonts w:cs="Calibri"/>
          <w:sz w:val="14"/>
          <w:highlight w:val="green"/>
        </w:rPr>
        <w:t xml:space="preserve">. </w:t>
      </w:r>
      <w:r w:rsidRPr="00A15207">
        <w:rPr>
          <w:rStyle w:val="StyleUnderline"/>
          <w:rFonts w:cs="Calibri"/>
          <w:highlight w:val="green"/>
        </w:rPr>
        <w:t>Treaties</w:t>
      </w:r>
      <w:r w:rsidRPr="00A15207">
        <w:rPr>
          <w:rStyle w:val="StyleUnderline"/>
          <w:rFonts w:cs="Calibri"/>
        </w:rPr>
        <w:t xml:space="preserve"> made with the United States were </w:t>
      </w:r>
      <w:r w:rsidRPr="00A15207">
        <w:rPr>
          <w:rStyle w:val="StyleUnderline"/>
          <w:rFonts w:cs="Calibri"/>
          <w:highlight w:val="green"/>
        </w:rPr>
        <w:t>proof of nationhood</w:t>
      </w:r>
      <w:r w:rsidRPr="00A15207">
        <w:rPr>
          <w:rStyle w:val="StyleUnderline"/>
          <w:rFonts w:cs="Calibri"/>
        </w:rPr>
        <w:t xml:space="preserve">. </w:t>
      </w:r>
      <w:r w:rsidRPr="00A15207">
        <w:rPr>
          <w:rStyle w:val="StyleUnderline"/>
          <w:rFonts w:cs="Calibri"/>
          <w:highlight w:val="green"/>
        </w:rPr>
        <w:t>But what legal institution would uphold</w:t>
      </w:r>
      <w:r w:rsidRPr="00A15207">
        <w:rPr>
          <w:rStyle w:val="StyleUnderline"/>
          <w:rFonts w:cs="Calibri"/>
        </w:rPr>
        <w:t xml:space="preserve"> this position </w:t>
      </w:r>
      <w:r w:rsidRPr="00A15207">
        <w:rPr>
          <w:rStyle w:val="StyleUnderline"/>
          <w:rFonts w:cs="Calibri"/>
          <w:highlight w:val="green"/>
        </w:rPr>
        <w:t>if the U</w:t>
      </w:r>
      <w:r w:rsidRPr="00A15207">
        <w:rPr>
          <w:rStyle w:val="StyleUnderline"/>
          <w:rFonts w:cs="Calibri"/>
        </w:rPr>
        <w:t xml:space="preserve">nited </w:t>
      </w:r>
      <w:r w:rsidRPr="00A15207">
        <w:rPr>
          <w:rStyle w:val="StyleUnderline"/>
          <w:rFonts w:cs="Calibri"/>
          <w:highlight w:val="green"/>
        </w:rPr>
        <w:t>S</w:t>
      </w:r>
      <w:r w:rsidRPr="00A15207">
        <w:rPr>
          <w:rStyle w:val="StyleUnderline"/>
          <w:rFonts w:cs="Calibri"/>
        </w:rPr>
        <w:t xml:space="preserve">tates </w:t>
      </w:r>
      <w:r w:rsidRPr="00A15207">
        <w:rPr>
          <w:rStyle w:val="StyleUnderline"/>
          <w:rFonts w:cs="Calibri"/>
          <w:highlight w:val="green"/>
        </w:rPr>
        <w:t>refused to</w:t>
      </w:r>
      <w:r w:rsidRPr="00A15207">
        <w:rPr>
          <w:rStyle w:val="StyleUnderline"/>
          <w:rFonts w:cs="Calibri"/>
        </w:rPr>
        <w:t>?</w:t>
      </w:r>
      <w:r w:rsidRPr="00A15207">
        <w:rPr>
          <w:rFonts w:cs="Calibri"/>
          <w:sz w:val="14"/>
        </w:rPr>
        <w:t xml:space="preserve"> If the goal was to reverse the unjust occupation of an entire continent, the advancement of Indigenous rights through the very legal and political systems that justified that occupation in the first place had proven limited in some instances, and hopeless in others. </w:t>
      </w:r>
      <w:r w:rsidRPr="00A15207">
        <w:rPr>
          <w:rStyle w:val="StyleUnderline"/>
          <w:rFonts w:cs="Calibri"/>
        </w:rPr>
        <w:t>To survive, AIM and the Treaty Council therefore had to look elsewhere to make their case</w:t>
      </w:r>
      <w:r w:rsidRPr="00A15207">
        <w:rPr>
          <w:rFonts w:cs="Calibri"/>
          <w:sz w:val="14"/>
        </w:rPr>
        <w:t xml:space="preserve">—beyond the confines of the most powerful political construct in world history, the nation-state. </w:t>
      </w:r>
      <w:r w:rsidRPr="00A15207">
        <w:rPr>
          <w:rStyle w:val="StyleUnderline"/>
          <w:rFonts w:cs="Calibri"/>
        </w:rPr>
        <w:t>Prior to and during colonization, Indigenous nations had self-organized into deliberate confederacies, alliances, and governments.</w:t>
      </w:r>
      <w:r w:rsidRPr="00A15207">
        <w:rPr>
          <w:rFonts w:cs="Calibri"/>
          <w:sz w:val="14"/>
        </w:rPr>
        <w:t xml:space="preserve"> </w:t>
      </w:r>
      <w:r w:rsidRPr="00A15207">
        <w:rPr>
          <w:rStyle w:val="StyleUnderline"/>
          <w:rFonts w:cs="Calibri"/>
        </w:rPr>
        <w:t>The Nation of the Seven Council Fires (the Oceti Sakowin),</w:t>
      </w:r>
      <w:r w:rsidRPr="00A15207">
        <w:rPr>
          <w:rFonts w:cs="Calibri"/>
          <w:sz w:val="14"/>
        </w:rPr>
        <w:t xml:space="preserve"> for instance</w:t>
      </w:r>
      <w:r w:rsidRPr="00A15207">
        <w:rPr>
          <w:rStyle w:val="StyleUnderline"/>
          <w:rFonts w:cs="Calibri"/>
        </w:rPr>
        <w:t>, is a confederacy of seven different nations of Lakota-, Dakota-, and Nakota-speaking peoples in the Northern Plains and Western Great Lakes</w:t>
      </w:r>
      <w:r w:rsidRPr="00A15207">
        <w:rPr>
          <w:rFonts w:cs="Calibri"/>
          <w:sz w:val="14"/>
        </w:rPr>
        <w:t xml:space="preserve">. They are hardly unique; </w:t>
      </w:r>
      <w:r w:rsidRPr="00A15207">
        <w:rPr>
          <w:rStyle w:val="StyleUnderline"/>
          <w:rFonts w:cs="Calibri"/>
        </w:rPr>
        <w:t>in North America alone there are the Creek Confederacy in the Southeast, the Haudenosaunee Confederacy of Six Nations in the Northeast, the Council of Three Fires</w:t>
      </w:r>
      <w:r w:rsidRPr="00A15207">
        <w:rPr>
          <w:rFonts w:cs="Calibri"/>
          <w:sz w:val="14"/>
        </w:rPr>
        <w:t xml:space="preserve"> (made up of Ojibwes, Odawas, and Potawatomis) in the Great Lakes region, </w:t>
      </w:r>
      <w:r w:rsidRPr="00A15207">
        <w:rPr>
          <w:rStyle w:val="StyleUnderline"/>
          <w:rFonts w:cs="Calibri"/>
        </w:rPr>
        <w:t>the United Indian Nations in the Ohio River valley</w:t>
      </w:r>
      <w:r w:rsidRPr="00A15207">
        <w:rPr>
          <w:rFonts w:cs="Calibri"/>
          <w:sz w:val="14"/>
        </w:rPr>
        <w:t xml:space="preserve"> (under the Shawnee leadership of Tecumseh</w:t>
      </w:r>
      <w:r w:rsidRPr="00A15207">
        <w:rPr>
          <w:rStyle w:val="StyleUnderline"/>
          <w:rFonts w:cs="Calibri"/>
        </w:rPr>
        <w:t xml:space="preserve">), the All Indian Pueblo Council of the Southwest, and the Iron Confederacy of the Northern Plains. </w:t>
      </w:r>
      <w:r w:rsidRPr="00A15207">
        <w:rPr>
          <w:rFonts w:cs="Calibri"/>
          <w:sz w:val="14"/>
        </w:rPr>
        <w:t xml:space="preserve">Many other political confederacies also flourished prior to, alongside, and in spite of settler states in North America. And their legacies are hardly relegated to the primordial past. </w:t>
      </w:r>
      <w:r w:rsidRPr="00A15207">
        <w:rPr>
          <w:rStyle w:val="StyleUnderline"/>
          <w:rFonts w:cs="Calibri"/>
        </w:rPr>
        <w:t>Modern Oceti Sakowin internationalism, for instance, traces its origins to the early twentieth century, an era generally viewed as a low point for Indigenous activism and resistance</w:t>
      </w:r>
      <w:r w:rsidRPr="00A15207">
        <w:rPr>
          <w:rFonts w:cs="Calibri"/>
          <w:sz w:val="14"/>
        </w:rPr>
        <w:t xml:space="preserve">. In North America alone, an estimated precolonial population of tens of millions of Indigenous peoples had been reduced to about 300,000, and for Flathead historian D’Arcy McNickle, writing in 1949, two processes contributed greatly to this decimation: the institution of private property and the destruction of Indigenous governance that once held land in common. Indigenous nations at the time also possessed little in the way of either collective property or political power, as Indigenous territory had been drastically diminished, and the reservation system had overthrown or almost entirely dissolved customary governments. If Indigenous peoples once constituted the tree of the Americas, whose roots deeply entwined in the land, the cultivation of “growth from the severed stump,” McNickle argued, was the pivotal challenge of the twentieth century.7 Physical extermination and the repression of Indigenous political power verified the United States’ genocidal intent, but these had not accomplished their purpose. </w:t>
      </w:r>
      <w:r w:rsidRPr="00A15207">
        <w:rPr>
          <w:rStyle w:val="StyleUnderline"/>
          <w:rFonts w:cs="Calibri"/>
        </w:rPr>
        <w:t>And despite otherwise stating pluralistic claims to inclusion</w:t>
      </w:r>
      <w:r w:rsidRPr="00A15207">
        <w:rPr>
          <w:rFonts w:cs="Calibri"/>
          <w:sz w:val="14"/>
        </w:rPr>
        <w:t xml:space="preserve">, McNickle concluded that </w:t>
      </w:r>
      <w:r w:rsidRPr="00A15207">
        <w:rPr>
          <w:rStyle w:val="Emphasis"/>
          <w:rFonts w:cs="Calibri"/>
          <w:highlight w:val="green"/>
        </w:rPr>
        <w:t>the United States simply “can not tolerate a nation within a nation.”</w:t>
      </w:r>
      <w:r w:rsidRPr="00A15207">
        <w:rPr>
          <w:rStyle w:val="Emphasis"/>
          <w:rFonts w:cs="Calibri"/>
        </w:rPr>
        <w:t xml:space="preserve"> I</w:t>
      </w:r>
      <w:r w:rsidRPr="00A15207">
        <w:rPr>
          <w:rFonts w:cs="Calibri"/>
          <w:sz w:val="14"/>
        </w:rPr>
        <w:t xml:space="preserve">f Natives were to be assimilated, they would be assimilated as individuals and not as nations. </w:t>
      </w:r>
      <w:r w:rsidRPr="00A15207">
        <w:rPr>
          <w:rStyle w:val="StyleUnderline"/>
          <w:rFonts w:cs="Calibri"/>
          <w:highlight w:val="green"/>
        </w:rPr>
        <w:t>In</w:t>
      </w:r>
      <w:r w:rsidRPr="00A15207">
        <w:rPr>
          <w:rStyle w:val="StyleUnderline"/>
          <w:rFonts w:cs="Calibri"/>
        </w:rPr>
        <w:t xml:space="preserve"> the </w:t>
      </w:r>
      <w:r w:rsidRPr="00A15207">
        <w:rPr>
          <w:rStyle w:val="StyleUnderline"/>
          <w:rFonts w:cs="Calibri"/>
          <w:highlight w:val="green"/>
        </w:rPr>
        <w:t>popular imaginary</w:t>
      </w:r>
      <w:r w:rsidRPr="00A15207">
        <w:rPr>
          <w:rStyle w:val="StyleUnderline"/>
          <w:rFonts w:cs="Calibri"/>
        </w:rPr>
        <w:t xml:space="preserve">, </w:t>
      </w:r>
      <w:r w:rsidRPr="00A15207">
        <w:rPr>
          <w:rStyle w:val="StyleUnderline"/>
          <w:rFonts w:cs="Calibri"/>
          <w:highlight w:val="green"/>
        </w:rPr>
        <w:t>Natives</w:t>
      </w:r>
      <w:r w:rsidRPr="00A15207">
        <w:rPr>
          <w:rStyle w:val="StyleUnderline"/>
          <w:rFonts w:cs="Calibri"/>
        </w:rPr>
        <w:t xml:space="preserve"> disappeared into the wilderness of history, </w:t>
      </w:r>
      <w:r w:rsidRPr="00A15207">
        <w:rPr>
          <w:rStyle w:val="StyleUnderline"/>
          <w:rFonts w:cs="Calibri"/>
          <w:highlight w:val="green"/>
        </w:rPr>
        <w:t>were never truly nations</w:t>
      </w:r>
      <w:r w:rsidRPr="00A15207">
        <w:rPr>
          <w:rStyle w:val="StyleUnderline"/>
          <w:rFonts w:cs="Calibri"/>
        </w:rPr>
        <w:t xml:space="preserve">, and had been overpowered by a superior civilization. </w:t>
      </w:r>
      <w:r w:rsidRPr="00A15207">
        <w:rPr>
          <w:rStyle w:val="StyleUnderline"/>
          <w:rFonts w:cs="Calibri"/>
          <w:highlight w:val="green"/>
        </w:rPr>
        <w:t>If they were</w:t>
      </w:r>
      <w:r w:rsidRPr="00A15207">
        <w:rPr>
          <w:rStyle w:val="StyleUnderline"/>
          <w:rFonts w:cs="Calibri"/>
        </w:rPr>
        <w:t xml:space="preserve"> nations, </w:t>
      </w:r>
      <w:r w:rsidRPr="00A15207">
        <w:rPr>
          <w:rStyle w:val="StyleUnderline"/>
          <w:rFonts w:cs="Calibri"/>
          <w:highlight w:val="green"/>
        </w:rPr>
        <w:t>they were</w:t>
      </w:r>
      <w:r w:rsidRPr="00A15207">
        <w:rPr>
          <w:rStyle w:val="StyleUnderline"/>
          <w:rFonts w:cs="Calibri"/>
        </w:rPr>
        <w:t xml:space="preserve"> eclipsed and </w:t>
      </w:r>
      <w:r w:rsidRPr="00A15207">
        <w:rPr>
          <w:rStyle w:val="Emphasis"/>
          <w:rFonts w:cs="Calibri"/>
          <w:highlight w:val="green"/>
        </w:rPr>
        <w:t>replaced by the real nation—the United States</w:t>
      </w:r>
      <w:r w:rsidRPr="00A15207">
        <w:rPr>
          <w:rFonts w:cs="Calibri"/>
          <w:sz w:val="14"/>
        </w:rPr>
        <w:t>. Such erasure notwithstanding, vibrant Indigenous political traditions persisted. But to the untrained eye, nothing was awry. From the severed stump began to regrow the tree of life—the tree of resistance that would blossom into revolt decades later.</w:t>
      </w:r>
    </w:p>
    <w:p w14:paraId="7D245ABF" w14:textId="77777777" w:rsidR="00CD6663" w:rsidRPr="00A15207" w:rsidRDefault="00CD6663" w:rsidP="00CD6663">
      <w:pPr>
        <w:pStyle w:val="Heading4"/>
        <w:rPr>
          <w:rFonts w:cs="Calibri"/>
        </w:rPr>
      </w:pPr>
      <w:r w:rsidRPr="00A15207">
        <w:rPr>
          <w:rFonts w:cs="Calibri"/>
          <w:u w:val="single"/>
        </w:rPr>
        <w:t>Counter-Interpretation</w:t>
      </w:r>
      <w:r w:rsidRPr="00A15207">
        <w:rPr>
          <w:rFonts w:cs="Calibri"/>
        </w:rPr>
        <w:t xml:space="preserve">: The 1AC is an </w:t>
      </w:r>
      <w:r w:rsidRPr="00A15207">
        <w:rPr>
          <w:rFonts w:cs="Calibri"/>
          <w:u w:val="single"/>
        </w:rPr>
        <w:t>object of research</w:t>
      </w:r>
      <w:r w:rsidRPr="00A15207">
        <w:rPr>
          <w:rFonts w:cs="Calibri"/>
        </w:rPr>
        <w:t>. The role of the neg should be to disprove the various meanings of that object. Plan focus restricts the debate to a ten second statement and leaves the rest of the aff unquestioned. They should be responsible for the way their knowledge is constructed and used because that produces the best model for activism and ethics in the context of the topic which is a unique education net benefit to our interpretation</w:t>
      </w:r>
    </w:p>
    <w:p w14:paraId="76BA5735" w14:textId="77777777" w:rsidR="00CD6663" w:rsidRPr="00A15207" w:rsidRDefault="00CD6663" w:rsidP="00CD6663">
      <w:pPr>
        <w:pStyle w:val="Heading4"/>
        <w:rPr>
          <w:rFonts w:cs="Calibri"/>
        </w:rPr>
      </w:pPr>
      <w:r w:rsidRPr="00A15207">
        <w:rPr>
          <w:rFonts w:cs="Calibri"/>
        </w:rPr>
        <w:t xml:space="preserve">-They get to weigh their aff’s research and the reasons why that research is desirable, which resolves any fairness concerns </w:t>
      </w:r>
    </w:p>
    <w:p w14:paraId="65B075FA" w14:textId="77777777" w:rsidR="00CD6663" w:rsidRPr="00A15207" w:rsidRDefault="00CD6663" w:rsidP="00CD6663">
      <w:pPr>
        <w:pStyle w:val="Heading4"/>
        <w:rPr>
          <w:rFonts w:cs="Calibri"/>
        </w:rPr>
      </w:pPr>
      <w:r w:rsidRPr="00A15207">
        <w:rPr>
          <w:rFonts w:cs="Calibri"/>
        </w:rPr>
        <w:t xml:space="preserve">-All of our links implicate the effects of the plan, which is sufficient for plan focus </w:t>
      </w:r>
    </w:p>
    <w:p w14:paraId="48B5AFC1" w14:textId="77777777" w:rsidR="00CD6663" w:rsidRPr="00A15207" w:rsidRDefault="00CD6663" w:rsidP="00CD6663">
      <w:pPr>
        <w:rPr>
          <w:rFonts w:cs="Calibri"/>
        </w:rPr>
      </w:pPr>
    </w:p>
    <w:p w14:paraId="0F26E68E" w14:textId="77777777" w:rsidR="00A96FC2" w:rsidRPr="00A15207" w:rsidRDefault="00A96FC2" w:rsidP="00A96FC2">
      <w:pPr>
        <w:pStyle w:val="Heading4"/>
        <w:rPr>
          <w:rFonts w:cs="Calibri"/>
        </w:rPr>
      </w:pPr>
      <w:r w:rsidRPr="00A15207">
        <w:rPr>
          <w:rFonts w:cs="Calibri"/>
        </w:rPr>
        <w:t xml:space="preserve">5] The </w:t>
      </w:r>
      <w:r w:rsidRPr="00A15207">
        <w:rPr>
          <w:rFonts w:cs="Calibri"/>
          <w:u w:val="single"/>
        </w:rPr>
        <w:t xml:space="preserve">process and agents </w:t>
      </w:r>
      <w:r w:rsidRPr="00A15207">
        <w:rPr>
          <w:rFonts w:cs="Calibri"/>
        </w:rPr>
        <w:t xml:space="preserve">of political change matter. Indigenous internationalism must be asserted through Native sovereignty and organizing. The plan and the perm still collude with settlerism, which trades-off with meaningful resistance. </w:t>
      </w:r>
    </w:p>
    <w:p w14:paraId="626781B8" w14:textId="77777777" w:rsidR="00A96FC2" w:rsidRPr="00A15207" w:rsidRDefault="00A96FC2" w:rsidP="00A96FC2">
      <w:pPr>
        <w:rPr>
          <w:rStyle w:val="Style13ptBold"/>
          <w:rFonts w:cs="Calibri"/>
        </w:rPr>
      </w:pPr>
      <w:r w:rsidRPr="00A15207">
        <w:rPr>
          <w:rStyle w:val="Style13ptBold"/>
          <w:rFonts w:cs="Calibri"/>
        </w:rPr>
        <w:t>Simpson 16</w:t>
      </w:r>
    </w:p>
    <w:p w14:paraId="37E84929" w14:textId="77777777" w:rsidR="00A96FC2" w:rsidRPr="00A15207" w:rsidRDefault="00A96FC2" w:rsidP="00A96FC2">
      <w:pPr>
        <w:rPr>
          <w:rStyle w:val="Style13ptBold"/>
          <w:rFonts w:cs="Calibri"/>
          <w:sz w:val="20"/>
          <w:szCs w:val="20"/>
        </w:rPr>
      </w:pPr>
      <w:r w:rsidRPr="00A15207">
        <w:rPr>
          <w:rStyle w:val="Style13ptBold"/>
          <w:rFonts w:cs="Calibri"/>
          <w:sz w:val="20"/>
          <w:szCs w:val="20"/>
        </w:rPr>
        <w:t>(Leanne Betasamosake Simpson, renowned Michi Saagiig Nishnaabeg scholar. She holds a PhD from the University of Manitoba, and teaches at the Dechinta Centre for Research &amp; Learning in Denendeh. An Interview with Eve Tuck (Unangax̂), Indigenous Resurgence and Co-resistance, Critical Ethnic Studies, Vol. 2, No. 2 (Fall 2016), pp. 19-34, JKS)</w:t>
      </w:r>
    </w:p>
    <w:p w14:paraId="654B7126" w14:textId="77777777" w:rsidR="00A96FC2" w:rsidRPr="00A15207" w:rsidRDefault="00A96FC2" w:rsidP="00A96FC2">
      <w:pPr>
        <w:rPr>
          <w:rStyle w:val="Emphasis"/>
          <w:rFonts w:cs="Calibri"/>
        </w:rPr>
      </w:pPr>
      <w:r w:rsidRPr="00A15207">
        <w:rPr>
          <w:rStyle w:val="Emphasis"/>
          <w:rFonts w:cs="Calibri"/>
        </w:rPr>
        <w:t>PLACE-BASED INTERNATIONALISM</w:t>
      </w:r>
    </w:p>
    <w:p w14:paraId="1A40B50B" w14:textId="77777777" w:rsidR="00A96FC2" w:rsidRPr="00A15207" w:rsidRDefault="00A96FC2" w:rsidP="00A96FC2">
      <w:pPr>
        <w:rPr>
          <w:rFonts w:cs="Calibri"/>
        </w:rPr>
      </w:pPr>
      <w:r w:rsidRPr="00A15207">
        <w:rPr>
          <w:rFonts w:cs="Calibri"/>
        </w:rPr>
        <w:t>Eve: One idea that Wayne and I floated in our call for papers is that how a person or community understands the roots or source of injustice will have implications for how they go about undoing that injustice. Does this make sense to you? Might it be too simplistic or problematic?</w:t>
      </w:r>
    </w:p>
    <w:p w14:paraId="3F6E3299" w14:textId="77777777" w:rsidR="00A96FC2" w:rsidRPr="00A15207" w:rsidRDefault="00A96FC2" w:rsidP="00A96FC2">
      <w:pPr>
        <w:rPr>
          <w:rFonts w:cs="Calibri"/>
          <w:sz w:val="14"/>
        </w:rPr>
      </w:pPr>
      <w:r w:rsidRPr="00A15207">
        <w:rPr>
          <w:rFonts w:cs="Calibri"/>
          <w:sz w:val="14"/>
        </w:rPr>
        <w:t xml:space="preserve">Leanne: I think we need to be a bit careful here, particularly in the academy. I think Indigenous peoples understand pretty well injustice in their own lives whether or not they can articulate it using the language of colonialism or decolonization. </w:t>
      </w:r>
      <w:r w:rsidRPr="00A15207">
        <w:rPr>
          <w:rStyle w:val="StyleUnderline"/>
          <w:rFonts w:cs="Calibri"/>
        </w:rPr>
        <w:t>I think movements that link social realities with political systems and focus on creating real-world-on-the-ground alternatives are powerful. I worry that too much of our energy goes into trying to influence the system rather than creating the alternatives</w:t>
      </w:r>
      <w:r w:rsidRPr="00A15207">
        <w:rPr>
          <w:rFonts w:cs="Calibri"/>
          <w:sz w:val="14"/>
        </w:rPr>
        <w:t xml:space="preserve">. </w:t>
      </w:r>
      <w:r w:rsidRPr="00A15207">
        <w:rPr>
          <w:rStyle w:val="Emphasis"/>
          <w:rFonts w:cs="Calibri"/>
          <w:sz w:val="28"/>
          <w:szCs w:val="28"/>
          <w:highlight w:val="green"/>
        </w:rPr>
        <w:t>It matters to me how change is achieved</w:t>
      </w:r>
      <w:r w:rsidRPr="00A15207">
        <w:rPr>
          <w:rFonts w:cs="Calibri"/>
          <w:sz w:val="28"/>
          <w:szCs w:val="28"/>
        </w:rPr>
        <w:t xml:space="preserve">. </w:t>
      </w:r>
      <w:r w:rsidRPr="00A15207">
        <w:rPr>
          <w:rStyle w:val="Emphasis"/>
          <w:rFonts w:cs="Calibri"/>
        </w:rPr>
        <w:t xml:space="preserve">Change achieved </w:t>
      </w:r>
      <w:r w:rsidRPr="00A15207">
        <w:rPr>
          <w:rStyle w:val="Emphasis"/>
          <w:rFonts w:cs="Calibri"/>
          <w:highlight w:val="green"/>
        </w:rPr>
        <w:t>through struggle</w:t>
      </w:r>
      <w:r w:rsidRPr="00A15207">
        <w:rPr>
          <w:rStyle w:val="Emphasis"/>
          <w:rFonts w:cs="Calibri"/>
        </w:rPr>
        <w:t xml:space="preserve">, </w:t>
      </w:r>
      <w:r w:rsidRPr="00A15207">
        <w:rPr>
          <w:rStyle w:val="Emphasis"/>
          <w:rFonts w:cs="Calibri"/>
          <w:highlight w:val="green"/>
        </w:rPr>
        <w:t>organizing</w:t>
      </w:r>
      <w:r w:rsidRPr="00A15207">
        <w:rPr>
          <w:rStyle w:val="Emphasis"/>
          <w:rFonts w:cs="Calibri"/>
        </w:rPr>
        <w:t xml:space="preserve">, and creating the </w:t>
      </w:r>
      <w:r w:rsidRPr="00A15207">
        <w:rPr>
          <w:rStyle w:val="Emphasis"/>
          <w:rFonts w:cs="Calibri"/>
          <w:highlight w:val="green"/>
        </w:rPr>
        <w:t>alternatives</w:t>
      </w:r>
      <w:r w:rsidRPr="00A15207">
        <w:rPr>
          <w:rStyle w:val="Emphasis"/>
          <w:rFonts w:cs="Calibri"/>
        </w:rPr>
        <w:t xml:space="preserve"> </w:t>
      </w:r>
      <w:r w:rsidRPr="00A15207">
        <w:rPr>
          <w:rStyle w:val="Emphasis"/>
          <w:rFonts w:cs="Calibri"/>
          <w:highlight w:val="green"/>
        </w:rPr>
        <w:t>produces</w:t>
      </w:r>
      <w:r w:rsidRPr="00A15207">
        <w:rPr>
          <w:rStyle w:val="Emphasis"/>
          <w:rFonts w:cs="Calibri"/>
        </w:rPr>
        <w:t xml:space="preserve"> profoundly </w:t>
      </w:r>
      <w:r w:rsidRPr="00A15207">
        <w:rPr>
          <w:rStyle w:val="Emphasis"/>
          <w:rFonts w:cs="Calibri"/>
          <w:highlight w:val="green"/>
        </w:rPr>
        <w:t>different outcomes</w:t>
      </w:r>
      <w:r w:rsidRPr="00A15207">
        <w:rPr>
          <w:rStyle w:val="Emphasis"/>
          <w:rFonts w:cs="Calibri"/>
        </w:rPr>
        <w:t xml:space="preserve"> </w:t>
      </w:r>
      <w:r w:rsidRPr="00A15207">
        <w:rPr>
          <w:rStyle w:val="Emphasis"/>
          <w:rFonts w:cs="Calibri"/>
          <w:highlight w:val="green"/>
        </w:rPr>
        <w:t>than</w:t>
      </w:r>
      <w:r w:rsidRPr="00A15207">
        <w:rPr>
          <w:rStyle w:val="Emphasis"/>
          <w:rFonts w:cs="Calibri"/>
        </w:rPr>
        <w:t xml:space="preserve"> change achieved </w:t>
      </w:r>
      <w:r w:rsidRPr="00A15207">
        <w:rPr>
          <w:rStyle w:val="Emphasis"/>
          <w:rFonts w:cs="Calibri"/>
          <w:highlight w:val="green"/>
        </w:rPr>
        <w:t>through</w:t>
      </w:r>
      <w:r w:rsidRPr="00A15207">
        <w:rPr>
          <w:rStyle w:val="Emphasis"/>
          <w:rFonts w:cs="Calibri"/>
        </w:rPr>
        <w:t xml:space="preserve"> recognition-focused protest, and </w:t>
      </w:r>
      <w:r w:rsidRPr="00A15207">
        <w:rPr>
          <w:rStyle w:val="Emphasis"/>
          <w:rFonts w:cs="Calibri"/>
          <w:highlight w:val="green"/>
        </w:rPr>
        <w:t>pressuring the state to make</w:t>
      </w:r>
      <w:r w:rsidRPr="00A15207">
        <w:rPr>
          <w:rStyle w:val="Emphasis"/>
          <w:rFonts w:cs="Calibri"/>
        </w:rPr>
        <w:t xml:space="preserve"> the </w:t>
      </w:r>
      <w:r w:rsidRPr="00A15207">
        <w:rPr>
          <w:rStyle w:val="Emphasis"/>
          <w:rFonts w:cs="Calibri"/>
          <w:highlight w:val="green"/>
        </w:rPr>
        <w:t>changes for us.</w:t>
      </w:r>
      <w:r w:rsidRPr="00A15207">
        <w:rPr>
          <w:rStyle w:val="Emphasis"/>
          <w:rFonts w:cs="Calibri"/>
        </w:rPr>
        <w:t xml:space="preserve"> </w:t>
      </w:r>
      <w:r w:rsidRPr="00A15207">
        <w:rPr>
          <w:rStyle w:val="Emphasis"/>
          <w:rFonts w:cs="Calibri"/>
          <w:sz w:val="24"/>
          <w:highlight w:val="green"/>
        </w:rPr>
        <w:t>That is a recipe for co-option</w:t>
      </w:r>
      <w:r w:rsidRPr="00A15207">
        <w:rPr>
          <w:rFonts w:cs="Calibri"/>
          <w:sz w:val="14"/>
        </w:rPr>
        <w:t xml:space="preserve">. I think it is important to understand root causes of injustice, but it is also important to understand think strategically and intelligently about approaches to undoing that injustice. I think that diagnosis and strategic action must be done within grounded normativity. </w:t>
      </w:r>
      <w:r w:rsidRPr="00A15207">
        <w:rPr>
          <w:rStyle w:val="StyleUnderline"/>
          <w:rFonts w:cs="Calibri"/>
          <w:highlight w:val="green"/>
        </w:rPr>
        <w:t>Indigenous thought</w:t>
      </w:r>
      <w:r w:rsidRPr="00A15207">
        <w:rPr>
          <w:rStyle w:val="StyleUnderline"/>
          <w:rFonts w:cs="Calibri"/>
        </w:rPr>
        <w:t xml:space="preserve"> has a tradition of place-based internationalism that I think is this beautifully fertile spot because it </w:t>
      </w:r>
      <w:r w:rsidRPr="00A15207">
        <w:rPr>
          <w:rStyle w:val="StyleUnderline"/>
          <w:rFonts w:cs="Calibri"/>
          <w:highlight w:val="green"/>
        </w:rPr>
        <w:t>links place-based thinking and struggle with</w:t>
      </w:r>
      <w:r w:rsidRPr="00A15207">
        <w:rPr>
          <w:rStyle w:val="StyleUnderline"/>
          <w:rFonts w:cs="Calibri"/>
        </w:rPr>
        <w:t xml:space="preserve"> the same </w:t>
      </w:r>
      <w:r w:rsidRPr="00A15207">
        <w:rPr>
          <w:rStyle w:val="StyleUnderline"/>
          <w:rFonts w:cs="Calibri"/>
          <w:highlight w:val="green"/>
        </w:rPr>
        <w:t>decolonial pockets of thinking</w:t>
      </w:r>
      <w:r w:rsidRPr="00A15207">
        <w:rPr>
          <w:rStyle w:val="StyleUnderline"/>
          <w:rFonts w:cs="Calibri"/>
        </w:rPr>
        <w:t xml:space="preserve"> throughout the world.</w:t>
      </w:r>
      <w:r w:rsidRPr="00A15207">
        <w:rPr>
          <w:rFonts w:cs="Calibri"/>
          <w:sz w:val="14"/>
        </w:rPr>
        <w:t xml:space="preserve"> </w:t>
      </w:r>
      <w:r w:rsidRPr="00A15207">
        <w:rPr>
          <w:rStyle w:val="StyleUnderline"/>
          <w:rFonts w:cs="Calibri"/>
        </w:rPr>
        <w:t xml:space="preserve">Nishnaa- beg have been linking ourselves to the rest of the world since the beginning of time, and throughout our resistance to colonialism we have our </w:t>
      </w:r>
      <w:r w:rsidRPr="00A15207">
        <w:rPr>
          <w:rStyle w:val="Emphasis"/>
          <w:rFonts w:cs="Calibri"/>
          <w:highlight w:val="green"/>
        </w:rPr>
        <w:t xml:space="preserve">people </w:t>
      </w:r>
      <w:r w:rsidRPr="00A15207">
        <w:rPr>
          <w:rStyle w:val="Emphasis"/>
          <w:rFonts w:cs="Calibri"/>
        </w:rPr>
        <w:t xml:space="preserve">traveling </w:t>
      </w:r>
      <w:r w:rsidRPr="00A15207">
        <w:rPr>
          <w:rStyle w:val="Emphasis"/>
          <w:rFonts w:cs="Calibri"/>
          <w:highlight w:val="green"/>
        </w:rPr>
        <w:t>throughout the world</w:t>
      </w:r>
      <w:r w:rsidRPr="00A15207">
        <w:rPr>
          <w:rStyle w:val="Emphasis"/>
          <w:rFonts w:cs="Calibri"/>
        </w:rPr>
        <w:t xml:space="preserve"> to </w:t>
      </w:r>
      <w:r w:rsidRPr="00A15207">
        <w:rPr>
          <w:rStyle w:val="Emphasis"/>
          <w:rFonts w:cs="Calibri"/>
          <w:highlight w:val="green"/>
        </w:rPr>
        <w:t>link with other communities of resistor</w:t>
      </w:r>
      <w:r w:rsidRPr="00A15207">
        <w:rPr>
          <w:rStyle w:val="Emphasis"/>
          <w:rFonts w:cs="Calibri"/>
        </w:rPr>
        <w:t>s.</w:t>
      </w:r>
      <w:r w:rsidRPr="00A15207">
        <w:rPr>
          <w:rFonts w:cs="Calibri"/>
          <w:sz w:val="14"/>
        </w:rPr>
        <w:t xml:space="preserve"> </w:t>
      </w:r>
      <w:r w:rsidRPr="00A15207">
        <w:rPr>
          <w:rStyle w:val="StyleUnderline"/>
          <w:rFonts w:cs="Calibri"/>
        </w:rPr>
        <w:t>Grassy Narrows First Nation comes to mind in their nearly four- decade fight against mercury poisoning in their river system and the relationship they have made with the Japanese community in Mnimata</w:t>
      </w:r>
      <w:r w:rsidRPr="00A15207">
        <w:rPr>
          <w:rFonts w:cs="Calibri"/>
          <w:sz w:val="14"/>
        </w:rPr>
        <w:t xml:space="preserve">.6 We need to use our experiences in the past to think critically about how we respond to injustice today. Right now, Indigenous peoples in Canada need to be thinking critically about the implications of seeking recogni- tion within the colonial state because we have a government that is very good at neoliberalism and seducing our hope for their purposes. Again, Glen Sean Coulthard, in Red Skin, White Masks, using the Dene nation’s experience in the 1970s, provides a blistering critique of the pitfalls of seeking political recognition within state structures. He makes the point that </w:t>
      </w:r>
      <w:r w:rsidRPr="00A15207">
        <w:rPr>
          <w:rStyle w:val="StyleUnderline"/>
          <w:rFonts w:cs="Calibri"/>
          <w:highlight w:val="green"/>
        </w:rPr>
        <w:t>continually seeking recognition</w:t>
      </w:r>
      <w:r w:rsidRPr="00A15207">
        <w:rPr>
          <w:rStyle w:val="StyleUnderline"/>
          <w:rFonts w:cs="Calibri"/>
        </w:rPr>
        <w:t xml:space="preserve"> with the settler-colonial state is a process of co-option and neutralization, and is a way of bringing Indigenous peoples into the systems that guts our resistance movements, </w:t>
      </w:r>
      <w:r w:rsidRPr="00A15207">
        <w:rPr>
          <w:rFonts w:cs="Calibri"/>
          <w:sz w:val="14"/>
        </w:rPr>
        <w:t xml:space="preserve">for instance, and we get very little in return.7 In fact, in terms of dispossession—that is, the removal, murdering, displacement, and destruction of the relation- ship between Indigenous bodies and Indigenous land—this serves only to facilitate land loss, not improve things. </w:t>
      </w:r>
      <w:r w:rsidRPr="00A15207">
        <w:rPr>
          <w:rStyle w:val="Emphasis"/>
          <w:rFonts w:cs="Calibri"/>
          <w:sz w:val="28"/>
          <w:szCs w:val="28"/>
          <w:highlight w:val="green"/>
        </w:rPr>
        <w:t>Engagement with the system changes Indigenous peoples more than it changes the system</w:t>
      </w:r>
      <w:r w:rsidRPr="00A15207">
        <w:rPr>
          <w:rStyle w:val="Emphasis"/>
          <w:rFonts w:cs="Calibri"/>
          <w:sz w:val="28"/>
          <w:szCs w:val="28"/>
        </w:rPr>
        <w:t>.</w:t>
      </w:r>
      <w:r w:rsidRPr="00A15207">
        <w:rPr>
          <w:rFonts w:cs="Calibri"/>
          <w:sz w:val="14"/>
        </w:rPr>
        <w:t xml:space="preserve"> </w:t>
      </w:r>
      <w:r w:rsidRPr="00A15207">
        <w:rPr>
          <w:rStyle w:val="StyleUnderline"/>
          <w:rFonts w:cs="Calibri"/>
        </w:rPr>
        <w:t xml:space="preserve">This can be destructive in terms of resurgence because </w:t>
      </w:r>
      <w:r w:rsidRPr="00A15207">
        <w:rPr>
          <w:rStyle w:val="StyleUnderline"/>
          <w:rFonts w:cs="Calibri"/>
          <w:highlight w:val="green"/>
        </w:rPr>
        <w:t>resurgent movements</w:t>
      </w:r>
      <w:r w:rsidRPr="00A15207">
        <w:rPr>
          <w:rStyle w:val="StyleUnderline"/>
          <w:rFonts w:cs="Calibri"/>
        </w:rPr>
        <w:t xml:space="preserve"> are </w:t>
      </w:r>
      <w:r w:rsidRPr="00A15207">
        <w:rPr>
          <w:rStyle w:val="StyleUnderline"/>
          <w:rFonts w:cs="Calibri"/>
          <w:highlight w:val="green"/>
        </w:rPr>
        <w:t>try</w:t>
      </w:r>
      <w:r w:rsidRPr="00A15207">
        <w:rPr>
          <w:rStyle w:val="StyleUnderline"/>
          <w:rFonts w:cs="Calibri"/>
        </w:rPr>
        <w:t xml:space="preserve">ing </w:t>
      </w:r>
      <w:r w:rsidRPr="00A15207">
        <w:rPr>
          <w:rStyle w:val="StyleUnderline"/>
          <w:rFonts w:cs="Calibri"/>
          <w:highlight w:val="green"/>
        </w:rPr>
        <w:t>to do the opposite</w:t>
      </w:r>
      <w:r w:rsidRPr="00A15207">
        <w:rPr>
          <w:rStyle w:val="StyleUnderline"/>
          <w:rFonts w:cs="Calibri"/>
        </w:rPr>
        <w:t>—we are trying to center Indigenous practices and thoughts in our lives as everyday acts of resistance, and grow those actions and processes into a mass mobilization.</w:t>
      </w:r>
      <w:r w:rsidRPr="00A15207">
        <w:rPr>
          <w:rFonts w:cs="Calibri"/>
          <w:sz w:val="14"/>
        </w:rPr>
        <w:t xml:space="preserve"> I think it is useful to apply this same critique of recognition to orga- nizing and mobilizing with the purpose of making a switch from mobi- lizing around victim-based narratives—that is, publically demonstrating the pain of loss as a mechanism to appeal to the moral and ethical fabric of Canadian society (which has over and over again proven to be morally bankrupt when it comes to Indigenous peoples)—to using that same pain and anger to fuel resurgent actions. </w:t>
      </w:r>
      <w:r w:rsidRPr="00A15207">
        <w:rPr>
          <w:rStyle w:val="StyleUnderline"/>
          <w:rFonts w:cs="Calibri"/>
        </w:rPr>
        <w:t>This organizing from within grounded normativity has always fueled Indigenous resistance and continues to happen all the time in Indigenous communities</w:t>
      </w:r>
      <w:r w:rsidRPr="00A15207">
        <w:rPr>
          <w:rFonts w:cs="Calibri"/>
          <w:sz w:val="14"/>
        </w:rPr>
        <w:t xml:space="preserve">—it is just often misread by others. </w:t>
      </w:r>
      <w:r w:rsidRPr="00A15207">
        <w:rPr>
          <w:rStyle w:val="StyleUnderline"/>
          <w:rFonts w:cs="Calibri"/>
        </w:rPr>
        <w:t xml:space="preserve">The community of Hollow Water First Nation created </w:t>
      </w:r>
      <w:r w:rsidRPr="00A15207">
        <w:rPr>
          <w:rStyle w:val="StyleUnderline"/>
          <w:rFonts w:cs="Calibri"/>
          <w:highlight w:val="green"/>
        </w:rPr>
        <w:t>the Community Holistic Circle of Healing</w:t>
      </w:r>
      <w:r w:rsidRPr="00A15207">
        <w:rPr>
          <w:rStyle w:val="StyleUnderline"/>
          <w:rFonts w:cs="Calibri"/>
        </w:rPr>
        <w:t xml:space="preserve"> as a Nishnaabeg restoration of relationships, or </w:t>
      </w:r>
      <w:r w:rsidRPr="00A15207">
        <w:rPr>
          <w:rStyle w:val="StyleUnderline"/>
          <w:rFonts w:cs="Calibri"/>
          <w:highlight w:val="green"/>
        </w:rPr>
        <w:t>a restorative justice model to address sexual violence</w:t>
      </w:r>
      <w:r w:rsidRPr="00A15207">
        <w:rPr>
          <w:rStyle w:val="StyleUnderline"/>
          <w:rFonts w:cs="Calibri"/>
        </w:rPr>
        <w:t xml:space="preserve"> in their community</w:t>
      </w:r>
      <w:r w:rsidRPr="00A15207">
        <w:rPr>
          <w:rFonts w:cs="Calibri"/>
          <w:sz w:val="14"/>
        </w:rPr>
        <w:t xml:space="preserve">.8 </w:t>
      </w:r>
      <w:r w:rsidRPr="00A15207">
        <w:rPr>
          <w:rStyle w:val="StyleUnderline"/>
          <w:rFonts w:cs="Calibri"/>
        </w:rPr>
        <w:t>Christi Belcourt’s Walking with Our Sisters exhibit has created a traveling display of 1,800 moccasin vamps as a way of honoring and commemorating missing and murdered Indigenous women and children</w:t>
      </w:r>
      <w:r w:rsidRPr="00A15207">
        <w:rPr>
          <w:rFonts w:cs="Calibri"/>
          <w:sz w:val="14"/>
        </w:rPr>
        <w:t xml:space="preserve"> in Canada and the United States. </w:t>
      </w:r>
      <w:r w:rsidRPr="00A15207">
        <w:rPr>
          <w:rStyle w:val="StyleUnderline"/>
          <w:rFonts w:cs="Calibri"/>
        </w:rPr>
        <w:t xml:space="preserve">The exhibit </w:t>
      </w:r>
      <w:r w:rsidRPr="00A15207">
        <w:rPr>
          <w:rStyle w:val="StyleUnderline"/>
          <w:rFonts w:cs="Calibri"/>
          <w:highlight w:val="green"/>
        </w:rPr>
        <w:t>does not rely on state funding</w:t>
      </w:r>
      <w:r w:rsidRPr="00A15207">
        <w:rPr>
          <w:rFonts w:cs="Calibri"/>
          <w:sz w:val="14"/>
        </w:rPr>
        <w:t xml:space="preserve">.9 Thousands of volunteers made the vamps. The exhibit works with local communities and their cultural and spiritual practices to install the exhibit and do the necessary ceremony and community processes. Walking with Our Sisters works with local organizers a year in advance of installation, using Indigenous processes to embed the art in community on the terms of the local community. </w:t>
      </w:r>
      <w:r w:rsidRPr="00A15207">
        <w:rPr>
          <w:rStyle w:val="StyleUnderline"/>
          <w:rFonts w:cs="Calibri"/>
        </w:rPr>
        <w:t>There is also the work of countless urban Indigenous organizations supporting the families of MMIWG2S people. The Native Youth Sexual Health Network provides on-the-ground, community-embedded, peer-to-peer support</w:t>
      </w:r>
      <w:r w:rsidRPr="00A15207">
        <w:rPr>
          <w:rFonts w:cs="Calibri"/>
          <w:sz w:val="14"/>
        </w:rPr>
        <w:t xml:space="preserve"> around sex- ual health and addiction for youth.10 </w:t>
      </w:r>
      <w:r w:rsidRPr="00A15207">
        <w:rPr>
          <w:rStyle w:val="StyleUnderline"/>
          <w:rFonts w:cs="Calibri"/>
        </w:rPr>
        <w:t>The Akwesasne Freedom School provides Mohawk education for Mohawk children</w:t>
      </w:r>
      <w:r w:rsidRPr="00A15207">
        <w:rPr>
          <w:rFonts w:cs="Calibri"/>
          <w:sz w:val="14"/>
        </w:rPr>
        <w:t xml:space="preserve">.11 </w:t>
      </w:r>
      <w:r w:rsidRPr="00A15207">
        <w:rPr>
          <w:rStyle w:val="StyleUnderline"/>
          <w:rFonts w:cs="Calibri"/>
        </w:rPr>
        <w:t>The Iroquois national and Haudenosaunee women’s lacrosse teams travel using Haudenosau- nee passports instead of American or Canadian ones.</w:t>
      </w:r>
      <w:r w:rsidRPr="00A15207">
        <w:rPr>
          <w:rFonts w:cs="Calibri"/>
          <w:sz w:val="14"/>
        </w:rPr>
        <w:t xml:space="preserve">12 </w:t>
      </w:r>
      <w:r w:rsidRPr="00A15207">
        <w:rPr>
          <w:rStyle w:val="StyleUnderline"/>
          <w:rFonts w:cs="Calibri"/>
        </w:rPr>
        <w:t>The Unist’ot’en Camp pursues land protection resurgent action and the reclamation of the original name of Mount Douglas, PKOLS, in the city of Victoria, British Columbia</w:t>
      </w:r>
      <w:r w:rsidRPr="00A15207">
        <w:rPr>
          <w:rFonts w:cs="Calibri"/>
          <w:sz w:val="14"/>
        </w:rPr>
        <w:t>.13</w:t>
      </w:r>
    </w:p>
    <w:p w14:paraId="0197FBFD" w14:textId="77777777" w:rsidR="00A96FC2" w:rsidRPr="00A15207" w:rsidRDefault="00A96FC2" w:rsidP="00A96FC2">
      <w:pPr>
        <w:rPr>
          <w:rFonts w:cs="Calibri"/>
        </w:rPr>
      </w:pPr>
    </w:p>
    <w:p w14:paraId="0F7E2A3D" w14:textId="77777777" w:rsidR="009025AD" w:rsidRPr="00A15207" w:rsidRDefault="009025AD" w:rsidP="009025AD">
      <w:pPr>
        <w:pStyle w:val="Heading2"/>
        <w:rPr>
          <w:rFonts w:cs="Calibri"/>
        </w:rPr>
      </w:pPr>
      <w:r w:rsidRPr="00A15207">
        <w:rPr>
          <w:rFonts w:cs="Calibri"/>
        </w:rPr>
        <w:t>Case</w:t>
      </w:r>
    </w:p>
    <w:p w14:paraId="762720AD" w14:textId="77777777" w:rsidR="009025AD" w:rsidRPr="00A15207" w:rsidRDefault="009025AD" w:rsidP="009025AD">
      <w:pPr>
        <w:pStyle w:val="Heading3"/>
        <w:rPr>
          <w:rFonts w:cs="Calibri"/>
        </w:rPr>
      </w:pPr>
      <w:r w:rsidRPr="00A15207">
        <w:rPr>
          <w:rFonts w:cs="Calibri"/>
        </w:rPr>
        <w:t>Global Commons</w:t>
      </w:r>
    </w:p>
    <w:p w14:paraId="561D87BB" w14:textId="77777777" w:rsidR="009025AD" w:rsidRPr="00A15207" w:rsidRDefault="009025AD" w:rsidP="009025AD">
      <w:pPr>
        <w:pStyle w:val="Heading4"/>
        <w:rPr>
          <w:rFonts w:cs="Calibri"/>
        </w:rPr>
      </w:pPr>
      <w:bookmarkStart w:id="0" w:name="_Hlk92963387"/>
      <w:r w:rsidRPr="00A15207">
        <w:rPr>
          <w:rFonts w:cs="Calibri"/>
        </w:rPr>
        <w:t>NU – space is already a global commons</w:t>
      </w:r>
    </w:p>
    <w:p w14:paraId="45ECE694" w14:textId="77777777" w:rsidR="009025AD" w:rsidRPr="00A15207" w:rsidRDefault="009025AD" w:rsidP="009025AD">
      <w:pPr>
        <w:pStyle w:val="Heading4"/>
        <w:rPr>
          <w:rFonts w:cs="Calibri"/>
        </w:rPr>
      </w:pPr>
      <w:r w:rsidRPr="00A15207">
        <w:rPr>
          <w:rFonts w:cs="Calibri"/>
        </w:rPr>
        <w:t>Plan fails –</w:t>
      </w:r>
    </w:p>
    <w:p w14:paraId="2C5686D8" w14:textId="77777777" w:rsidR="009025AD" w:rsidRPr="00A15207" w:rsidRDefault="009025AD" w:rsidP="009025AD">
      <w:pPr>
        <w:pStyle w:val="Heading4"/>
        <w:numPr>
          <w:ilvl w:val="0"/>
          <w:numId w:val="11"/>
        </w:numPr>
        <w:tabs>
          <w:tab w:val="num" w:pos="360"/>
        </w:tabs>
        <w:ind w:left="0" w:firstLine="0"/>
        <w:rPr>
          <w:rFonts w:cs="Calibri"/>
        </w:rPr>
      </w:pPr>
      <w:r w:rsidRPr="00A15207">
        <w:rPr>
          <w:rFonts w:cs="Calibri"/>
        </w:rPr>
        <w:t>Global commons still allow for private appropriation</w:t>
      </w:r>
    </w:p>
    <w:p w14:paraId="0E7FE676" w14:textId="77777777" w:rsidR="009025AD" w:rsidRPr="00A15207" w:rsidRDefault="009025AD" w:rsidP="009025AD">
      <w:pPr>
        <w:pStyle w:val="Heading4"/>
        <w:numPr>
          <w:ilvl w:val="0"/>
          <w:numId w:val="11"/>
        </w:numPr>
        <w:tabs>
          <w:tab w:val="num" w:pos="360"/>
        </w:tabs>
        <w:ind w:left="0" w:firstLine="0"/>
        <w:rPr>
          <w:rFonts w:cs="Calibri"/>
        </w:rPr>
      </w:pPr>
      <w:r w:rsidRPr="00A15207">
        <w:rPr>
          <w:rFonts w:cs="Calibri"/>
        </w:rPr>
        <w:t>China inevitably undermines solvency</w:t>
      </w:r>
    </w:p>
    <w:p w14:paraId="5BB8F61C" w14:textId="77777777" w:rsidR="009025AD" w:rsidRPr="00A15207" w:rsidRDefault="009025AD" w:rsidP="009025AD">
      <w:pPr>
        <w:pStyle w:val="Heading4"/>
        <w:numPr>
          <w:ilvl w:val="0"/>
          <w:numId w:val="11"/>
        </w:numPr>
        <w:tabs>
          <w:tab w:val="num" w:pos="360"/>
        </w:tabs>
        <w:ind w:left="0" w:firstLine="0"/>
        <w:rPr>
          <w:rFonts w:cs="Calibri"/>
        </w:rPr>
      </w:pPr>
      <w:r w:rsidRPr="00A15207">
        <w:rPr>
          <w:rFonts w:cs="Calibri"/>
        </w:rPr>
        <w:t>Too many private actors ensure conflict</w:t>
      </w:r>
    </w:p>
    <w:p w14:paraId="61C687AE" w14:textId="77777777" w:rsidR="009025AD" w:rsidRPr="00A15207" w:rsidRDefault="009025AD" w:rsidP="009025AD">
      <w:pPr>
        <w:pStyle w:val="Heading4"/>
        <w:rPr>
          <w:rFonts w:cs="Calibri"/>
        </w:rPr>
      </w:pPr>
      <w:r w:rsidRPr="00A15207">
        <w:rPr>
          <w:rFonts w:cs="Calibri"/>
        </w:rPr>
        <w:t xml:space="preserve">Turn – limitations on commons access such as private entity restrictions lead to backlash </w:t>
      </w:r>
    </w:p>
    <w:p w14:paraId="1850138D" w14:textId="77777777" w:rsidR="009025AD" w:rsidRPr="00A15207" w:rsidRDefault="009025AD" w:rsidP="009025AD">
      <w:pPr>
        <w:rPr>
          <w:rStyle w:val="Style13ptBold"/>
          <w:rFonts w:cs="Calibri"/>
        </w:rPr>
      </w:pPr>
      <w:r w:rsidRPr="00A15207">
        <w:rPr>
          <w:rStyle w:val="Style13ptBold"/>
          <w:rFonts w:cs="Calibri"/>
        </w:rPr>
        <w:t>Stang 13</w:t>
      </w:r>
    </w:p>
    <w:p w14:paraId="530ACCEE" w14:textId="77777777" w:rsidR="009025AD" w:rsidRPr="00A15207" w:rsidRDefault="009025AD" w:rsidP="009025AD">
      <w:pPr>
        <w:rPr>
          <w:rFonts w:cs="Calibri"/>
        </w:rPr>
      </w:pPr>
      <w:r w:rsidRPr="00A15207">
        <w:rPr>
          <w:rFonts w:cs="Calibri"/>
        </w:rPr>
        <w:t>Gerald Stang (associate fellow at the EUISS) , 2013, "Global Commons: between cooperation and competition" European Institute for security studies, https://www.iss.europa.eu/sites/default/files/EUISSFiles/Brief_17.pdf, // HW AW</w:t>
      </w:r>
    </w:p>
    <w:p w14:paraId="6064B5F4" w14:textId="77777777" w:rsidR="009025AD" w:rsidRPr="00A15207" w:rsidRDefault="009025AD" w:rsidP="009025AD">
      <w:pPr>
        <w:rPr>
          <w:rFonts w:cs="Calibri"/>
          <w:sz w:val="14"/>
        </w:rPr>
      </w:pPr>
      <w:r w:rsidRPr="00A15207">
        <w:rPr>
          <w:rFonts w:cs="Calibri"/>
          <w:sz w:val="14"/>
        </w:rPr>
        <w:t>Rapid economic development and increasing international trade are leading to a more crowded international stage and raising new challenges in the ‘</w:t>
      </w:r>
      <w:r w:rsidRPr="00A15207">
        <w:rPr>
          <w:rFonts w:cs="Calibri"/>
          <w:highlight w:val="green"/>
          <w:u w:val="single"/>
        </w:rPr>
        <w:t>global commons’</w:t>
      </w:r>
      <w:r w:rsidRPr="00A15207">
        <w:rPr>
          <w:rFonts w:cs="Calibri"/>
          <w:u w:val="single"/>
        </w:rPr>
        <w:t xml:space="preserve"> – those domains that are not under the control or jurisdiction of any state but are </w:t>
      </w:r>
      <w:r w:rsidRPr="00A15207">
        <w:rPr>
          <w:rFonts w:cs="Calibri"/>
          <w:b/>
          <w:bCs/>
          <w:highlight w:val="green"/>
          <w:u w:val="single"/>
        </w:rPr>
        <w:t>open for use by countries</w:t>
      </w:r>
      <w:r w:rsidRPr="00A15207">
        <w:rPr>
          <w:rFonts w:cs="Calibri"/>
          <w:b/>
          <w:bCs/>
          <w:u w:val="single"/>
        </w:rPr>
        <w:t xml:space="preserve">, companies and individuals from </w:t>
      </w:r>
      <w:r w:rsidRPr="00A15207">
        <w:rPr>
          <w:rFonts w:cs="Calibri"/>
          <w:b/>
          <w:bCs/>
          <w:highlight w:val="green"/>
          <w:u w:val="single"/>
        </w:rPr>
        <w:t>around the world</w:t>
      </w:r>
      <w:r w:rsidRPr="00A15207">
        <w:rPr>
          <w:rFonts w:cs="Calibri"/>
          <w:u w:val="single"/>
        </w:rPr>
        <w:t>.</w:t>
      </w:r>
      <w:r w:rsidRPr="00A15207">
        <w:rPr>
          <w:rFonts w:cs="Calibri"/>
          <w:sz w:val="14"/>
        </w:rPr>
        <w:t xml:space="preserve"> Their management involves increasingly complex processes to accommodate and integrate the interests and responsibilities of states, international organisations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nonWestern, </w:t>
      </w:r>
      <w:r w:rsidRPr="00A15207">
        <w:rPr>
          <w:rFonts w:cs="Calibri"/>
          <w:highlight w:val="green"/>
          <w:u w:val="single"/>
        </w:rPr>
        <w:t>less liberal powers</w:t>
      </w:r>
      <w:r w:rsidRPr="00A15207">
        <w:rPr>
          <w:rFonts w:cs="Calibri"/>
          <w:u w:val="single"/>
        </w:rPr>
        <w:t xml:space="preserve"> - particularly </w:t>
      </w:r>
      <w:r w:rsidRPr="00A15207">
        <w:rPr>
          <w:rFonts w:cs="Calibri"/>
          <w:b/>
          <w:bCs/>
          <w:highlight w:val="green"/>
          <w:u w:val="single"/>
        </w:rPr>
        <w:t>China</w:t>
      </w:r>
      <w:r w:rsidRPr="00A15207">
        <w:rPr>
          <w:rFonts w:cs="Calibri"/>
          <w:b/>
          <w:bCs/>
          <w:u w:val="single"/>
        </w:rPr>
        <w:t xml:space="preserve"> - questions </w:t>
      </w:r>
      <w:r w:rsidRPr="00A15207">
        <w:rPr>
          <w:rFonts w:cs="Calibri"/>
          <w:b/>
          <w:bCs/>
          <w:highlight w:val="green"/>
          <w:u w:val="single"/>
        </w:rPr>
        <w:t>must be asked regarding the durability of the existing processes for managing the global commons</w:t>
      </w:r>
      <w:r w:rsidRPr="00A15207">
        <w:rPr>
          <w:rFonts w:cs="Calibri"/>
          <w:b/>
          <w:bCs/>
          <w:u w:val="single"/>
        </w:rPr>
        <w:t xml:space="preserve">, </w:t>
      </w:r>
      <w:r w:rsidRPr="00A15207">
        <w:rPr>
          <w:rFonts w:cs="Calibri"/>
          <w:u w:val="single"/>
        </w:rPr>
        <w:t>along with the potential for developing effective new processes that can address new threats and challenges</w:t>
      </w:r>
      <w:r w:rsidRPr="00A15207">
        <w:rPr>
          <w:rFonts w:cs="Calibri"/>
          <w:sz w:val="14"/>
        </w:rPr>
        <w:t xml:space="preserve">. The EU is uniquely positioned to play an important role in giving value to existing multilateral frameworks and in developing new ones for international cooperation in these domains. But </w:t>
      </w:r>
      <w:r w:rsidRPr="00A15207">
        <w:rPr>
          <w:rFonts w:cs="Calibri"/>
          <w:u w:val="single"/>
        </w:rPr>
        <w:t xml:space="preserve">with a multitude of competing interests among stakeholders, much work remains to be done. What exactly are the global commons? Security analysts generally identify </w:t>
      </w:r>
      <w:r w:rsidRPr="00A15207">
        <w:rPr>
          <w:rFonts w:cs="Calibri"/>
          <w:b/>
          <w:bCs/>
          <w:highlight w:val="green"/>
          <w:u w:val="single"/>
        </w:rPr>
        <w:t xml:space="preserve">four domains as global commons: </w:t>
      </w:r>
      <w:r w:rsidRPr="00A15207">
        <w:rPr>
          <w:rFonts w:cs="Calibri"/>
          <w:b/>
          <w:bCs/>
          <w:u w:val="single"/>
        </w:rPr>
        <w:t xml:space="preserve">high seas, airspace, </w:t>
      </w:r>
      <w:r w:rsidRPr="00A15207">
        <w:rPr>
          <w:rFonts w:cs="Calibri"/>
          <w:b/>
          <w:bCs/>
          <w:highlight w:val="green"/>
          <w:u w:val="single"/>
        </w:rPr>
        <w:t>outer space</w:t>
      </w:r>
      <w:r w:rsidRPr="00A15207">
        <w:rPr>
          <w:rFonts w:cs="Calibri"/>
          <w:u w:val="single"/>
        </w:rPr>
        <w:t xml:space="preserve"> and, now, cyberspace.</w:t>
      </w:r>
      <w:r w:rsidRPr="00A15207">
        <w:rPr>
          <w:rFonts w:cs="Calibri"/>
          <w:sz w:val="14"/>
        </w:rPr>
        <w:t xml:space="preserve"> From a security perspective, the primary concern is safeguarding ‘access’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goods’. As </w:t>
      </w:r>
      <w:r w:rsidRPr="00A15207">
        <w:rPr>
          <w:rFonts w:cs="Calibri"/>
          <w:highlight w:val="green"/>
          <w:u w:val="single"/>
        </w:rPr>
        <w:t>there is no accepted definition of a global public good</w:t>
      </w:r>
      <w:r w:rsidRPr="00A15207">
        <w:rPr>
          <w:rFonts w:cs="Calibri"/>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Stang Photo by NASA / Rex Features (1568628a) European Union Institute for Security Studies April 2013 2 rules for use of the commons are set and enforced. In today’s interconnected world, </w:t>
      </w:r>
      <w:r w:rsidRPr="00A15207">
        <w:rPr>
          <w:rFonts w:cs="Calibri"/>
          <w:b/>
          <w:bCs/>
          <w:u w:val="single"/>
        </w:rPr>
        <w:t xml:space="preserve">any </w:t>
      </w:r>
      <w:r w:rsidRPr="00A15207">
        <w:rPr>
          <w:rFonts w:cs="Calibri"/>
          <w:b/>
          <w:bCs/>
          <w:highlight w:val="green"/>
          <w:u w:val="single"/>
        </w:rPr>
        <w:t>limitations on access</w:t>
      </w:r>
      <w:r w:rsidRPr="00A15207">
        <w:rPr>
          <w:rFonts w:cs="Calibri"/>
          <w:b/>
          <w:bCs/>
          <w:u w:val="single"/>
        </w:rPr>
        <w:t xml:space="preserve"> to the commons </w:t>
      </w:r>
      <w:r w:rsidRPr="00A15207">
        <w:rPr>
          <w:rFonts w:cs="Calibri"/>
          <w:b/>
          <w:bCs/>
          <w:highlight w:val="green"/>
          <w:u w:val="single"/>
        </w:rPr>
        <w:t>would be highly disruptive</w:t>
      </w:r>
      <w:r w:rsidRPr="00A15207">
        <w:rPr>
          <w:rFonts w:cs="Calibri"/>
          <w:sz w:val="14"/>
        </w:rPr>
        <w:t xml:space="preserve">. Militaries rely on access to the commons to pursue security goals in domains outside their sovereign control. Economic actors rely on the commons to trade and conduct business. </w:t>
      </w:r>
      <w:r w:rsidRPr="00A15207">
        <w:rPr>
          <w:rFonts w:cs="Calibri"/>
          <w:b/>
          <w:bCs/>
          <w:highlight w:val="green"/>
          <w:u w:val="single"/>
        </w:rPr>
        <w:t>Changes to the condition</w:t>
      </w:r>
      <w:r w:rsidRPr="00A15207">
        <w:rPr>
          <w:rFonts w:cs="Calibri"/>
          <w:b/>
          <w:bCs/>
          <w:u w:val="single"/>
        </w:rPr>
        <w:t xml:space="preserve"> of the commons </w:t>
      </w:r>
      <w:r w:rsidRPr="00A15207">
        <w:rPr>
          <w:rFonts w:cs="Calibri"/>
          <w:b/>
          <w:bCs/>
          <w:highlight w:val="green"/>
          <w:u w:val="single"/>
        </w:rPr>
        <w:t>can</w:t>
      </w:r>
      <w:r w:rsidRPr="00A15207">
        <w:rPr>
          <w:rFonts w:cs="Calibri"/>
          <w:b/>
          <w:bCs/>
          <w:u w:val="single"/>
        </w:rPr>
        <w:t xml:space="preserve"> therefore </w:t>
      </w:r>
      <w:r w:rsidRPr="00A15207">
        <w:rPr>
          <w:rFonts w:cs="Calibri"/>
          <w:b/>
          <w:bCs/>
          <w:highlight w:val="green"/>
          <w:u w:val="single"/>
        </w:rPr>
        <w:t>disrupt commerce and security</w:t>
      </w:r>
      <w:r w:rsidRPr="00A15207">
        <w:rPr>
          <w:rFonts w:cs="Calibri"/>
          <w:b/>
          <w:bCs/>
          <w:u w:val="single"/>
        </w:rPr>
        <w:t xml:space="preserve">, not to mention the status of the global environment. </w:t>
      </w:r>
      <w:r w:rsidRPr="00A15207">
        <w:rPr>
          <w:rFonts w:cs="Calibri"/>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countries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localised piracy problem off the coast of Somalia (for which the EU launched Atalanta, its own anti-piracy mission under the CSDP) highlighted the world’s impressive capacity to handle disruptions of this type. Territorial disputes exist in places like the South China Sea, but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organisations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Organisation,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A15207">
        <w:rPr>
          <w:rFonts w:cs="Calibri"/>
          <w:u w:val="single"/>
        </w:rPr>
        <w:t xml:space="preserve">Space </w:t>
      </w:r>
      <w:r w:rsidRPr="00A15207">
        <w:rPr>
          <w:rFonts w:cs="Calibri"/>
          <w:sz w:val="14"/>
        </w:rPr>
        <w:t xml:space="preserve">More than a thousand orbiting satellites facilitate communications in both the military and the civilian spheres, regulated by a mix of UN guidelines, bilater-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A15207">
        <w:rPr>
          <w:rFonts w:cs="Calibri"/>
          <w:u w:val="single"/>
        </w:rPr>
        <w:t xml:space="preserve">the problem of </w:t>
      </w:r>
      <w:r w:rsidRPr="00A15207">
        <w:rPr>
          <w:rFonts w:cs="Calibri"/>
          <w:highlight w:val="green"/>
          <w:u w:val="single"/>
        </w:rPr>
        <w:t>debris management</w:t>
      </w:r>
      <w:r w:rsidRPr="00A15207">
        <w:rPr>
          <w:rFonts w:cs="Calibri"/>
          <w:u w:val="single"/>
        </w:rPr>
        <w:t xml:space="preserve"> in space </w:t>
      </w:r>
      <w:r w:rsidRPr="00A15207">
        <w:rPr>
          <w:rFonts w:cs="Calibri"/>
          <w:highlight w:val="green"/>
          <w:u w:val="single"/>
        </w:rPr>
        <w:t>indicates an overlap between ‘access’ and ‘condition’ issues</w:t>
      </w:r>
      <w:r w:rsidRPr="00A15207">
        <w:rPr>
          <w:rFonts w:cs="Calibri"/>
          <w:sz w:val="14"/>
        </w:rPr>
        <w:t xml:space="preserve">. While access to space has previously been limited to a small number of states, </w:t>
      </w:r>
      <w:r w:rsidRPr="00A15207">
        <w:rPr>
          <w:rFonts w:cs="Calibri"/>
          <w:b/>
          <w:bCs/>
          <w:u w:val="single"/>
        </w:rPr>
        <w:t xml:space="preserve">the increasing role of new actors (including from the private sector) suggests that the creation of comprehensive and binding regulations for the space commons may become more difficult. </w:t>
      </w:r>
      <w:r w:rsidRPr="00A15207">
        <w:rPr>
          <w:rFonts w:cs="Calibri"/>
          <w:sz w:val="14"/>
        </w:rPr>
        <w:t xml:space="preserve">The EU has pushed to become a key actor in space matters, working with the European Space Agency (ESA) - an intergovernmental body - on Galileo, Europe’s civilian satellite navigation system. In an effort to get ahead of the curve and manage uncertainty, the </w:t>
      </w:r>
      <w:r w:rsidRPr="00A15207">
        <w:rPr>
          <w:rFonts w:cs="Calibri"/>
          <w:u w:val="single"/>
        </w:rPr>
        <w:t xml:space="preserve">European Council approved a voluntary Code of Conduct </w:t>
      </w:r>
      <w:r w:rsidRPr="00A15207">
        <w:rPr>
          <w:rFonts w:cs="Calibri"/>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A15207">
        <w:rPr>
          <w:rFonts w:cs="Calibri"/>
          <w:u w:val="single"/>
        </w:rPr>
        <w:t>it is not binding and has no enforcement mechanism</w:t>
      </w:r>
      <w:r w:rsidRPr="00A15207">
        <w:rPr>
          <w:rFonts w:cs="Calibri"/>
          <w:sz w:val="14"/>
        </w:rPr>
        <w:t>. As with many efforts in multilateral regulation of the global commons, the US has been hesitant to agree to the Code for fear of diminishing its own freedom of manoeuvre. It may be an important step, however, in setting the groundwork for future space cooperation if the EU can follow up on the Code’s development with diplomatic action by bringing other space-faring countries on board. Cyberspace Cyberspace differs from the other commons because it is not a physical domain and because of the preponderant role of the private sector in both the infrastructure and the management of the domain. All of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cyber attacks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constitu- ency for cyberspace, there are constituencies of users and providers - private and public - who play a similar role in pushing for the protection of certain conditions in cyberspace. Unlike for sea and air domains, therefore, there is overlap between ‘access’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response and coordination of policing very difficult. Cyber conflict involving states will ebb and flow along with the quality of the relationship between those states and competing states will continue to test each other’s cyber defences.</w:t>
      </w:r>
    </w:p>
    <w:bookmarkEnd w:id="0"/>
    <w:p w14:paraId="12A53646" w14:textId="77777777" w:rsidR="009025AD" w:rsidRPr="00A15207" w:rsidRDefault="009025AD" w:rsidP="009025AD">
      <w:pPr>
        <w:rPr>
          <w:rFonts w:cs="Calibri"/>
        </w:rPr>
      </w:pPr>
    </w:p>
    <w:p w14:paraId="2C7B2FCA" w14:textId="77777777" w:rsidR="00A95652" w:rsidRPr="00A15207" w:rsidRDefault="00A95652" w:rsidP="00B55AD5">
      <w:pPr>
        <w:rPr>
          <w:rFonts w:cs="Calibri"/>
        </w:rPr>
      </w:pPr>
    </w:p>
    <w:sectPr w:rsidR="00A95652" w:rsidRPr="00A15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6CAB"/>
    <w:rsid w:val="000139A3"/>
    <w:rsid w:val="00100833"/>
    <w:rsid w:val="00104529"/>
    <w:rsid w:val="00105942"/>
    <w:rsid w:val="00107396"/>
    <w:rsid w:val="00142E4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90E4F"/>
    <w:rsid w:val="008B3ECB"/>
    <w:rsid w:val="008B4E85"/>
    <w:rsid w:val="008C1B2E"/>
    <w:rsid w:val="009025AD"/>
    <w:rsid w:val="0091627E"/>
    <w:rsid w:val="0097032B"/>
    <w:rsid w:val="009A6CAB"/>
    <w:rsid w:val="009D2EAD"/>
    <w:rsid w:val="009D54B2"/>
    <w:rsid w:val="009E1922"/>
    <w:rsid w:val="009E5EF5"/>
    <w:rsid w:val="009F7ED2"/>
    <w:rsid w:val="00A15207"/>
    <w:rsid w:val="00A93661"/>
    <w:rsid w:val="00A95652"/>
    <w:rsid w:val="00A96FC2"/>
    <w:rsid w:val="00AC0AB8"/>
    <w:rsid w:val="00B33C6D"/>
    <w:rsid w:val="00B4508F"/>
    <w:rsid w:val="00B55AD5"/>
    <w:rsid w:val="00B8057C"/>
    <w:rsid w:val="00BD6238"/>
    <w:rsid w:val="00BF593B"/>
    <w:rsid w:val="00BF773A"/>
    <w:rsid w:val="00BF7E81"/>
    <w:rsid w:val="00C13773"/>
    <w:rsid w:val="00C17CC8"/>
    <w:rsid w:val="00C36F4D"/>
    <w:rsid w:val="00C83417"/>
    <w:rsid w:val="00C9604F"/>
    <w:rsid w:val="00CA19AA"/>
    <w:rsid w:val="00CC4DB6"/>
    <w:rsid w:val="00CC5298"/>
    <w:rsid w:val="00CD6663"/>
    <w:rsid w:val="00CD736E"/>
    <w:rsid w:val="00CD798D"/>
    <w:rsid w:val="00CE161E"/>
    <w:rsid w:val="00CF59A8"/>
    <w:rsid w:val="00D325A9"/>
    <w:rsid w:val="00D36A8A"/>
    <w:rsid w:val="00D61409"/>
    <w:rsid w:val="00D6691E"/>
    <w:rsid w:val="00D71170"/>
    <w:rsid w:val="00DA1C92"/>
    <w:rsid w:val="00DA25D4"/>
    <w:rsid w:val="00DA6538"/>
    <w:rsid w:val="00E15E75"/>
    <w:rsid w:val="00E25120"/>
    <w:rsid w:val="00E5262C"/>
    <w:rsid w:val="00EC7DC4"/>
    <w:rsid w:val="00ED30CF"/>
    <w:rsid w:val="00F176EF"/>
    <w:rsid w:val="00F45E10"/>
    <w:rsid w:val="00F6364A"/>
    <w:rsid w:val="00F86EE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B83F"/>
  <w15:chartTrackingRefBased/>
  <w15:docId w15:val="{65BF4569-89D8-4725-9B21-D3194264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FC2"/>
    <w:rPr>
      <w:rFonts w:ascii="Calibri" w:hAnsi="Calibri"/>
    </w:rPr>
  </w:style>
  <w:style w:type="paragraph" w:styleId="Heading1">
    <w:name w:val="heading 1"/>
    <w:aliases w:val="Pocket"/>
    <w:basedOn w:val="Normal"/>
    <w:next w:val="Normal"/>
    <w:link w:val="Heading1Char"/>
    <w:qFormat/>
    <w:rsid w:val="009A6C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1"/>
    <w:unhideWhenUsed/>
    <w:qFormat/>
    <w:rsid w:val="009A6C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A6C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9A6CA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F86EE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9A6C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CAB"/>
  </w:style>
  <w:style w:type="character" w:customStyle="1" w:styleId="Heading1Char">
    <w:name w:val="Heading 1 Char"/>
    <w:aliases w:val="Pocket Char"/>
    <w:basedOn w:val="DefaultParagraphFont"/>
    <w:link w:val="Heading1"/>
    <w:rsid w:val="009A6CAB"/>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1"/>
    <w:rsid w:val="009A6C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A6CA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A6CAB"/>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Emphasis!!,small,Qualifications,bold underline,qualifications in card,qualifications,normal card text,Shrunk,Char Char Char,Style1,s"/>
    <w:basedOn w:val="DefaultParagraphFont"/>
    <w:link w:val="Emphasis1"/>
    <w:uiPriority w:val="7"/>
    <w:qFormat/>
    <w:rsid w:val="009A6CA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9A6CAB"/>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link w:val="CardsFont12pt"/>
    <w:uiPriority w:val="6"/>
    <w:qFormat/>
    <w:rsid w:val="009A6CAB"/>
    <w:rPr>
      <w:b w:val="0"/>
      <w:sz w:val="22"/>
      <w:u w:val="single"/>
    </w:rPr>
  </w:style>
  <w:style w:type="character" w:styleId="Hyperlink">
    <w:name w:val="Hyperlink"/>
    <w:basedOn w:val="DefaultParagraphFont"/>
    <w:uiPriority w:val="99"/>
    <w:semiHidden/>
    <w:unhideWhenUsed/>
    <w:rsid w:val="009A6CAB"/>
    <w:rPr>
      <w:color w:val="auto"/>
      <w:u w:val="none"/>
    </w:rPr>
  </w:style>
  <w:style w:type="character" w:styleId="FollowedHyperlink">
    <w:name w:val="FollowedHyperlink"/>
    <w:basedOn w:val="DefaultParagraphFont"/>
    <w:uiPriority w:val="99"/>
    <w:semiHidden/>
    <w:unhideWhenUsed/>
    <w:rsid w:val="009A6CAB"/>
    <w:rPr>
      <w:color w:val="auto"/>
      <w:u w:val="none"/>
    </w:rPr>
  </w:style>
  <w:style w:type="paragraph" w:customStyle="1" w:styleId="Emphasis1">
    <w:name w:val="Emphasis1"/>
    <w:basedOn w:val="Normal"/>
    <w:link w:val="Emphasis"/>
    <w:autoRedefine/>
    <w:uiPriority w:val="7"/>
    <w:qFormat/>
    <w:rsid w:val="00A96FC2"/>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A96FC2"/>
    <w:pPr>
      <w:pBdr>
        <w:top w:val="single" w:sz="12" w:space="1" w:color="auto"/>
        <w:left w:val="single" w:sz="12" w:space="4" w:color="auto"/>
        <w:bottom w:val="single" w:sz="12" w:space="1" w:color="auto"/>
        <w:right w:val="single" w:sz="12" w:space="4" w:color="auto"/>
      </w:pBdr>
      <w:spacing w:after="0" w:line="240" w:lineRule="auto"/>
    </w:pPr>
    <w:rPr>
      <w:u w:val="single"/>
    </w:rPr>
  </w:style>
  <w:style w:type="character" w:customStyle="1" w:styleId="Heading5Char">
    <w:name w:val="Heading 5 Char"/>
    <w:basedOn w:val="DefaultParagraphFont"/>
    <w:link w:val="Heading5"/>
    <w:uiPriority w:val="9"/>
    <w:rsid w:val="00F86EE6"/>
    <w:rPr>
      <w:rFonts w:asciiTheme="majorHAnsi" w:eastAsiaTheme="majorEastAsia" w:hAnsiTheme="majorHAnsi" w:cstheme="majorBidi"/>
      <w:color w:val="2E74B5" w:themeColor="accent1" w:themeShade="BF"/>
    </w:rPr>
  </w:style>
  <w:style w:type="paragraph" w:customStyle="1" w:styleId="textbold">
    <w:name w:val="text bold"/>
    <w:basedOn w:val="Normal"/>
    <w:uiPriority w:val="7"/>
    <w:qFormat/>
    <w:rsid w:val="00A15207"/>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12</Pages>
  <Words>9258</Words>
  <Characters>52776</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12</cp:revision>
  <dcterms:created xsi:type="dcterms:W3CDTF">2022-01-16T18:30:00Z</dcterms:created>
  <dcterms:modified xsi:type="dcterms:W3CDTF">2022-01-16T19:10:00Z</dcterms:modified>
</cp:coreProperties>
</file>