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E0146" w14:textId="77777777" w:rsidR="00C85791" w:rsidRDefault="00C85791" w:rsidP="00C85791">
      <w:pPr>
        <w:pStyle w:val="Heading1"/>
      </w:pPr>
      <w:r>
        <w:t>1NC</w:t>
      </w:r>
    </w:p>
    <w:p w14:paraId="6513B730" w14:textId="77777777" w:rsidR="00C85791" w:rsidRDefault="00C85791" w:rsidP="00C85791">
      <w:pPr>
        <w:pStyle w:val="Heading2"/>
      </w:pPr>
      <w:r>
        <w:lastRenderedPageBreak/>
        <w:t>1</w:t>
      </w:r>
    </w:p>
    <w:p w14:paraId="4067A7B2" w14:textId="77777777" w:rsidR="00C85791" w:rsidRDefault="00C85791" w:rsidP="00C85791">
      <w:pPr>
        <w:pStyle w:val="Heading4"/>
      </w:pPr>
      <w:r>
        <w:t>Interp and violation: Affirmatives may not defend only specific instances of outer space appropriation by private entities as unjust.</w:t>
      </w:r>
    </w:p>
    <w:p w14:paraId="639929C9" w14:textId="77777777" w:rsidR="00C85791" w:rsidRPr="004E4A9B" w:rsidRDefault="00C85791" w:rsidP="00C85791"/>
    <w:p w14:paraId="05E4E0DC" w14:textId="77777777" w:rsidR="00C85791" w:rsidRDefault="00C85791" w:rsidP="00C85791">
      <w:pPr>
        <w:pStyle w:val="Heading4"/>
      </w:pPr>
      <w:r>
        <w:t>"The" can either indicate a definite generic or definite description</w:t>
      </w:r>
    </w:p>
    <w:p w14:paraId="38930D6C" w14:textId="77777777" w:rsidR="00C85791" w:rsidRPr="000E65CD" w:rsidRDefault="00C85791" w:rsidP="00C85791">
      <w:r w:rsidRPr="00F05140">
        <w:rPr>
          <w:rStyle w:val="Style13ptBold"/>
        </w:rPr>
        <w:t>Ojeda 91</w:t>
      </w:r>
      <w:r>
        <w:t xml:space="preserve"> </w:t>
      </w:r>
      <w:r w:rsidRPr="00614F05">
        <w:t>[</w:t>
      </w:r>
      <w:r w:rsidRPr="00F05140">
        <w:t>Almerindo E. Ojeda</w:t>
      </w:r>
      <w:r w:rsidRPr="00614F05">
        <w:t xml:space="preserve">, </w:t>
      </w:r>
      <w:r>
        <w:t>PhD linguistics from UChicago, professor of linguistics at UC Davis</w:t>
      </w:r>
      <w:r w:rsidRPr="00614F05">
        <w:t>. "</w:t>
      </w:r>
      <w:r w:rsidRPr="00C56032">
        <w:t>Definite Descriptions and Definite Generics</w:t>
      </w:r>
      <w:r w:rsidRPr="00614F05">
        <w:t xml:space="preserve">", </w:t>
      </w:r>
      <w:r w:rsidRPr="00AE2D60">
        <w:t>Linguistics and Philosophy, Vol. 14, No. 4, pp. 367-397</w:t>
      </w:r>
      <w:r w:rsidRPr="00614F05">
        <w:t xml:space="preserve">, </w:t>
      </w:r>
      <w:r>
        <w:t xml:space="preserve">Published August 1991, </w:t>
      </w:r>
      <w:r w:rsidRPr="00614F05">
        <w:t>https://www.harvardlds.org/wp-content/uploads/2019/04/1-s2.0-S0010027718300313-main-3.pdf] HWIC</w:t>
      </w:r>
    </w:p>
    <w:p w14:paraId="7C76B63B" w14:textId="77777777" w:rsidR="00C85791" w:rsidRDefault="00C85791" w:rsidP="00C85791">
      <w:r w:rsidRPr="00AE2D60">
        <w:rPr>
          <w:rStyle w:val="StyleUnderline"/>
          <w:highlight w:val="green"/>
        </w:rPr>
        <w:t>A definite noun phrase may be</w:t>
      </w:r>
      <w:r w:rsidRPr="00AE2D60">
        <w:rPr>
          <w:rStyle w:val="StyleUnderline"/>
        </w:rPr>
        <w:t xml:space="preserve"> taken</w:t>
      </w:r>
      <w:r w:rsidRPr="003C19C6">
        <w:rPr>
          <w:rStyle w:val="StyleUnderline"/>
        </w:rPr>
        <w:t xml:space="preserve"> either as </w:t>
      </w:r>
      <w:r w:rsidRPr="00AE2D60">
        <w:rPr>
          <w:rStyle w:val="StyleUnderline"/>
          <w:highlight w:val="green"/>
        </w:rPr>
        <w:t>a definite description or</w:t>
      </w:r>
      <w:r w:rsidRPr="003C19C6">
        <w:rPr>
          <w:rStyle w:val="StyleUnderline"/>
        </w:rPr>
        <w:t xml:space="preserve"> as a definite </w:t>
      </w:r>
      <w:r w:rsidRPr="00AE2D60">
        <w:rPr>
          <w:rStyle w:val="StyleUnderline"/>
          <w:highlight w:val="green"/>
        </w:rPr>
        <w:t>generic</w:t>
      </w:r>
      <w:r w:rsidRPr="003C19C6">
        <w:rPr>
          <w:rStyle w:val="StyleUnderline"/>
        </w:rPr>
        <w:t>.</w:t>
      </w:r>
      <w:r>
        <w:t xml:space="preserve"> Thus, a noun phrase like </w:t>
      </w:r>
      <w:r w:rsidRPr="003C19C6">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t xml:space="preserve">2 Notice that the ambiguity between definite descriptions and definite generics can be resolved in certain con texts. Thus, the definite noun phrase </w:t>
      </w:r>
      <w:r w:rsidRPr="002414E4">
        <w:rPr>
          <w:rStyle w:val="StyleUnderline"/>
          <w:highlight w:val="green"/>
        </w:rPr>
        <w:t>the computer is taken</w:t>
      </w:r>
      <w:r>
        <w:t xml:space="preserve"> only </w:t>
      </w:r>
      <w:r w:rsidRPr="002414E4">
        <w:rPr>
          <w:rStyle w:val="StyleUnderline"/>
          <w:highlight w:val="green"/>
        </w:rPr>
        <w:t>as</w:t>
      </w:r>
      <w:r>
        <w:t xml:space="preserve"> a </w:t>
      </w:r>
      <w:r w:rsidRPr="00671C93">
        <w:rPr>
          <w:rStyle w:val="StyleUnderline"/>
        </w:rPr>
        <w:t xml:space="preserve">definite </w:t>
      </w:r>
      <w:r w:rsidRPr="002414E4">
        <w:rPr>
          <w:rStyle w:val="StyleUnderline"/>
          <w:highlight w:val="green"/>
        </w:rPr>
        <w:t>description in (</w:t>
      </w:r>
      <w:r w:rsidRPr="00E512E4">
        <w:rPr>
          <w:rStyle w:val="StyleUnderline"/>
          <w:bCs/>
          <w:highlight w:val="green"/>
        </w:rPr>
        <w:t>la</w:t>
      </w:r>
      <w:r w:rsidRPr="002414E4">
        <w:rPr>
          <w:rStyle w:val="StyleUnderline"/>
          <w:highlight w:val="green"/>
        </w:rPr>
        <w:t>), a statement about an individual computer; it is taken</w:t>
      </w:r>
      <w:r w:rsidRPr="00671C93">
        <w:rPr>
          <w:rStyle w:val="StyleUnderline"/>
        </w:rPr>
        <w:t xml:space="preserve"> only </w:t>
      </w:r>
      <w:r w:rsidRPr="002414E4">
        <w:rPr>
          <w:rStyle w:val="StyleUnderline"/>
          <w:highlight w:val="green"/>
        </w:rPr>
        <w:t>as</w:t>
      </w:r>
      <w:r w:rsidRPr="00671C93">
        <w:rPr>
          <w:rStyle w:val="StyleUnderline"/>
        </w:rPr>
        <w:t xml:space="preserve"> a definite </w:t>
      </w:r>
      <w:r w:rsidRPr="002414E4">
        <w:rPr>
          <w:rStyle w:val="StyleUnderline"/>
          <w:highlight w:val="green"/>
        </w:rPr>
        <w:t>generic in (lb), a statement about computers in general</w:t>
      </w:r>
      <w:r>
        <w:t xml:space="preserve">. Similarly, </w:t>
      </w:r>
      <w:r w:rsidRPr="002414E4">
        <w:rPr>
          <w:rStyle w:val="StyleUnderline"/>
        </w:rPr>
        <w:t>the definite noun phrase the dodo</w:t>
      </w:r>
      <w:r w:rsidRPr="002414E4">
        <w:t xml:space="preserve"> may be taken as a definite description in (2a) while it </w:t>
      </w:r>
      <w:r w:rsidRPr="002414E4">
        <w:rPr>
          <w:rStyle w:val="StyleUnderline"/>
        </w:rPr>
        <w:t>must be taken as a definite generic in (2b).</w:t>
      </w:r>
      <w:r w:rsidRPr="002414E4">
        <w:t>3</w:t>
      </w:r>
    </w:p>
    <w:p w14:paraId="7139F901" w14:textId="77777777" w:rsidR="00C85791" w:rsidRPr="002414E4" w:rsidRDefault="00C85791" w:rsidP="00C85791">
      <w:pPr>
        <w:rPr>
          <w:rStyle w:val="StyleUnderline"/>
        </w:rPr>
      </w:pPr>
      <w:r w:rsidRPr="002414E4">
        <w:rPr>
          <w:rStyle w:val="StyleUnderline"/>
        </w:rPr>
        <w:t>(</w:t>
      </w:r>
      <w:r w:rsidRPr="00A26F4A">
        <w:rPr>
          <w:rStyle w:val="StyleUnderline"/>
          <w:bCs/>
        </w:rPr>
        <w:t>1)a</w:t>
      </w:r>
      <w:r w:rsidRPr="002414E4">
        <w:rPr>
          <w:rStyle w:val="StyleUnderline"/>
        </w:rPr>
        <w:t>. Turing repaired the computer.</w:t>
      </w:r>
    </w:p>
    <w:p w14:paraId="58129A11" w14:textId="77777777" w:rsidR="00C85791" w:rsidRPr="002414E4" w:rsidRDefault="00C85791" w:rsidP="00C85791">
      <w:pPr>
        <w:rPr>
          <w:rStyle w:val="StyleUnderline"/>
        </w:rPr>
      </w:pPr>
      <w:r w:rsidRPr="00A26F4A">
        <w:rPr>
          <w:rStyle w:val="StyleUnderline"/>
          <w:bCs/>
        </w:rPr>
        <w:t>b</w:t>
      </w:r>
      <w:r w:rsidRPr="002414E4">
        <w:rPr>
          <w:rStyle w:val="StyleUnderline"/>
        </w:rPr>
        <w:t>. Turing invented the computer.</w:t>
      </w:r>
    </w:p>
    <w:p w14:paraId="5CAD5E02" w14:textId="77777777" w:rsidR="00C85791" w:rsidRDefault="00C85791" w:rsidP="00C85791">
      <w:r>
        <w:t>(2)a. The dodo is dead.</w:t>
      </w:r>
    </w:p>
    <w:p w14:paraId="01FC58C8" w14:textId="77777777" w:rsidR="00C85791" w:rsidRPr="00A0133E" w:rsidRDefault="00C85791" w:rsidP="00C85791">
      <w:pPr>
        <w:rPr>
          <w:rStyle w:val="StyleUnderline"/>
        </w:rPr>
      </w:pPr>
      <w:r>
        <w:t xml:space="preserve">b. </w:t>
      </w:r>
      <w:r w:rsidRPr="002414E4">
        <w:rPr>
          <w:rStyle w:val="StyleUnderline"/>
        </w:rPr>
        <w:t>The dodo is extinct</w:t>
      </w:r>
      <w:r w:rsidRPr="00A0133E">
        <w:rPr>
          <w:rStyle w:val="StyleUnderline"/>
        </w:rPr>
        <w:t>.</w:t>
      </w:r>
    </w:p>
    <w:p w14:paraId="48E6B344" w14:textId="77777777" w:rsidR="00C85791" w:rsidRDefault="00C85791" w:rsidP="00C85791"/>
    <w:p w14:paraId="557823E7" w14:textId="77777777" w:rsidR="00C85791" w:rsidRDefault="00C85791" w:rsidP="00C85791">
      <w:pPr>
        <w:pStyle w:val="Heading4"/>
      </w:pPr>
      <w:r>
        <w:t>Moral statements are generic normative principles – necessitates the generic interpretation</w:t>
      </w:r>
    </w:p>
    <w:p w14:paraId="7D062A7C" w14:textId="77777777" w:rsidR="00C85791" w:rsidRDefault="00C85791" w:rsidP="00C85791">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7098C184" w14:textId="77777777" w:rsidR="00C85791" w:rsidRPr="00A26F4A" w:rsidRDefault="00C85791" w:rsidP="00C85791">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A26F4A">
        <w:rPr>
          <w:rStyle w:val="StyleUnderline"/>
          <w:highlight w:val="green"/>
        </w:rPr>
        <w:t>principles are regulative</w:t>
      </w:r>
      <w:r w:rsidRPr="00A26F4A">
        <w:rPr>
          <w:rStyle w:val="StyleUnderline"/>
        </w:rPr>
        <w:t>, especially including rules for opera tions</w:t>
      </w:r>
      <w:r w:rsidRPr="00A26F4A">
        <w:rPr>
          <w:sz w:val="16"/>
        </w:rPr>
        <w:t xml:space="preserve">, involving changes. </w:t>
      </w:r>
      <w:r w:rsidRPr="00A26F4A">
        <w:rPr>
          <w:rStyle w:val="StyleUnderline"/>
          <w:highlight w:val="green"/>
        </w:rPr>
        <w:t xml:space="preserve">As rules, they are </w:t>
      </w:r>
      <w:r w:rsidRPr="00A26F4A">
        <w:rPr>
          <w:rStyle w:val="StyleUnderline"/>
          <w:bCs/>
          <w:highlight w:val="green"/>
        </w:rPr>
        <w:t>universal</w:t>
      </w:r>
      <w:r w:rsidRPr="00A26F4A">
        <w:rPr>
          <w:rStyle w:val="StyleUnderline"/>
          <w:highlight w:val="green"/>
        </w:rPr>
        <w:t xml:space="preserve"> for a kind</w:t>
      </w:r>
      <w:r w:rsidRPr="00A26F4A">
        <w:rPr>
          <w:rStyle w:val="StyleUnderline"/>
        </w:rPr>
        <w:t xml:space="preserve">, although there may be </w:t>
      </w:r>
      <w:r w:rsidRPr="00A26F4A">
        <w:rPr>
          <w:rStyle w:val="StyleUnderline"/>
        </w:rPr>
        <w:lastRenderedPageBreak/>
        <w:t>exceptions</w:t>
      </w:r>
      <w:r w:rsidRPr="00A26F4A">
        <w:rPr>
          <w:sz w:val="16"/>
        </w:rPr>
        <w:t xml:space="preserve"> to them </w:t>
      </w:r>
      <w:r w:rsidRPr="00A26F4A">
        <w:rPr>
          <w:rStyle w:val="StyleUnderline"/>
        </w:rPr>
        <w:t xml:space="preserve">in certain modes. </w:t>
      </w:r>
      <w:r w:rsidRPr="00A26F4A">
        <w:rPr>
          <w:rStyle w:val="StyleUnderline"/>
          <w:highlight w:val="green"/>
        </w:rPr>
        <w:t>A principle, then, is a</w:t>
      </w:r>
      <w:r w:rsidRPr="00A26F4A">
        <w:rPr>
          <w:rStyle w:val="StyleUnderline"/>
        </w:rPr>
        <w:t xml:space="preserve">n originating </w:t>
      </w:r>
      <w:r w:rsidRPr="00A26F4A">
        <w:rPr>
          <w:rStyle w:val="StyleUnderline"/>
          <w:highlight w:val="green"/>
        </w:rPr>
        <w:t>rule</w:t>
      </w:r>
      <w:r w:rsidRPr="00A26F4A">
        <w:rPr>
          <w:sz w:val="16"/>
        </w:rPr>
        <w:t xml:space="preserve"> that universally regulates the formation, operation, or other changes of any actuality, </w:t>
      </w:r>
      <w:r w:rsidRPr="00A26F4A">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2F44E981" w14:textId="77777777" w:rsidR="00C85791" w:rsidRPr="00A26F4A" w:rsidRDefault="00C85791" w:rsidP="00C85791">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01BEB9C8" w14:textId="77777777" w:rsidR="00C85791" w:rsidRPr="00A26F4A" w:rsidRDefault="00C85791" w:rsidP="00C85791">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0CE9DED0" w14:textId="77777777" w:rsidR="00C85791" w:rsidRDefault="00C85791" w:rsidP="00C85791">
      <w:pPr>
        <w:rPr>
          <w:rStyle w:val="StyleUnderline"/>
        </w:rPr>
      </w:pPr>
      <w:r w:rsidRPr="00BA3D09">
        <w:rPr>
          <w:rStyle w:val="StyleUnderline"/>
        </w:rPr>
        <w:t xml:space="preserve">Scientific, engineering, and practical </w:t>
      </w:r>
      <w:r w:rsidRPr="0089258C">
        <w:rPr>
          <w:rStyle w:val="StyleUnderline"/>
          <w:highlight w:val="green"/>
        </w:rPr>
        <w:t>laws are cases of principles</w:t>
      </w:r>
      <w:r w:rsidRPr="00A26F4A">
        <w:rPr>
          <w:sz w:val="16"/>
        </w:rPr>
        <w:t xml:space="preserve">. The "law of gravity" is the principle of gravity. </w:t>
      </w:r>
      <w:r w:rsidRPr="0089258C">
        <w:rPr>
          <w:rStyle w:val="Emphasis"/>
          <w:highlight w:val="green"/>
        </w:rPr>
        <w:t>Rules of</w:t>
      </w:r>
      <w:r w:rsidRPr="0089258C">
        <w:rPr>
          <w:rStyle w:val="Emphasis"/>
        </w:rPr>
        <w:t xml:space="preserve"> "right </w:t>
      </w:r>
      <w:r w:rsidRPr="0089258C">
        <w:rPr>
          <w:rStyle w:val="Emphasis"/>
          <w:highlight w:val="green"/>
        </w:rPr>
        <w:t xml:space="preserve">conduct" </w:t>
      </w:r>
      <w:r w:rsidRPr="0089258C">
        <w:rPr>
          <w:rStyle w:val="Emphasis"/>
        </w:rPr>
        <w:t xml:space="preserve">also </w:t>
      </w:r>
      <w:r w:rsidRPr="0089258C">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89258C">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03158B0A" w14:textId="77777777" w:rsidR="00C85791" w:rsidRPr="00A26F4A" w:rsidRDefault="00C85791" w:rsidP="00C85791">
      <w:pPr>
        <w:rPr>
          <w:sz w:val="16"/>
        </w:rPr>
      </w:pPr>
      <w:r w:rsidRPr="0089258C">
        <w:rPr>
          <w:rStyle w:val="StyleUnderline"/>
          <w:highlight w:val="green"/>
        </w:rPr>
        <w:t xml:space="preserve">Since </w:t>
      </w:r>
      <w:r w:rsidRPr="0089258C">
        <w:rPr>
          <w:rStyle w:val="Emphasis"/>
          <w:highlight w:val="green"/>
        </w:rPr>
        <w:t>principles are general,</w:t>
      </w:r>
      <w:r w:rsidRPr="0089258C">
        <w:rPr>
          <w:rStyle w:val="StyleUnderline"/>
          <w:highlight w:val="green"/>
        </w:rPr>
        <w:t xml:space="preserve"> the statement of a principle includes</w:t>
      </w:r>
      <w:r w:rsidRPr="00BA3D09">
        <w:rPr>
          <w:rStyle w:val="StyleUnderline"/>
        </w:rPr>
        <w:t xml:space="preserve"> an </w:t>
      </w:r>
      <w:r w:rsidRPr="0089258C">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6C83AEF3" w14:textId="77777777" w:rsidR="00C85791" w:rsidRDefault="00C85791" w:rsidP="00C85791">
      <w:r w:rsidRPr="002F4914">
        <w:rPr>
          <w:rFonts w:eastAsia="MS Gothic" w:cs="Times New Roman"/>
          <w:b/>
          <w:iCs/>
          <w:sz w:val="26"/>
        </w:rPr>
        <w:t>This applies to the res – 1] Upward entailment test – “</w:t>
      </w:r>
      <w:r>
        <w:rPr>
          <w:rFonts w:eastAsia="MS Gothic" w:cs="Times New Roman"/>
          <w:b/>
          <w:iCs/>
          <w:sz w:val="26"/>
        </w:rPr>
        <w:t>appropriation by private entities is unjust</w:t>
      </w:r>
      <w:r w:rsidRPr="002F4914">
        <w:rPr>
          <w:rFonts w:eastAsia="MS Gothic" w:cs="Times New Roman"/>
          <w:b/>
          <w:iCs/>
          <w:sz w:val="26"/>
        </w:rPr>
        <w:t>” doesn’t imply that “</w:t>
      </w:r>
      <w:r>
        <w:rPr>
          <w:rFonts w:eastAsia="MS Gothic" w:cs="Times New Roman"/>
          <w:b/>
          <w:iCs/>
          <w:sz w:val="26"/>
        </w:rPr>
        <w:t>appropriation by entities is unjust</w:t>
      </w:r>
      <w:r w:rsidRPr="002F4914">
        <w:rPr>
          <w:rFonts w:eastAsia="MS Gothic" w:cs="Times New Roman"/>
          <w:b/>
          <w:iCs/>
          <w:sz w:val="26"/>
        </w:rPr>
        <w:t>” because</w:t>
      </w:r>
      <w:r>
        <w:rPr>
          <w:rFonts w:eastAsia="MS Gothic" w:cs="Times New Roman"/>
          <w:b/>
          <w:iCs/>
          <w:sz w:val="26"/>
        </w:rPr>
        <w:t xml:space="preserve"> state appropriation might not be unjust</w:t>
      </w:r>
      <w:r w:rsidRPr="002F4914">
        <w:rPr>
          <w:rFonts w:eastAsia="MS Gothic" w:cs="Times New Roman"/>
          <w:b/>
          <w:iCs/>
          <w:sz w:val="26"/>
        </w:rPr>
        <w:t xml:space="preserve"> 2] Adverb test </w:t>
      </w:r>
      <w:r>
        <w:rPr>
          <w:rFonts w:eastAsia="MS Gothic" w:cs="Times New Roman"/>
          <w:b/>
          <w:iCs/>
          <w:sz w:val="26"/>
        </w:rPr>
        <w:t>–</w:t>
      </w:r>
      <w:r w:rsidRPr="002F4914">
        <w:rPr>
          <w:rFonts w:eastAsia="MS Gothic" w:cs="Times New Roman"/>
          <w:b/>
          <w:iCs/>
          <w:sz w:val="26"/>
        </w:rPr>
        <w:t xml:space="preserve"> </w:t>
      </w:r>
      <w:r>
        <w:rPr>
          <w:rFonts w:eastAsia="MS Gothic" w:cs="Times New Roman"/>
          <w:b/>
          <w:iCs/>
          <w:sz w:val="26"/>
        </w:rPr>
        <w:t>"appropriation by private entities is generally unjust"</w:t>
      </w:r>
      <w:r w:rsidRPr="002F4914">
        <w:rPr>
          <w:rFonts w:eastAsia="MS Gothic" w:cs="Times New Roman"/>
          <w:b/>
          <w:iCs/>
          <w:sz w:val="26"/>
        </w:rPr>
        <w:t xml:space="preserve"> doesn’t substantially change the meaning of the res</w:t>
      </w:r>
    </w:p>
    <w:p w14:paraId="12DB974C" w14:textId="77777777" w:rsidR="00C85791" w:rsidRPr="00A414BB" w:rsidRDefault="00C85791" w:rsidP="00C85791">
      <w:pPr>
        <w:pStyle w:val="Heading4"/>
        <w:rPr>
          <w:rFonts w:eastAsia="MS Gothic"/>
          <w:b w:val="0"/>
          <w:iCs/>
        </w:rPr>
      </w:pPr>
      <w:r w:rsidRPr="00A3579A">
        <w:rPr>
          <w:rFonts w:eastAsia="MS Gothic"/>
        </w:rPr>
        <w:lastRenderedPageBreak/>
        <w:t xml:space="preserve">B] Violation – they only defend </w:t>
      </w:r>
      <w:r w:rsidRPr="00D85B5C">
        <w:rPr>
          <w:rFonts w:eastAsia="MS Gothic"/>
          <w:color w:val="FF0000"/>
        </w:rPr>
        <w:t>[plan]</w:t>
      </w:r>
      <w:r w:rsidRPr="00A3579A">
        <w:rPr>
          <w:rFonts w:eastAsia="MS Gothic"/>
        </w:rPr>
        <w:t xml:space="preserve"> </w:t>
      </w:r>
      <w:r>
        <w:rPr>
          <w:rFonts w:eastAsia="MS Gothic"/>
        </w:rPr>
        <w:t xml:space="preserve">. We’ll insert a noncomprehensive list of some others -- </w:t>
      </w:r>
      <w:r w:rsidRPr="00D85B5C">
        <w:rPr>
          <w:rFonts w:eastAsia="MS Gothic"/>
        </w:rPr>
        <w:t>https://en.wikipedia.org/wiki/Private_spaceflight</w:t>
      </w:r>
    </w:p>
    <w:p w14:paraId="0D47FB3B" w14:textId="77777777" w:rsidR="00C85791" w:rsidRPr="003D0A38" w:rsidRDefault="00C85791" w:rsidP="00C85791"/>
    <w:p w14:paraId="1D7DB7E4" w14:textId="77777777" w:rsidR="00C85791" w:rsidRDefault="00C85791" w:rsidP="00C85791">
      <w:pPr>
        <w:pStyle w:val="Heading4"/>
      </w:pPr>
      <w:r>
        <w:t>C] Vote neg—</w:t>
      </w:r>
    </w:p>
    <w:p w14:paraId="7B0454CE" w14:textId="77777777" w:rsidR="00C85791" w:rsidRDefault="00C85791" w:rsidP="00C85791"/>
    <w:p w14:paraId="70365EC4" w14:textId="77777777" w:rsidR="00C85791" w:rsidRPr="00EF3EAD" w:rsidRDefault="00C85791" w:rsidP="00C85791">
      <w:pPr>
        <w:pStyle w:val="Heading4"/>
      </w:pPr>
      <w:r>
        <w:t>1] Semantics o</w:t>
      </w:r>
      <w:r w:rsidRPr="00242300">
        <w:rPr>
          <w:rFonts w:eastAsia="MS Gothic"/>
        </w:rPr>
        <w:t>utweigh</w:t>
      </w:r>
      <w:r>
        <w:rPr>
          <w:rFonts w:eastAsia="MS Gothic"/>
        </w:rPr>
        <w:t xml:space="preserve"> --</w:t>
      </w:r>
    </w:p>
    <w:p w14:paraId="70DE6FD3" w14:textId="77777777" w:rsidR="00C85791" w:rsidRPr="00EF3EAD" w:rsidRDefault="00C85791" w:rsidP="00C85791">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2074DDC7" w14:textId="77777777" w:rsidR="00C85791" w:rsidRDefault="00C85791" w:rsidP="00C85791">
      <w:pPr>
        <w:pStyle w:val="Heading4"/>
      </w:pPr>
      <w:r>
        <w:t>B]</w:t>
      </w:r>
      <w:r w:rsidRPr="00242300">
        <w:t xml:space="preserve"> It’s the only stasis point we know before the round so it controls the internal link to engagement, and there’s no way to use ground if debaters aren’t prepared to defend it.  </w:t>
      </w:r>
    </w:p>
    <w:p w14:paraId="3E6CD2F7" w14:textId="77777777" w:rsidR="00C85791" w:rsidRDefault="00C85791" w:rsidP="00C85791"/>
    <w:p w14:paraId="6FE625FE" w14:textId="77777777" w:rsidR="00C85791" w:rsidRDefault="00C85791" w:rsidP="00C85791">
      <w:pPr>
        <w:pStyle w:val="Heading4"/>
      </w:pPr>
      <w:r>
        <w:t>2] Limits:</w:t>
      </w:r>
    </w:p>
    <w:p w14:paraId="6B4C806D" w14:textId="77777777" w:rsidR="00C85791" w:rsidRPr="00A3579A" w:rsidRDefault="00C85791" w:rsidP="00C85791">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 xml:space="preserve">the topic is literally too big to count – every specific type of thing a private entity could do from asteroid mining to launching satellites </w:t>
      </w:r>
      <w:r w:rsidRPr="00A3579A">
        <w:rPr>
          <w:rFonts w:eastAsia="MS Gothic" w:cs="Times New Roman"/>
          <w:b/>
          <w:iCs/>
          <w:sz w:val="26"/>
        </w:rPr>
        <w:t>– unlimited topics incentivize obscure affs that negs won’t have prep on – limits are key to reciprocal prep burden</w:t>
      </w:r>
    </w:p>
    <w:p w14:paraId="70E7B8E0" w14:textId="77777777" w:rsidR="00C85791" w:rsidRPr="00A3579A" w:rsidRDefault="00C85791" w:rsidP="00C85791">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spec kills unified generics like the innovation DA </w:t>
      </w:r>
    </w:p>
    <w:p w14:paraId="04AC5D25" w14:textId="77777777" w:rsidR="00C85791" w:rsidRPr="00B333F4" w:rsidRDefault="00C85791" w:rsidP="00C85791"/>
    <w:p w14:paraId="637DF9FB" w14:textId="77777777" w:rsidR="00C85791" w:rsidRDefault="00C85791" w:rsidP="00C85791">
      <w:pPr>
        <w:pStyle w:val="Heading4"/>
      </w:pPr>
      <w:r>
        <w:t xml:space="preserve">D] Paradigm Issues – </w:t>
      </w:r>
    </w:p>
    <w:p w14:paraId="72EBEC18" w14:textId="77777777" w:rsidR="00C85791" w:rsidRPr="0016096A" w:rsidRDefault="00C85791" w:rsidP="00C85791"/>
    <w:p w14:paraId="5FCD53B8" w14:textId="77777777" w:rsidR="00C85791" w:rsidRDefault="00C85791" w:rsidP="00C85791">
      <w:pPr>
        <w:pStyle w:val="Heading4"/>
      </w:pPr>
      <w:r>
        <w:t xml:space="preserve">1] </w:t>
      </w:r>
      <w:r w:rsidRPr="00B333F4">
        <w:t xml:space="preserve">T is DTD </w:t>
      </w:r>
      <w:r>
        <w:t xml:space="preserve">– </w:t>
      </w:r>
      <w:r w:rsidRPr="00B333F4">
        <w:t xml:space="preserve">their abusive advocacy skewed the debate from the start </w:t>
      </w:r>
    </w:p>
    <w:p w14:paraId="6311B58C" w14:textId="77777777" w:rsidR="00C85791" w:rsidRPr="00EF3EAD" w:rsidRDefault="00C85791" w:rsidP="00C85791"/>
    <w:p w14:paraId="396EB7CB" w14:textId="77777777" w:rsidR="00C85791" w:rsidRDefault="00C85791" w:rsidP="00C85791">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678DAADB" w14:textId="77777777" w:rsidR="00C85791" w:rsidRPr="005423BB" w:rsidRDefault="00C85791" w:rsidP="00C85791"/>
    <w:p w14:paraId="40E071AB" w14:textId="77777777" w:rsidR="00C85791" w:rsidRDefault="00C85791" w:rsidP="00C85791">
      <w:pPr>
        <w:pStyle w:val="Heading4"/>
      </w:pPr>
      <w:r>
        <w:t>3] Use competing interps on T – A] topicality is a yes/no question, you can’t be reasonably topical B] reasonability invites arbitrary judge intervention and a race to the bottom of questionable argumentation</w:t>
      </w:r>
    </w:p>
    <w:p w14:paraId="7D758C5A" w14:textId="77777777" w:rsidR="00C85791" w:rsidRPr="00A66A76" w:rsidRDefault="00C85791" w:rsidP="00C85791"/>
    <w:p w14:paraId="219653BB" w14:textId="77777777" w:rsidR="00C85791" w:rsidRPr="00E82B36" w:rsidRDefault="00C85791" w:rsidP="00C85791">
      <w:pPr>
        <w:pStyle w:val="Heading4"/>
      </w:pPr>
      <w:r>
        <w:lastRenderedPageBreak/>
        <w:t xml:space="preserve">4] No RVIs – A] Forcing the 1NC to go all in on the shell kills substance education and neg strat B] discourages checking real abuse C] Encourages baiting – outweighs because if the shell is frivolous, they can beat it quickly </w:t>
      </w:r>
    </w:p>
    <w:p w14:paraId="1F16EA4D" w14:textId="77777777" w:rsidR="00C85791" w:rsidRDefault="00C85791" w:rsidP="00C85791"/>
    <w:p w14:paraId="4D275CBF" w14:textId="77777777" w:rsidR="00C85791" w:rsidRDefault="00C85791" w:rsidP="00C85791">
      <w:pPr>
        <w:pStyle w:val="Heading2"/>
      </w:pPr>
      <w:r>
        <w:lastRenderedPageBreak/>
        <w:t>2</w:t>
      </w:r>
    </w:p>
    <w:p w14:paraId="7A1DDDE1" w14:textId="77777777" w:rsidR="00C85791" w:rsidRDefault="00C85791" w:rsidP="00C85791">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66D6006A" w14:textId="77777777" w:rsidR="00C85791" w:rsidRPr="002B2717" w:rsidRDefault="00C85791" w:rsidP="00C85791">
      <w:r>
        <w:rPr>
          <w:rStyle w:val="Style13ptBold"/>
        </w:rPr>
        <w:t xml:space="preserve">Sjobert 12 </w:t>
      </w:r>
      <w:r w:rsidRPr="002B2717">
        <w:t>Sjoberg, Laura (2012). Gender, structure, and war: what Waltz couldn't see. International Theory, 4(1), 1–38. doi:10.1017/S175297191100025X</w:t>
      </w:r>
      <w:r>
        <w:t xml:space="preserve"> SM</w:t>
      </w:r>
    </w:p>
    <w:p w14:paraId="3ADAD021" w14:textId="77777777" w:rsidR="00C85791" w:rsidRPr="00165F9E" w:rsidRDefault="00C85791" w:rsidP="00C85791">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w:t>
      </w:r>
      <w:r w:rsidRPr="00165F9E">
        <w:rPr>
          <w:rStyle w:val="StyleUnderline"/>
        </w:rPr>
        <w:lastRenderedPageBreak/>
        <w:t xml:space="preserve">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 xml:space="preserve">or prudence cannot account for Belgium’s actions in 1914; in fact, </w:t>
      </w:r>
      <w:r w:rsidRPr="00165F9E">
        <w:rPr>
          <w:rStyle w:val="StyleUnderline"/>
        </w:rPr>
        <w:lastRenderedPageBreak/>
        <w:t>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lastRenderedPageBreak/>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776F51DC" w14:textId="77777777" w:rsidR="00C85791" w:rsidRDefault="00C85791" w:rsidP="00C85791">
      <w:pPr>
        <w:pStyle w:val="Heading4"/>
      </w:pPr>
      <w:r>
        <w:t xml:space="preserve">The aff’s drive to prevent extinction is a form of </w:t>
      </w:r>
      <w:r w:rsidRPr="00F703B7">
        <w:rPr>
          <w:u w:val="single"/>
        </w:rPr>
        <w:t>masculine survivalism</w:t>
      </w:r>
      <w:r>
        <w:t xml:space="preserve"> where gendered bodies become the unwilling tools to sustain humanity. You should refuse their obsession with patriarchal reproduction</w:t>
      </w:r>
    </w:p>
    <w:p w14:paraId="04A456E4" w14:textId="77777777" w:rsidR="00C85791" w:rsidRPr="00A924C4" w:rsidRDefault="00C85791" w:rsidP="00C85791">
      <w:pPr>
        <w:rPr>
          <w:rStyle w:val="Style13ptBold"/>
        </w:rPr>
      </w:pPr>
      <w:r>
        <w:rPr>
          <w:rStyle w:val="Style13ptBold"/>
        </w:rPr>
        <w:t>Mitchell 15</w:t>
      </w:r>
    </w:p>
    <w:p w14:paraId="2FA626F2" w14:textId="77777777" w:rsidR="00C85791" w:rsidRPr="00A924C4" w:rsidRDefault="00C85791" w:rsidP="00C85791">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515BE8">
          <w:rPr>
            <w:rStyle w:val="Style13ptBold"/>
            <w:sz w:val="20"/>
            <w:szCs w:val="20"/>
          </w:rPr>
          <w:t>https://worldlyir.wordpress.com/2015/08/03/gendering-extinction/</w:t>
        </w:r>
      </w:hyperlink>
      <w:r w:rsidRPr="00515BE8">
        <w:rPr>
          <w:rStyle w:val="Style13ptBold"/>
          <w:sz w:val="20"/>
          <w:szCs w:val="20"/>
        </w:rPr>
        <w:t>, JKS)</w:t>
      </w:r>
    </w:p>
    <w:p w14:paraId="1430DBA6" w14:textId="77777777" w:rsidR="00C85791" w:rsidRPr="004C5136" w:rsidRDefault="00C85791" w:rsidP="00C85791">
      <w:pPr>
        <w:rPr>
          <w:b/>
          <w:iCs/>
          <w:u w:val="single"/>
        </w:rPr>
      </w:pPr>
      <w:r w:rsidRPr="004C5136">
        <w:rPr>
          <w:rStyle w:val="Emphasis"/>
        </w:rPr>
        <w:t>The reproduction of survival/ the survival of reproduction</w:t>
      </w:r>
    </w:p>
    <w:p w14:paraId="31671897" w14:textId="77777777" w:rsidR="00C85791" w:rsidRDefault="00C85791" w:rsidP="00C85791">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and it actively mobilizes members of ‘endangered species’</w:t>
      </w:r>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reproductive labour</w:t>
      </w:r>
      <w:r w:rsidRPr="00CF4A26">
        <w:rPr>
          <w:sz w:val="16"/>
        </w:rPr>
        <w:t xml:space="preserve"> that are deeply entrenched in modern, Western human cultures. Attention to these programmes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w:t>
      </w:r>
      <w:r w:rsidRPr="00CF4A26">
        <w:rPr>
          <w:sz w:val="16"/>
        </w:rPr>
        <w:lastRenderedPageBreak/>
        <w:t xml:space="preserve">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5B2735EA" w14:textId="77777777" w:rsidR="00C85791" w:rsidRDefault="00C85791" w:rsidP="00C85791">
      <w:pPr>
        <w:rPr>
          <w:rStyle w:val="StyleUnderline"/>
        </w:rPr>
      </w:pPr>
    </w:p>
    <w:p w14:paraId="0A4C42C7" w14:textId="77777777" w:rsidR="00C85791" w:rsidRPr="00205FC6" w:rsidRDefault="00C85791" w:rsidP="00C85791">
      <w:pPr>
        <w:pStyle w:val="Heading4"/>
      </w:pPr>
      <w:r>
        <w:t xml:space="preserve">The impact is hypermasculine war-making- claims of objectivity are patently flawed because they are based in gendered decision-making </w:t>
      </w:r>
    </w:p>
    <w:p w14:paraId="2AAA8DEF" w14:textId="77777777" w:rsidR="00C85791" w:rsidRDefault="00C85791" w:rsidP="00C85791">
      <w:pPr>
        <w:rPr>
          <w:rStyle w:val="Style13ptBold"/>
        </w:rPr>
      </w:pPr>
      <w:r w:rsidRPr="00205FC6">
        <w:rPr>
          <w:rStyle w:val="Style13ptBold"/>
        </w:rPr>
        <w:t>Sjoberg 13</w:t>
      </w:r>
    </w:p>
    <w:p w14:paraId="6C13C1CB" w14:textId="77777777" w:rsidR="00C85791" w:rsidRDefault="00C85791" w:rsidP="00C85791">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4CFE7CE2" w14:textId="77777777" w:rsidR="00C85791" w:rsidRPr="00FF545F" w:rsidRDefault="00C85791" w:rsidP="00C85791">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w:t>
      </w:r>
      <w:r w:rsidRPr="00C65F71">
        <w:rPr>
          <w:sz w:val="12"/>
        </w:rPr>
        <w:lastRenderedPageBreak/>
        <w:t xml:space="preserve">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5A09D8EB" w14:textId="77777777" w:rsidR="00C85791" w:rsidRDefault="00C85791" w:rsidP="00C85791">
      <w:pPr>
        <w:rPr>
          <w:rStyle w:val="StyleUnderline"/>
        </w:rPr>
      </w:pPr>
    </w:p>
    <w:p w14:paraId="46D3A203" w14:textId="77777777" w:rsidR="00C85791" w:rsidRPr="004C5136" w:rsidRDefault="00C85791" w:rsidP="00C85791">
      <w:pPr>
        <w:rPr>
          <w:rStyle w:val="StyleUnderline"/>
        </w:rPr>
      </w:pPr>
    </w:p>
    <w:p w14:paraId="3FFB237C" w14:textId="77777777" w:rsidR="00C85791" w:rsidRPr="002A5117" w:rsidRDefault="00C85791" w:rsidP="00C85791">
      <w:pPr>
        <w:pStyle w:val="Heading4"/>
        <w:rPr>
          <w:rStyle w:val="Style13ptBold"/>
        </w:rPr>
      </w:pPr>
      <w:r w:rsidRPr="002A5117">
        <w:lastRenderedPageBreak/>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208D1016" w14:textId="77777777" w:rsidR="00C85791" w:rsidRPr="002A5117" w:rsidRDefault="00C85791" w:rsidP="00C85791">
      <w:pPr>
        <w:rPr>
          <w:rStyle w:val="Style13ptBold"/>
          <w:rFonts w:asciiTheme="majorHAnsi" w:hAnsiTheme="majorHAnsi"/>
        </w:rPr>
      </w:pPr>
      <w:r w:rsidRPr="002A5117">
        <w:rPr>
          <w:rStyle w:val="Style13ptBold"/>
          <w:rFonts w:asciiTheme="majorHAnsi" w:hAnsiTheme="majorHAnsi"/>
        </w:rPr>
        <w:t>Youngs 04</w:t>
      </w:r>
    </w:p>
    <w:p w14:paraId="5EAECCC5" w14:textId="77777777" w:rsidR="00C85791" w:rsidRPr="002A5117" w:rsidRDefault="00C85791" w:rsidP="00C85791">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72F284EB" w14:textId="77777777" w:rsidR="00C85791" w:rsidRDefault="00C85791" w:rsidP="00C85791">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w:t>
      </w:r>
      <w:r w:rsidRPr="00CF4A26">
        <w:rPr>
          <w:rFonts w:asciiTheme="majorHAnsi" w:hAnsiTheme="majorHAnsi"/>
          <w:sz w:val="16"/>
          <w:szCs w:val="22"/>
        </w:rPr>
        <w:lastRenderedPageBreak/>
        <w:t xml:space="preserve">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5CE22607" w14:textId="77777777" w:rsidR="00C85791" w:rsidRPr="00A255EE" w:rsidRDefault="00C85791" w:rsidP="00C85791">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6AD9C1B8" w14:textId="77777777" w:rsidR="00C85791" w:rsidRDefault="00C85791" w:rsidP="00C85791">
      <w:pPr>
        <w:rPr>
          <w:rStyle w:val="Style13ptBold"/>
        </w:rPr>
      </w:pPr>
      <w:r>
        <w:rPr>
          <w:rStyle w:val="Style13ptBold"/>
        </w:rPr>
        <w:t>Bacchi 16</w:t>
      </w:r>
    </w:p>
    <w:p w14:paraId="3EE98E41" w14:textId="77777777" w:rsidR="00C85791" w:rsidRPr="00B41485" w:rsidRDefault="00C85791" w:rsidP="00C85791">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2103285C" w14:textId="77777777" w:rsidR="00C85791" w:rsidRPr="00770EC2" w:rsidRDefault="00C85791" w:rsidP="00C85791">
      <w:pPr>
        <w:rPr>
          <w:rStyle w:val="StyleUnderline"/>
          <w:iCs/>
          <w:bdr w:val="single" w:sz="8" w:space="0" w:color="auto"/>
        </w:rPr>
      </w:pPr>
      <w:r w:rsidRPr="00BE2DF1">
        <w:rPr>
          <w:rStyle w:val="StyleUnderline"/>
        </w:rPr>
        <w:lastRenderedPageBreak/>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1130159C" w14:textId="77777777" w:rsidR="00C85791" w:rsidRDefault="00C85791" w:rsidP="00C85791"/>
    <w:p w14:paraId="7CB9C062" w14:textId="77777777" w:rsidR="00C85791" w:rsidRDefault="00C85791" w:rsidP="00C85791">
      <w:pPr>
        <w:pStyle w:val="Heading2"/>
      </w:pPr>
      <w:r>
        <w:lastRenderedPageBreak/>
        <w:t>3</w:t>
      </w:r>
    </w:p>
    <w:p w14:paraId="7D167113" w14:textId="77777777" w:rsidR="00C85791" w:rsidRPr="003173D8" w:rsidRDefault="00C85791" w:rsidP="00C85791">
      <w:pPr>
        <w:pStyle w:val="Heading4"/>
      </w:pPr>
      <w:bookmarkStart w:id="0" w:name="_Hlk93824672"/>
      <w:r w:rsidRPr="003173D8">
        <w:t xml:space="preserve">Space mining collapses African economy </w:t>
      </w:r>
    </w:p>
    <w:p w14:paraId="60FCE14F" w14:textId="77777777" w:rsidR="00C85791" w:rsidRPr="003173D8" w:rsidRDefault="00C85791" w:rsidP="00C85791">
      <w:r w:rsidRPr="003173D8">
        <w:rPr>
          <w:rStyle w:val="Style13ptBold"/>
        </w:rPr>
        <w:t>Oni 9-24</w:t>
      </w:r>
      <w:r w:rsidRPr="003173D8">
        <w:t>-19</w:t>
      </w:r>
    </w:p>
    <w:p w14:paraId="605C73D5" w14:textId="77777777" w:rsidR="00C85791" w:rsidRPr="003173D8" w:rsidRDefault="00C85791" w:rsidP="00C85791">
      <w:pPr>
        <w:rPr>
          <w:sz w:val="16"/>
        </w:rPr>
      </w:pPr>
      <w:r w:rsidRPr="003173D8">
        <w:rPr>
          <w:sz w:val="16"/>
        </w:rPr>
        <w:t>(David, https://africanews.space/the-effect-of-asteroid-mining-on-mining-activities-in-africa/)</w:t>
      </w:r>
    </w:p>
    <w:p w14:paraId="55D48DF1" w14:textId="77777777" w:rsidR="00C85791" w:rsidRPr="003173D8" w:rsidRDefault="00C85791" w:rsidP="00C85791">
      <w:pPr>
        <w:rPr>
          <w:sz w:val="16"/>
        </w:rPr>
      </w:pPr>
      <w:r w:rsidRPr="003173D8">
        <w:rPr>
          <w:sz w:val="16"/>
        </w:rPr>
        <w:t xml:space="preserve">At the moment, Asteroid mining poses no threat to terrestrial mining; however, this will not hold for long. </w:t>
      </w:r>
      <w:r w:rsidRPr="003173D8">
        <w:rPr>
          <w:rStyle w:val="StyleUnderline"/>
        </w:rPr>
        <w:t xml:space="preserve">The space </w:t>
      </w:r>
      <w:r w:rsidRPr="007C5A17">
        <w:rPr>
          <w:rStyle w:val="StyleUnderline"/>
          <w:highlight w:val="green"/>
        </w:rPr>
        <w:t>industr</w:t>
      </w:r>
      <w:r w:rsidRPr="007C5A17">
        <w:rPr>
          <w:sz w:val="16"/>
          <w:highlight w:val="green"/>
        </w:rPr>
        <w:t>y</w:t>
      </w:r>
      <w:r w:rsidRPr="003173D8">
        <w:rPr>
          <w:sz w:val="16"/>
        </w:rPr>
        <w:t xml:space="preserve"> is progressing at such a rapid pace, and the </w:t>
      </w:r>
      <w:r w:rsidRPr="007C5A17">
        <w:rPr>
          <w:rStyle w:val="Emphasis"/>
          <w:highlight w:val="green"/>
        </w:rPr>
        <w:t>prospects are</w:t>
      </w:r>
      <w:r w:rsidRPr="003173D8">
        <w:rPr>
          <w:rStyle w:val="Emphasis"/>
        </w:rPr>
        <w:t xml:space="preserve"> unequivocally </w:t>
      </w:r>
      <w:r w:rsidRPr="007C5A17">
        <w:rPr>
          <w:rStyle w:val="Emphasis"/>
          <w:highlight w:val="green"/>
        </w:rPr>
        <w:t>mouth-watering</w:t>
      </w:r>
      <w:r w:rsidRPr="007C5A17">
        <w:rPr>
          <w:sz w:val="16"/>
          <w:highlight w:val="green"/>
        </w:rPr>
        <w:t>.</w:t>
      </w:r>
      <w:r w:rsidRPr="003173D8">
        <w:rPr>
          <w:sz w:val="16"/>
        </w:rPr>
        <w:t xml:space="preserve"> The big question is, </w:t>
      </w:r>
      <w:r w:rsidRPr="003173D8">
        <w:rPr>
          <w:rStyle w:val="StyleUnderline"/>
        </w:rPr>
        <w:t xml:space="preserve">will </w:t>
      </w:r>
      <w:r w:rsidRPr="007C5A17">
        <w:rPr>
          <w:rStyle w:val="StyleUnderline"/>
          <w:highlight w:val="green"/>
        </w:rPr>
        <w:t>asteroid mining lure away investors</w:t>
      </w:r>
      <w:r w:rsidRPr="003173D8">
        <w:rPr>
          <w:rStyle w:val="StyleUnderline"/>
        </w:rPr>
        <w:t xml:space="preserve"> in Africa</w:t>
      </w:r>
      <w:r w:rsidRPr="003173D8">
        <w:rPr>
          <w:sz w:val="16"/>
        </w:rPr>
        <w:t xml:space="preserve">? The </w:t>
      </w:r>
      <w:r w:rsidRPr="003173D8">
        <w:rPr>
          <w:rStyle w:val="StyleUnderline"/>
        </w:rPr>
        <w:t>planetary resources</w:t>
      </w:r>
      <w:r w:rsidRPr="003173D8">
        <w:rPr>
          <w:sz w:val="16"/>
        </w:rPr>
        <w:t xml:space="preserve"> company </w:t>
      </w:r>
      <w:r w:rsidRPr="003173D8">
        <w:rPr>
          <w:rStyle w:val="StyleUnderline"/>
        </w:rPr>
        <w:t>estimates that a single 30-m asteroid may contain 30 billion dollars in platinum alone and a 500m rock could contain half the entire world resources of PGM</w:t>
      </w:r>
      <w:r w:rsidRPr="003173D8">
        <w:rPr>
          <w:sz w:val="16"/>
        </w:rPr>
        <w:t xml:space="preserve">. </w:t>
      </w:r>
      <w:r w:rsidRPr="003173D8">
        <w:rPr>
          <w:rStyle w:val="StyleUnderline"/>
        </w:rPr>
        <w:t>Considering the abundance</w:t>
      </w:r>
      <w:r w:rsidRPr="003173D8">
        <w:rPr>
          <w:sz w:val="16"/>
        </w:rPr>
        <w:t xml:space="preserve"> of minerals in asteroids, once asteroid mining materialises, </w:t>
      </w:r>
      <w:r w:rsidRPr="003173D8">
        <w:rPr>
          <w:rStyle w:val="Emphasis"/>
        </w:rPr>
        <w:t xml:space="preserve">it will </w:t>
      </w:r>
      <w:r w:rsidRPr="007C5A17">
        <w:rPr>
          <w:rStyle w:val="Emphasis"/>
          <w:highlight w:val="green"/>
        </w:rPr>
        <w:t>severely affect the precious metals market</w:t>
      </w:r>
      <w:r w:rsidRPr="003173D8">
        <w:rPr>
          <w:sz w:val="16"/>
        </w:rPr>
        <w:t xml:space="preserve">, </w:t>
      </w:r>
      <w:r w:rsidRPr="003173D8">
        <w:rPr>
          <w:rStyle w:val="StyleUnderline"/>
        </w:rPr>
        <w:t xml:space="preserve">usurp the prices of rare earth minerals, and a whole lot more because minerals that are usually somewhat scarce on earth will be easily accessible on asteroids. While </w:t>
      </w:r>
      <w:r w:rsidRPr="003173D8">
        <w:rPr>
          <w:rStyle w:val="Emphasis"/>
        </w:rPr>
        <w:t>foreign investors</w:t>
      </w:r>
      <w:r w:rsidRPr="003173D8">
        <w:rPr>
          <w:rStyle w:val="StyleUnderline"/>
        </w:rPr>
        <w:t xml:space="preserve"> run the majority of the large-scale mining activities in the region, reports say that many African </w:t>
      </w:r>
      <w:r w:rsidRPr="007C5A17">
        <w:rPr>
          <w:rStyle w:val="StyleUnderline"/>
          <w:highlight w:val="green"/>
        </w:rPr>
        <w:t xml:space="preserve">countries are </w:t>
      </w:r>
      <w:r w:rsidRPr="007C5A17">
        <w:rPr>
          <w:rStyle w:val="Emphasis"/>
          <w:highlight w:val="green"/>
        </w:rPr>
        <w:t>dangerously dependent on mining activities</w:t>
      </w:r>
      <w:r w:rsidRPr="003173D8">
        <w:rPr>
          <w:sz w:val="16"/>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6562F0A" w14:textId="77777777" w:rsidR="00C85791" w:rsidRPr="003173D8" w:rsidRDefault="00C85791" w:rsidP="00C85791">
      <w:pPr>
        <w:rPr>
          <w:sz w:val="16"/>
        </w:rPr>
      </w:pPr>
    </w:p>
    <w:p w14:paraId="43578054" w14:textId="77777777" w:rsidR="00C85791" w:rsidRPr="003173D8" w:rsidRDefault="00C85791" w:rsidP="00C85791">
      <w:pPr>
        <w:pStyle w:val="Heading4"/>
      </w:pPr>
      <w:r w:rsidRPr="003173D8">
        <w:t xml:space="preserve">African underdevelopment causes civil wars. </w:t>
      </w:r>
    </w:p>
    <w:p w14:paraId="0EE2ED5C" w14:textId="77777777" w:rsidR="00C85791" w:rsidRPr="003173D8" w:rsidRDefault="00C85791" w:rsidP="00C85791">
      <w:r w:rsidRPr="003173D8">
        <w:t xml:space="preserve"> Andreas Forø </w:t>
      </w:r>
      <w:r w:rsidRPr="003173D8">
        <w:rPr>
          <w:rStyle w:val="Style13ptBold"/>
        </w:rPr>
        <w:t>Tollefsen</w:t>
      </w:r>
      <w:r w:rsidRPr="003173D8">
        <w:t xml:space="preserve">, Peace Research Institute Oslo (PRIO) and Ph.D. in Human Geography from the University of Oslo, </w:t>
      </w:r>
      <w:r w:rsidRPr="003173D8">
        <w:rPr>
          <w:rStyle w:val="Style13ptBold"/>
        </w:rPr>
        <w:t>’17</w:t>
      </w:r>
      <w:r w:rsidRPr="003173D8">
        <w:t>, “Experienced poverty and local conflict violence," Conflict Management and Peace Science: 0738894217741618.</w:t>
      </w:r>
    </w:p>
    <w:p w14:paraId="32B8A9E8" w14:textId="77777777" w:rsidR="00C85791" w:rsidRPr="003173D8" w:rsidRDefault="00C85791" w:rsidP="00C85791">
      <w:pPr>
        <w:rPr>
          <w:rStyle w:val="StyleUnderline"/>
        </w:rPr>
      </w:pPr>
      <w:r w:rsidRPr="003173D8">
        <w:rPr>
          <w:rStyle w:val="StyleUnderline"/>
          <w:highlight w:val="green"/>
        </w:rPr>
        <w:t xml:space="preserve">Civil wars are </w:t>
      </w:r>
      <w:r w:rsidRPr="003173D8">
        <w:rPr>
          <w:rStyle w:val="Emphasis"/>
          <w:highlight w:val="green"/>
        </w:rPr>
        <w:t>more frequent than any other type of conflict</w:t>
      </w:r>
      <w:r w:rsidRPr="003173D8">
        <w:rPr>
          <w:rStyle w:val="StyleUnderline"/>
        </w:rPr>
        <w:t xml:space="preserve"> in the modern era, with </w:t>
      </w:r>
      <w:r w:rsidRPr="003173D8">
        <w:rPr>
          <w:rStyle w:val="StyleUnderline"/>
          <w:highlight w:val="green"/>
        </w:rPr>
        <w:t xml:space="preserve">the majority occurring in </w:t>
      </w:r>
      <w:r w:rsidRPr="003173D8">
        <w:rPr>
          <w:rStyle w:val="Emphasis"/>
          <w:highlight w:val="green"/>
        </w:rPr>
        <w:t>low-income countries</w:t>
      </w:r>
      <w:r w:rsidRPr="003173D8">
        <w:rPr>
          <w:rStyle w:val="StyleUnderline"/>
        </w:rPr>
        <w:t xml:space="preserve"> (Hegre and Sambanis, 2006; Jakobsen et al., 2013). While most country-level studies find that poverty and inadequate economic development increase the risk of conflict—a relationship that appears to be </w:t>
      </w:r>
      <w:r w:rsidRPr="003173D8">
        <w:rPr>
          <w:rStyle w:val="Emphasis"/>
        </w:rPr>
        <w:t>causal</w:t>
      </w:r>
      <w:r w:rsidRPr="003173D8">
        <w:rPr>
          <w:rStyle w:val="StyleUnderline"/>
        </w:rPr>
        <w:t xml:space="preserve"> (Braithwaite et al., 2016)—we lack consensus on the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715AE7B2" w14:textId="77777777" w:rsidR="00C85791" w:rsidRPr="003173D8" w:rsidRDefault="00C85791" w:rsidP="00C85791">
      <w:pPr>
        <w:rPr>
          <w:rStyle w:val="StyleUnderline"/>
        </w:rPr>
      </w:pPr>
      <w:r w:rsidRPr="003173D8">
        <w:rPr>
          <w:rStyle w:val="StyleUnderline"/>
        </w:rPr>
        <w:t>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47777D44" w14:textId="77777777" w:rsidR="00C85791" w:rsidRPr="003173D8" w:rsidRDefault="00C85791" w:rsidP="00C85791">
      <w:pPr>
        <w:rPr>
          <w:rStyle w:val="StyleUnderline"/>
        </w:rPr>
      </w:pPr>
      <w:r w:rsidRPr="003173D8">
        <w:rPr>
          <w:rStyle w:val="StyleUnderline"/>
        </w:rPr>
        <w:lastRenderedPageBreak/>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4E0D7F3B" w14:textId="77777777" w:rsidR="00C85791" w:rsidRPr="003173D8" w:rsidRDefault="00C85791" w:rsidP="00C85791">
      <w:pPr>
        <w:rPr>
          <w:rStyle w:val="StyleUnderline"/>
        </w:rPr>
      </w:pPr>
      <w:r w:rsidRPr="003173D8">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3173D8">
        <w:rPr>
          <w:rStyle w:val="Emphasis"/>
        </w:rPr>
        <w:t>data on individuals’ actual wellbeing</w:t>
      </w:r>
      <w:r w:rsidRPr="003173D8">
        <w:rPr>
          <w:rStyle w:val="StyleUnderline"/>
        </w:rPr>
        <w:t>—which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76D6D8FD" w14:textId="77777777" w:rsidR="00C85791" w:rsidRPr="003173D8" w:rsidRDefault="00C85791" w:rsidP="00C85791">
      <w:pPr>
        <w:rPr>
          <w:rStyle w:val="StyleUnderline"/>
        </w:rPr>
      </w:pPr>
      <w:r w:rsidRPr="003173D8">
        <w:rPr>
          <w:rStyle w:val="StyleUnderline"/>
          <w:highlight w:val="green"/>
        </w:rPr>
        <w:t>Poverty</w:t>
      </w:r>
      <w:r w:rsidRPr="003173D8">
        <w:rPr>
          <w:rStyle w:val="StyleUnderline"/>
        </w:rPr>
        <w:t xml:space="preserve">—a state in which individuals’ basic needs go unmet—has been shown to </w:t>
      </w:r>
      <w:r w:rsidRPr="003173D8">
        <w:rPr>
          <w:rStyle w:val="StyleUnderline"/>
          <w:highlight w:val="green"/>
        </w:rPr>
        <w:t>motivate people to join rebellions</w:t>
      </w:r>
      <w:r w:rsidRPr="003173D8">
        <w:rPr>
          <w:rStyle w:val="StyleUnderline"/>
        </w:rPr>
        <w:t>.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2B4F6AF5" w14:textId="77777777" w:rsidR="00C85791" w:rsidRPr="003173D8" w:rsidRDefault="00C85791" w:rsidP="00C85791">
      <w:pPr>
        <w:rPr>
          <w:rStyle w:val="StyleUnderline"/>
        </w:rPr>
      </w:pPr>
      <w:r w:rsidRPr="003173D8">
        <w:rPr>
          <w:rStyle w:val="StyleUnderline"/>
        </w:rPr>
        <w:t xml:space="preserve">For the present study, I developed a dataset by </w:t>
      </w:r>
      <w:r w:rsidRPr="003173D8">
        <w:t>aggregating survey responses from the pan-African Afrobarometer survey to subnational districts and combining the results with information on post-survey violent conflicts</w:t>
      </w:r>
      <w:r w:rsidRPr="003173D8">
        <w:rPr>
          <w:rStyle w:val="StyleUnderline"/>
        </w:rPr>
        <w:t xml:space="preserve">. </w:t>
      </w:r>
      <w:r w:rsidRPr="003173D8">
        <w:rPr>
          <w:rStyle w:val="StyleUnderline"/>
          <w:highlight w:val="green"/>
        </w:rPr>
        <w:t xml:space="preserve">The dataset consists of 4008 </w:t>
      </w:r>
      <w:r w:rsidRPr="003173D8">
        <w:rPr>
          <w:rStyle w:val="StyleUnderline"/>
        </w:rPr>
        <w:t xml:space="preserve">subnational </w:t>
      </w:r>
      <w:r w:rsidRPr="003173D8">
        <w:rPr>
          <w:rStyle w:val="StyleUnderline"/>
          <w:highlight w:val="green"/>
        </w:rPr>
        <w:t>districts, spanning 35 African countries</w:t>
      </w:r>
      <w:r w:rsidRPr="003173D8">
        <w:rPr>
          <w:rStyle w:val="StyleUnderline"/>
        </w:rPr>
        <w:t xml:space="preserve">. As most districts were only assessed once, thus restricting study of within-unit variation, </w:t>
      </w:r>
      <w:r w:rsidRPr="003173D8">
        <w:rPr>
          <w:rStyle w:val="StyleUnderline"/>
          <w:highlight w:val="green"/>
        </w:rPr>
        <w:t>survey responses were</w:t>
      </w:r>
      <w:r w:rsidRPr="003173D8">
        <w:rPr>
          <w:rStyle w:val="StyleUnderline"/>
        </w:rPr>
        <w:t xml:space="preserve"> also </w:t>
      </w:r>
      <w:r w:rsidRPr="003173D8">
        <w:rPr>
          <w:rStyle w:val="StyleUnderline"/>
          <w:highlight w:val="green"/>
        </w:rPr>
        <w:t>aggregated</w:t>
      </w:r>
      <w:r w:rsidRPr="003173D8">
        <w:rPr>
          <w:rStyle w:val="StyleUnderline"/>
        </w:rPr>
        <w:t xml:space="preserve"> to higher-order subnational regions, </w:t>
      </w:r>
      <w:r w:rsidRPr="003173D8">
        <w:rPr>
          <w:rStyle w:val="StyleUnderline"/>
          <w:highlight w:val="green"/>
        </w:rPr>
        <w:t xml:space="preserve">resulting in a dataset of </w:t>
      </w:r>
      <w:r w:rsidRPr="003173D8">
        <w:rPr>
          <w:rStyle w:val="Emphasis"/>
          <w:highlight w:val="green"/>
        </w:rPr>
        <w:t>111 regions</w:t>
      </w:r>
      <w:r w:rsidRPr="003173D8">
        <w:rPr>
          <w:rStyle w:val="StyleUnderline"/>
        </w:rPr>
        <w:t xml:space="preserve"> that were </w:t>
      </w:r>
      <w:r w:rsidRPr="003173D8">
        <w:rPr>
          <w:rStyle w:val="StyleUnderline"/>
          <w:highlight w:val="green"/>
        </w:rPr>
        <w:t xml:space="preserve">surveyed </w:t>
      </w:r>
      <w:r w:rsidRPr="003173D8">
        <w:rPr>
          <w:rStyle w:val="Emphasis"/>
          <w:highlight w:val="green"/>
        </w:rPr>
        <w:t>at least twice</w:t>
      </w:r>
      <w:r w:rsidRPr="003173D8">
        <w:rPr>
          <w:rStyle w:val="StyleUnderline"/>
        </w:rPr>
        <w:t>; this permitted a region-level fixed-effects model design.</w:t>
      </w:r>
    </w:p>
    <w:p w14:paraId="20C6F506" w14:textId="77777777" w:rsidR="00C85791" w:rsidRPr="003173D8" w:rsidRDefault="00C85791" w:rsidP="00C85791">
      <w:pPr>
        <w:rPr>
          <w:rStyle w:val="StyleUnderline"/>
        </w:rPr>
      </w:pPr>
      <w:r w:rsidRPr="003173D8">
        <w:rPr>
          <w:rStyle w:val="StyleUnderline"/>
        </w:rPr>
        <w:t xml:space="preserve">Using a pooled cross-sectional dataset of districts, I found that </w:t>
      </w:r>
      <w:r w:rsidRPr="003173D8">
        <w:rPr>
          <w:rStyle w:val="StyleUnderline"/>
          <w:highlight w:val="green"/>
        </w:rPr>
        <w:t>high levels of poverty were</w:t>
      </w:r>
      <w:r w:rsidRPr="003173D8">
        <w:rPr>
          <w:rStyle w:val="StyleUnderline"/>
        </w:rPr>
        <w:t xml:space="preserve"> </w:t>
      </w:r>
      <w:r w:rsidRPr="003173D8">
        <w:rPr>
          <w:rStyle w:val="StyleUnderline"/>
          <w:highlight w:val="green"/>
        </w:rPr>
        <w:t xml:space="preserve">linked to </w:t>
      </w:r>
      <w:r w:rsidRPr="003173D8">
        <w:rPr>
          <w:rStyle w:val="Emphasis"/>
          <w:highlight w:val="green"/>
        </w:rPr>
        <w:t>increases in local conflict</w:t>
      </w:r>
      <w:r w:rsidRPr="003173D8">
        <w:rPr>
          <w:rStyle w:val="Emphasis"/>
        </w:rPr>
        <w:t>-based violence</w:t>
      </w:r>
      <w:r w:rsidRPr="003173D8">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BB2AD9E" w14:textId="77777777" w:rsidR="00C85791" w:rsidRPr="003173D8" w:rsidRDefault="00C85791" w:rsidP="00C85791">
      <w:pPr>
        <w:rPr>
          <w:rStyle w:val="StyleUnderline"/>
        </w:rPr>
      </w:pPr>
      <w:r w:rsidRPr="003173D8">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w:t>
      </w:r>
      <w:r w:rsidRPr="003173D8">
        <w:rPr>
          <w:rStyle w:val="StyleUnderline"/>
        </w:rPr>
        <w:lastRenderedPageBreak/>
        <w:t>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60BB2FFB" w14:textId="77777777" w:rsidR="00C85791" w:rsidRPr="003173D8" w:rsidRDefault="00C85791" w:rsidP="00C85791">
      <w:pPr>
        <w:rPr>
          <w:rStyle w:val="StyleUnderline"/>
        </w:rPr>
      </w:pPr>
      <w:r w:rsidRPr="003173D8">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082CA91F" w14:textId="77777777" w:rsidR="00C85791" w:rsidRPr="003173D8" w:rsidRDefault="00C85791" w:rsidP="00C85791">
      <w:pPr>
        <w:rPr>
          <w:rStyle w:val="StyleUnderline"/>
        </w:rPr>
      </w:pPr>
      <w:r w:rsidRPr="003173D8">
        <w:rPr>
          <w:rStyle w:val="StyleUnderline"/>
        </w:rPr>
        <w:t>Poverty and conflict</w:t>
      </w:r>
    </w:p>
    <w:p w14:paraId="3460C42F" w14:textId="77777777" w:rsidR="00C85791" w:rsidRPr="003173D8" w:rsidRDefault="00C85791" w:rsidP="00C85791">
      <w:pPr>
        <w:rPr>
          <w:rStyle w:val="StyleUnderline"/>
        </w:rPr>
      </w:pPr>
      <w:r w:rsidRPr="003173D8">
        <w:rPr>
          <w:rStyle w:val="StyleUnderline"/>
        </w:rPr>
        <w:t>A direct link</w:t>
      </w:r>
    </w:p>
    <w:p w14:paraId="7F530235" w14:textId="77777777" w:rsidR="00C85791" w:rsidRPr="003173D8" w:rsidRDefault="00C85791" w:rsidP="00C85791">
      <w:pPr>
        <w:rPr>
          <w:rStyle w:val="StyleUnderline"/>
        </w:rPr>
      </w:pPr>
      <w:r w:rsidRPr="003173D8">
        <w:rPr>
          <w:rStyle w:val="StyleUnderline"/>
          <w:highlight w:val="green"/>
        </w:rPr>
        <w:t>A connection between low income</w:t>
      </w:r>
      <w:r w:rsidRPr="003173D8">
        <w:rPr>
          <w:rStyle w:val="StyleUnderline"/>
        </w:rPr>
        <w:t xml:space="preserve"> and </w:t>
      </w:r>
      <w:r w:rsidRPr="003173D8">
        <w:rPr>
          <w:rStyle w:val="StyleUnderline"/>
          <w:highlight w:val="green"/>
        </w:rPr>
        <w:t xml:space="preserve">risk of conflict is among the </w:t>
      </w:r>
      <w:r w:rsidRPr="003173D8">
        <w:rPr>
          <w:rStyle w:val="Emphasis"/>
          <w:highlight w:val="green"/>
        </w:rPr>
        <w:t>most robust findings</w:t>
      </w:r>
      <w:r w:rsidRPr="003173D8">
        <w:rPr>
          <w:rStyle w:val="StyleUnderline"/>
          <w:highlight w:val="green"/>
        </w:rPr>
        <w:t xml:space="preserve"> in the literature on civil wars</w:t>
      </w:r>
      <w:r w:rsidRPr="003173D8">
        <w:rPr>
          <w:rStyle w:val="StyleUnderline"/>
        </w:rPr>
        <w:t xml:space="preserve">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bookmarkEnd w:id="0"/>
    <w:p w14:paraId="2E88A1DE" w14:textId="77777777" w:rsidR="00C85791" w:rsidRPr="00D26AC6" w:rsidRDefault="00C85791" w:rsidP="00C85791"/>
    <w:p w14:paraId="4AB689CE" w14:textId="77777777" w:rsidR="00C85791" w:rsidRPr="00F601E6" w:rsidRDefault="00C85791" w:rsidP="00C85791"/>
    <w:p w14:paraId="57D17A9A" w14:textId="77777777" w:rsidR="00C85791" w:rsidRDefault="00C85791" w:rsidP="00C85791">
      <w:pPr>
        <w:pStyle w:val="Heading2"/>
      </w:pPr>
      <w:r>
        <w:lastRenderedPageBreak/>
        <w:t>case</w:t>
      </w:r>
    </w:p>
    <w:p w14:paraId="1A594CD3" w14:textId="77777777" w:rsidR="00C85791" w:rsidRDefault="00C85791" w:rsidP="00C85791">
      <w:pPr>
        <w:pStyle w:val="Heading3"/>
      </w:pPr>
      <w:bookmarkStart w:id="1" w:name="_Hlk19115147"/>
      <w:r>
        <w:lastRenderedPageBreak/>
        <w:t xml:space="preserve">1NC – AT: Debris Advantage </w:t>
      </w:r>
    </w:p>
    <w:p w14:paraId="6EE4FD30" w14:textId="77777777" w:rsidR="00C85791" w:rsidRDefault="00C85791" w:rsidP="00C85791">
      <w:pPr>
        <w:pStyle w:val="Heading4"/>
        <w:numPr>
          <w:ilvl w:val="0"/>
          <w:numId w:val="12"/>
        </w:numPr>
        <w:tabs>
          <w:tab w:val="num" w:pos="360"/>
        </w:tabs>
        <w:ind w:left="360"/>
      </w:pPr>
      <w:r>
        <w:t xml:space="preserve">Probability – 0.1% chance of a collision. </w:t>
      </w:r>
    </w:p>
    <w:p w14:paraId="61D1FFAA" w14:textId="77777777" w:rsidR="00C85791" w:rsidRPr="001279EC" w:rsidRDefault="00C85791" w:rsidP="00C85791">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504A05E2" w14:textId="77777777" w:rsidR="00C85791" w:rsidRDefault="00C85791" w:rsidP="00C85791">
      <w:r w:rsidRPr="00D04EA7">
        <w:rPr>
          <w:rStyle w:val="StyleUnderline"/>
          <w:highlight w:val="yellow"/>
        </w:rPr>
        <w:t>The probability of a collision is</w:t>
      </w:r>
      <w:r>
        <w:t xml:space="preserve"> currently </w:t>
      </w:r>
      <w:r w:rsidRPr="00D04EA7">
        <w:rPr>
          <w:rStyle w:val="Emphasis"/>
          <w:highlight w:val="yellow"/>
        </w:rPr>
        <w:t>low</w:t>
      </w:r>
      <w:r w:rsidRPr="00D04EA7">
        <w:rPr>
          <w:highlight w:val="yellow"/>
        </w:rPr>
        <w:t>.</w:t>
      </w:r>
      <w:r>
        <w:t xml:space="preserve"> Bradley and Wein estimate that </w:t>
      </w:r>
      <w:r w:rsidRPr="00D04EA7">
        <w:rPr>
          <w:rStyle w:val="StyleUnderline"/>
          <w:highlight w:val="yellow"/>
        </w:rPr>
        <w:t>the</w:t>
      </w:r>
      <w:r w:rsidRPr="00D04EA7">
        <w:rPr>
          <w:highlight w:val="yellow"/>
        </w:rPr>
        <w:t xml:space="preserve"> </w:t>
      </w:r>
      <w:r w:rsidRPr="00D04EA7">
        <w:rPr>
          <w:rStyle w:val="Emphasis"/>
          <w:highlight w:val="yellow"/>
        </w:rPr>
        <w:t>maximum probability</w:t>
      </w:r>
      <w:r>
        <w:t xml:space="preserve"> in LEO </w:t>
      </w:r>
      <w:r w:rsidRPr="00D04EA7">
        <w:rPr>
          <w:rStyle w:val="StyleUnderline"/>
          <w:highlight w:val="yellow"/>
        </w:rPr>
        <w:t xml:space="preserve">of a collision over the lifetime of a spacecraft remains </w:t>
      </w:r>
      <w:r w:rsidRPr="00D04EA7">
        <w:rPr>
          <w:rStyle w:val="Emphasis"/>
          <w:highlight w:val="yellow"/>
        </w:rPr>
        <w:t>below one in one thousand</w:t>
      </w:r>
      <w: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2D082DF" w14:textId="77777777" w:rsidR="00C85791" w:rsidRDefault="00C85791" w:rsidP="00C85791">
      <w:pPr>
        <w:pStyle w:val="Heading4"/>
        <w:numPr>
          <w:ilvl w:val="0"/>
          <w:numId w:val="12"/>
        </w:numPr>
        <w:tabs>
          <w:tab w:val="num" w:pos="360"/>
        </w:tabs>
        <w:ind w:left="360"/>
      </w:pPr>
      <w:r>
        <w:t xml:space="preserve">Time frame – Kessler effect 200 years away. </w:t>
      </w:r>
    </w:p>
    <w:p w14:paraId="543981B2" w14:textId="77777777" w:rsidR="00C85791" w:rsidRDefault="00C85791" w:rsidP="00C85791">
      <w:bookmarkStart w:id="2" w:name="_Hlk17893366"/>
      <w:r>
        <w:t xml:space="preserve">Peter </w:t>
      </w:r>
      <w:r w:rsidRPr="00C85DEB">
        <w:rPr>
          <w:rStyle w:val="Style13ptBold"/>
        </w:rPr>
        <w:t>Stubbe</w:t>
      </w:r>
      <w:r>
        <w:t xml:space="preserve">, PhD in law @ Johann Wolfgang Goethe University Frankfurt, </w:t>
      </w:r>
      <w:r w:rsidRPr="00C85DEB">
        <w:rPr>
          <w:rStyle w:val="Style13ptBold"/>
        </w:rPr>
        <w:t>’17</w:t>
      </w:r>
      <w:r>
        <w:t>, State Accountability for Space Debris: A Legal Study of Responsibility for Polluting the Space Environment and Liability for Damage Caused by Space Debris, Koninklijke Brill Publishing, ISBN 978-90-04-31407-8, p. 27-31</w:t>
      </w:r>
    </w:p>
    <w:bookmarkEnd w:id="2"/>
    <w:p w14:paraId="3D317DF4" w14:textId="77777777" w:rsidR="00C85791" w:rsidRDefault="00C85791" w:rsidP="00C85791">
      <w: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B1F82">
        <w:rPr>
          <w:rStyle w:val="StyleUnderline"/>
          <w:highlight w:val="yellow"/>
        </w:rPr>
        <w:t>the so-called Kessler effect’</w:t>
      </w:r>
      <w: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EB9CFE2" w14:textId="77777777" w:rsidR="00C85791" w:rsidRDefault="00C85791" w:rsidP="00C85791">
      <w:pPr>
        <w:ind w:left="720"/>
      </w:pPr>
      <w:r>
        <w:t xml:space="preserve">Even with a 90% implementation of the commonly-adopted mitigation measures [...] </w:t>
      </w:r>
      <w:r w:rsidRPr="00962282">
        <w:rPr>
          <w:rStyle w:val="StyleUnderline"/>
        </w:rPr>
        <w:t xml:space="preserve">the </w:t>
      </w:r>
      <w:r w:rsidRPr="002647E8">
        <w:rPr>
          <w:rStyle w:val="StyleUnderline"/>
          <w:highlight w:val="yellow"/>
        </w:rPr>
        <w:t>l e o debris population</w:t>
      </w:r>
      <w:r w:rsidRPr="00962282">
        <w:rPr>
          <w:rStyle w:val="StyleUnderline"/>
        </w:rPr>
        <w:t xml:space="preserve"> is expected to </w:t>
      </w:r>
      <w:r w:rsidRPr="002647E8">
        <w:rPr>
          <w:rStyle w:val="StyleUnderline"/>
          <w:highlight w:val="yellow"/>
        </w:rPr>
        <w:t xml:space="preserve">increase by an average of </w:t>
      </w:r>
      <w:r w:rsidRPr="002647E8">
        <w:rPr>
          <w:rStyle w:val="Emphasis"/>
          <w:highlight w:val="yellow"/>
        </w:rPr>
        <w:t xml:space="preserve">30% in the next 200 </w:t>
      </w:r>
      <w:r w:rsidRPr="002647E8">
        <w:rPr>
          <w:rStyle w:val="Emphasis"/>
          <w:highlight w:val="yellow"/>
        </w:rPr>
        <w:lastRenderedPageBreak/>
        <w:t>years</w:t>
      </w:r>
      <w:r w:rsidRPr="00962282">
        <w:rPr>
          <w:rStyle w:val="Emphasis"/>
        </w:rPr>
        <w:t>.</w:t>
      </w:r>
      <w:r>
        <w:t xml:space="preserve"> </w:t>
      </w:r>
      <w:r w:rsidRPr="00962282">
        <w:rPr>
          <w:rStyle w:val="StyleUnderline"/>
        </w:rPr>
        <w:t>The population growth is primarily driven by catastrophic collisions between 700 and 1000 km altitudes</w:t>
      </w:r>
      <w:r>
        <w:t xml:space="preserve"> and such collisions are likely to occur every 5 to 9 years.89</w:t>
      </w:r>
    </w:p>
    <w:p w14:paraId="2968ED91" w14:textId="77777777" w:rsidR="00C85791" w:rsidRDefault="00C85791" w:rsidP="00C85791">
      <w:pPr>
        <w:pStyle w:val="Heading4"/>
        <w:numPr>
          <w:ilvl w:val="0"/>
          <w:numId w:val="12"/>
        </w:numPr>
        <w:tabs>
          <w:tab w:val="num" w:pos="360"/>
        </w:tabs>
        <w:ind w:left="360"/>
      </w:pPr>
      <w:r>
        <w:t>Status quo solves – mitigation and remediation compliance growing.</w:t>
      </w:r>
    </w:p>
    <w:p w14:paraId="396E8CB2" w14:textId="77777777" w:rsidR="00C85791" w:rsidRDefault="00C85791" w:rsidP="00C85791">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Trisolini, PhD, </w:t>
      </w:r>
      <w:r w:rsidRPr="002F4E72">
        <w:t>Postdoctoral researcher at the Politecnico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61186B45" w14:textId="77777777" w:rsidR="00C85791" w:rsidRDefault="00C85791" w:rsidP="00C85791">
      <w:pPr>
        <w:rPr>
          <w:rStyle w:val="StyleUnderline"/>
        </w:rPr>
      </w:pPr>
      <w:r w:rsidRPr="00F512A0">
        <w:rPr>
          <w:sz w:val="16"/>
        </w:rPr>
        <w:t xml:space="preserve">5.4 MITIGATION MEASURES The space debris problem is nowadays internationally recognized,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he e.Deorbit mission will target an ESA-owned derelict satellite in low orbit</w:t>
      </w:r>
      <w:r w:rsidRPr="00F512A0">
        <w:rPr>
          <w:sz w:val="16"/>
        </w:rPr>
        <w:t xml:space="preserve">, capture it with a net or robotic arm technology, and reenter with a controlled atmospheric reentry (Biesbroek et al. 2014). Acknowledging the fact that the projected growth in the number of satellites orbiting the Earth will increase in the future, </w:t>
      </w:r>
      <w:r w:rsidRPr="00F512A0">
        <w:rPr>
          <w:rStyle w:val="StyleUnderline"/>
          <w:highlight w:val="yellow"/>
        </w:rPr>
        <w:t>space agencies and international organizations have been discussing</w:t>
      </w:r>
      <w:r w:rsidRPr="00946817">
        <w:rPr>
          <w:rStyle w:val="StyleUnderline"/>
        </w:rPr>
        <w:t xml:space="preserve"> and building a set of </w:t>
      </w:r>
      <w:r w:rsidRPr="00F512A0">
        <w:rPr>
          <w:rStyle w:val="StyleUnderline"/>
          <w:highlight w:val="yellow"/>
        </w:rPr>
        <w:t>guidelines to ensure</w:t>
      </w:r>
      <w:r w:rsidRPr="00946817">
        <w:rPr>
          <w:rStyle w:val="StyleUnderline"/>
        </w:rPr>
        <w:t xml:space="preserve"> the </w:t>
      </w:r>
      <w:r w:rsidRPr="00F512A0">
        <w:rPr>
          <w:rStyle w:val="StyleUnderline"/>
          <w:highlight w:val="yellow"/>
        </w:rPr>
        <w:t xml:space="preserve">sustainability of </w:t>
      </w:r>
      <w:r w:rsidRPr="009865C6">
        <w:rPr>
          <w:rStyle w:val="StyleUnderline"/>
        </w:rPr>
        <w:t>future</w:t>
      </w:r>
      <w:r w:rsidRPr="00946817">
        <w:rPr>
          <w:rStyle w:val="StyleUnderline"/>
        </w:rPr>
        <w:t xml:space="preserve"> </w:t>
      </w:r>
      <w:r w:rsidRPr="00F512A0">
        <w:rPr>
          <w:rStyle w:val="StyleUnderline"/>
          <w:highlight w:val="yellow"/>
        </w:rPr>
        <w:t>space activities</w:t>
      </w:r>
      <w:r w:rsidRPr="00F512A0">
        <w:rPr>
          <w:sz w:val="16"/>
          <w:highlight w:val="yellow"/>
        </w:rPr>
        <w:t>.</w:t>
      </w:r>
      <w:r w:rsidRPr="00F512A0">
        <w:rPr>
          <w:sz w:val="16"/>
        </w:rPr>
        <w:t xml:space="preserve"> </w:t>
      </w:r>
      <w:r w:rsidRPr="00F512A0">
        <w:rPr>
          <w:rStyle w:val="StyleUnderline"/>
          <w:highlight w:val="yellow"/>
        </w:rPr>
        <w:t>The</w:t>
      </w:r>
      <w:r w:rsidRPr="00F512A0">
        <w:rPr>
          <w:sz w:val="16"/>
        </w:rPr>
        <w:t xml:space="preserve"> InterAgency Debris Coordination Committee (IADC) was founded in 1993 by ESA (Europe), NASA (</w:t>
      </w:r>
      <w:r w:rsidRPr="00F512A0">
        <w:rPr>
          <w:rStyle w:val="StyleUnderline"/>
          <w:highlight w:val="yellow"/>
        </w:rPr>
        <w:t>the U</w:t>
      </w:r>
      <w:r w:rsidRPr="00946817">
        <w:rPr>
          <w:rStyle w:val="StyleUnderline"/>
        </w:rPr>
        <w:t xml:space="preserve">nited </w:t>
      </w:r>
      <w:r w:rsidRPr="00F512A0">
        <w:rPr>
          <w:rStyle w:val="StyleUnderline"/>
          <w:highlight w:val="yellow"/>
        </w:rPr>
        <w:t>S</w:t>
      </w:r>
      <w:r w:rsidRPr="00946817">
        <w:rPr>
          <w:rStyle w:val="StyleUnderline"/>
        </w:rPr>
        <w:t>tates</w:t>
      </w:r>
      <w:r w:rsidRPr="00F512A0">
        <w:rPr>
          <w:sz w:val="16"/>
        </w:rPr>
        <w:t xml:space="preserve">), the Japan Aerospace Exploration Agency (JAXA, </w:t>
      </w:r>
      <w:r w:rsidRPr="00F512A0">
        <w:rPr>
          <w:rStyle w:val="StyleUnderline"/>
          <w:highlight w:val="yellow"/>
        </w:rPr>
        <w:t>Japan</w:t>
      </w:r>
      <w:r w:rsidRPr="00F512A0">
        <w:rPr>
          <w:sz w:val="16"/>
        </w:rPr>
        <w:t xml:space="preserve">), and the Roscosmos </w:t>
      </w:r>
      <w:r w:rsidRPr="00F512A0">
        <w:rPr>
          <w:rStyle w:val="StyleUnderline"/>
          <w:highlight w:val="yellow"/>
        </w:rPr>
        <w:t>Russia</w:t>
      </w:r>
      <w:r w:rsidRPr="00F512A0">
        <w:rPr>
          <w:sz w:val="16"/>
        </w:rPr>
        <w:t xml:space="preserve">n Federation. As of January 2017, the IADC also includes the Italian Space Agency (ASI, </w:t>
      </w:r>
      <w:r w:rsidRPr="00F512A0">
        <w:rPr>
          <w:rStyle w:val="StyleUnderline"/>
          <w:highlight w:val="yellow"/>
        </w:rPr>
        <w:t>Italy</w:t>
      </w:r>
      <w:r w:rsidRPr="00F512A0">
        <w:rPr>
          <w:sz w:val="16"/>
        </w:rPr>
        <w:t xml:space="preserve">), the Centre National d'Études Spatiales (CNES, </w:t>
      </w:r>
      <w:r w:rsidRPr="00946817">
        <w:rPr>
          <w:rStyle w:val="StyleUnderline"/>
        </w:rPr>
        <w:t>France</w:t>
      </w:r>
      <w:r w:rsidRPr="00F512A0">
        <w:rPr>
          <w:sz w:val="16"/>
        </w:rPr>
        <w:t xml:space="preserve">), the China National Space Administration (CNSA, </w:t>
      </w:r>
      <w:r w:rsidRPr="00F512A0">
        <w:rPr>
          <w:rStyle w:val="StyleUnderline"/>
          <w:highlight w:val="yellow"/>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Organisation (ISRO, </w:t>
      </w:r>
      <w:r w:rsidRPr="00F512A0">
        <w:rPr>
          <w:rStyle w:val="StyleUnderline"/>
          <w:highlight w:val="yellow"/>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F512A0">
        <w:rPr>
          <w:rStyle w:val="StyleUnderline"/>
          <w:highlight w:val="yellow"/>
        </w:rPr>
        <w:t>U</w:t>
      </w:r>
      <w:r w:rsidRPr="00946817">
        <w:rPr>
          <w:rStyle w:val="StyleUnderline"/>
        </w:rPr>
        <w:t xml:space="preserve">nited </w:t>
      </w:r>
      <w:r w:rsidRPr="00F512A0">
        <w:rPr>
          <w:rStyle w:val="StyleUnderline"/>
          <w:highlight w:val="yellow"/>
        </w:rPr>
        <w:t>K</w:t>
      </w:r>
      <w:r w:rsidRPr="00946817">
        <w:rPr>
          <w:rStyle w:val="StyleUnderline"/>
        </w:rPr>
        <w:t>ingdom</w:t>
      </w:r>
      <w:r w:rsidRPr="00F512A0">
        <w:rPr>
          <w:sz w:val="16"/>
        </w:rPr>
        <w:t xml:space="preserve">). This international cooperation </w:t>
      </w:r>
      <w:r w:rsidRPr="00F512A0">
        <w:rPr>
          <w:rStyle w:val="StyleUnderline"/>
          <w:highlight w:val="yellow"/>
        </w:rPr>
        <w:t>decided</w:t>
      </w:r>
      <w:r w:rsidRPr="00946817">
        <w:rPr>
          <w:rStyle w:val="StyleUnderline"/>
        </w:rPr>
        <w:t xml:space="preserve"> a set of </w:t>
      </w:r>
      <w:r w:rsidRPr="00F512A0">
        <w:rPr>
          <w:rStyle w:val="StyleUnderline"/>
          <w:highlight w:val="yellow"/>
        </w:rPr>
        <w:t>space debris mitigation measure</w:t>
      </w:r>
      <w:r w:rsidRPr="00946817">
        <w:rPr>
          <w:rStyle w:val="StyleUnderline"/>
        </w:rPr>
        <w:t xml:space="preserve">s </w:t>
      </w:r>
      <w:r w:rsidRPr="00F512A0">
        <w:rPr>
          <w:sz w:val="16"/>
        </w:rPr>
        <w:t xml:space="preserve">(Inter-Agency Space Debris Coordination Commitee, 2002), </w:t>
      </w:r>
      <w:r w:rsidRPr="00F512A0">
        <w:rPr>
          <w:rStyle w:val="StyleUnderline"/>
          <w:highlight w:val="yellow"/>
        </w:rPr>
        <w:t>which</w:t>
      </w:r>
      <w:r w:rsidRPr="00946817">
        <w:rPr>
          <w:rStyle w:val="StyleUnderline"/>
        </w:rPr>
        <w:t xml:space="preserve"> </w:t>
      </w:r>
      <w:r w:rsidRPr="00F512A0">
        <w:rPr>
          <w:rStyle w:val="StyleUnderline"/>
          <w:highlight w:val="yellow"/>
        </w:rPr>
        <w:t>include</w:t>
      </w:r>
      <w:r w:rsidRPr="00946817">
        <w:rPr>
          <w:rStyle w:val="StyleUnderline"/>
        </w:rPr>
        <w:t>s</w:t>
      </w:r>
      <w:r w:rsidRPr="00F512A0">
        <w:rPr>
          <w:sz w:val="16"/>
        </w:rPr>
        <w:t xml:space="preserve">: 1. </w:t>
      </w:r>
      <w:r w:rsidRPr="00F512A0">
        <w:rPr>
          <w:rStyle w:val="StyleUnderline"/>
          <w:highlight w:val="yellow"/>
        </w:rPr>
        <w:t>Limitation of debris released during</w:t>
      </w:r>
      <w:r w:rsidRPr="00946817">
        <w:rPr>
          <w:rStyle w:val="StyleUnderline"/>
        </w:rPr>
        <w:t xml:space="preserve"> </w:t>
      </w:r>
      <w:r w:rsidRPr="00F512A0">
        <w:rPr>
          <w:rStyle w:val="StyleUnderline"/>
          <w:highlight w:val="yellow"/>
        </w:rPr>
        <w:t>normal operations</w:t>
      </w:r>
      <w:r w:rsidRPr="00F512A0">
        <w:rPr>
          <w:sz w:val="16"/>
        </w:rPr>
        <w:t xml:space="preserve">. 2. </w:t>
      </w:r>
      <w:r w:rsidRPr="00F512A0">
        <w:rPr>
          <w:rStyle w:val="StyleUnderline"/>
          <w:highlight w:val="yellow"/>
        </w:rPr>
        <w:t>Minimization of</w:t>
      </w:r>
      <w:r w:rsidRPr="00946817">
        <w:rPr>
          <w:rStyle w:val="StyleUnderline"/>
        </w:rPr>
        <w:t xml:space="preserve"> the potential for on-orbit </w:t>
      </w:r>
      <w:r w:rsidRPr="00F512A0">
        <w:rPr>
          <w:rStyle w:val="StyleUnderline"/>
          <w:highlight w:val="yellow"/>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F512A0">
        <w:rPr>
          <w:rStyle w:val="StyleUnderline"/>
          <w:highlight w:val="yellow"/>
        </w:rPr>
        <w:t>Post Mission Disposal</w:t>
      </w:r>
      <w:r w:rsidRPr="00F512A0">
        <w:rPr>
          <w:sz w:val="16"/>
        </w:rPr>
        <w:t xml:space="preserve"> in particular in geosynchronous regions and for objects passing through the LEO region. 4. </w:t>
      </w:r>
      <w:r w:rsidRPr="00F512A0">
        <w:rPr>
          <w:rStyle w:val="StyleUnderline"/>
          <w:highlight w:val="yellow"/>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F512A0">
        <w:rPr>
          <w:rStyle w:val="StyleUnderline"/>
          <w:highlight w:val="yellow"/>
        </w:rPr>
        <w:t xml:space="preserve">A “25-year </w:t>
      </w:r>
      <w:r w:rsidRPr="00F512A0">
        <w:rPr>
          <w:rStyle w:val="StyleUnderline"/>
          <w:highlight w:val="yellow"/>
        </w:rPr>
        <w:lastRenderedPageBreak/>
        <w:t>rule” was defined to limit</w:t>
      </w:r>
      <w:r w:rsidRPr="00946817">
        <w:rPr>
          <w:rStyle w:val="StyleUnderline"/>
        </w:rPr>
        <w:t xml:space="preserve"> the </w:t>
      </w:r>
      <w:r w:rsidRPr="00F512A0">
        <w:rPr>
          <w:rStyle w:val="StyleUnderline"/>
          <w:highlight w:val="yellow"/>
        </w:rPr>
        <w:t>presence of satellites</w:t>
      </w:r>
      <w:r w:rsidRPr="00946817">
        <w:rPr>
          <w:rStyle w:val="StyleUnderline"/>
        </w:rPr>
        <w:t xml:space="preserve"> in the LEO region to no more than 25 years after their decommissioning</w:t>
      </w:r>
      <w:r w:rsidRPr="00F512A0">
        <w:rPr>
          <w:sz w:val="16"/>
        </w:rPr>
        <w:t xml:space="preserve">. The 25-year limit was selected </w:t>
      </w:r>
      <w:r w:rsidRPr="00946817">
        <w:rPr>
          <w:rStyle w:val="StyleUnderline"/>
        </w:rPr>
        <w:t>to ensure that a reasonable reduction in lifetime could be achieved without greatly affecting satellite resources</w:t>
      </w:r>
      <w:r w:rsidRPr="00F512A0">
        <w:rPr>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Commitee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area-tomass ratio around 0.012 m?/kg)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946817">
        <w:rPr>
          <w:rStyle w:val="StyleUnderline"/>
        </w:rPr>
        <w:t>end-of-life measures can be distinguished in</w:t>
      </w:r>
      <w:r w:rsidRPr="00F512A0">
        <w:rPr>
          <w:sz w:val="16"/>
        </w:rPr>
        <w:t xml:space="preserve">: (1) </w:t>
      </w:r>
      <w:r w:rsidRPr="00946817">
        <w:rPr>
          <w:rStyle w:val="StyleUnderline"/>
        </w:rPr>
        <w:t>Disposal</w:t>
      </w:r>
      <w:r w:rsidRPr="00F512A0">
        <w:rPr>
          <w:sz w:val="16"/>
        </w:rPr>
        <w:t xml:space="preserve">, (2) </w:t>
      </w:r>
      <w:r w:rsidRPr="00946817">
        <w:rPr>
          <w:rStyle w:val="StyleUnderline"/>
        </w:rPr>
        <w:t>passivation</w:t>
      </w:r>
      <w:r w:rsidRPr="00F512A0">
        <w:rPr>
          <w:sz w:val="16"/>
        </w:rPr>
        <w:t xml:space="preserve">, </w:t>
      </w:r>
      <w:r w:rsidRPr="00946817">
        <w:rPr>
          <w:rStyle w:val="StyleUnderline"/>
        </w:rPr>
        <w:t>and</w:t>
      </w:r>
      <w:r w:rsidRPr="00F512A0">
        <w:rPr>
          <w:sz w:val="16"/>
        </w:rPr>
        <w:t xml:space="preserve"> (3) </w:t>
      </w:r>
      <w:r w:rsidRPr="00946817">
        <w:rPr>
          <w:rStyle w:val="StyleUnderline"/>
        </w:rPr>
        <w:t>reentry</w:t>
      </w:r>
      <w:r w:rsidRPr="00F512A0">
        <w:rPr>
          <w:sz w:val="16"/>
        </w:rPr>
        <w:t xml:space="preserve">. </w:t>
      </w:r>
      <w:r w:rsidRPr="00946817">
        <w:rPr>
          <w:rStyle w:val="StyleUnderline"/>
        </w:rPr>
        <w:t>Required measures for disposal currently cover spacecraft in LEO and GEO through a series of Operational Requirements</w:t>
      </w:r>
      <w:r w:rsidRPr="00F512A0">
        <w:rPr>
          <w:sz w:val="16"/>
        </w:rPr>
        <w:t xml:space="preserve"> (OR) (ESA 2008): "OR-01. </w:t>
      </w:r>
      <w:r w:rsidRPr="00945174">
        <w:rPr>
          <w:rStyle w:val="StyleUnderline"/>
        </w:rPr>
        <w:t>Space systems operating in the LEO protected region shall be disposed of by reentry into the Earth's atmosphere within 25 years</w:t>
      </w:r>
      <w:r w:rsidRPr="00F512A0">
        <w:rPr>
          <w:sz w:val="16"/>
        </w:rPr>
        <w:t xml:space="preserve"> after the end of the operational phase." "OR-02. </w:t>
      </w:r>
      <w:r w:rsidRPr="00945174">
        <w:rPr>
          <w:rStyle w:val="StyleUnderline"/>
        </w:rPr>
        <w:t>Space systems operating in the GEO protected region shall be disposed of by permanently removing them from the GEO protected region</w:t>
      </w:r>
      <w:r w:rsidRPr="00F512A0">
        <w:rPr>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sidRPr="00945174">
        <w:rPr>
          <w:rStyle w:val="StyleUnderline"/>
        </w:rPr>
        <w:t>Where</w:t>
      </w:r>
      <w:r w:rsidRPr="00F512A0">
        <w:rPr>
          <w:sz w:val="16"/>
        </w:rPr>
        <w:t xml:space="preserve"> practicable and economically </w:t>
      </w:r>
      <w:r w:rsidRPr="00945174">
        <w:rPr>
          <w:rStyle w:val="StyleUnderline"/>
        </w:rPr>
        <w:t>feasible, space systems outside the LEO and GEO protected regions shall implement means of end-of-life orbit disposal</w:t>
      </w:r>
      <w:r w:rsidRPr="00F512A0">
        <w:rPr>
          <w:sz w:val="16"/>
        </w:rPr>
        <w:t xml:space="preserve"> to avoid long-term interference with operational orbit regions, such as the Galileo orbit." OR-04. </w:t>
      </w:r>
      <w:r w:rsidRPr="00945174">
        <w:rPr>
          <w:rStyle w:val="StyleUnderline"/>
        </w:rPr>
        <w:t>Launcher stages shall also perform end-of-life disposal maneuvers</w:t>
      </w:r>
      <w:r w:rsidRPr="00F512A0">
        <w:rPr>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orbit. OR-05. </w:t>
      </w:r>
      <w:r w:rsidRPr="00945174">
        <w:rPr>
          <w:rStyle w:val="StyleUnderline"/>
        </w:rPr>
        <w:t>Passivation of the system</w:t>
      </w:r>
      <w:r w:rsidRPr="00F512A0">
        <w:rPr>
          <w:sz w:val="16"/>
        </w:rPr>
        <w:t xml:space="preserve"> (spacecraft or launcher stage) </w:t>
      </w:r>
      <w:r w:rsidRPr="00945174">
        <w:rPr>
          <w:rStyle w:val="StyleUnderline"/>
        </w:rPr>
        <w:t>has to be completed within 2 months of the end of mission</w:t>
      </w:r>
      <w:r w:rsidRPr="00F512A0">
        <w:rPr>
          <w:sz w:val="16"/>
        </w:rPr>
        <w:t xml:space="preserve">. End-of-life measures for reentry include: 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F512A0">
        <w:rPr>
          <w:rStyle w:val="StyleUnderline"/>
          <w:highlight w:val="yellow"/>
        </w:rPr>
        <w:t>Between 2006 and 2015, the</w:t>
      </w:r>
      <w:r w:rsidRPr="00FE31F7">
        <w:rPr>
          <w:rStyle w:val="StyleUnderline"/>
        </w:rPr>
        <w:t xml:space="preserve"> rate of </w:t>
      </w:r>
      <w:r w:rsidRPr="00F512A0">
        <w:rPr>
          <w:rStyle w:val="StyleUnderline"/>
          <w:highlight w:val="yellow"/>
        </w:rPr>
        <w:t>compliance of LEO missions</w:t>
      </w:r>
      <w:r w:rsidRPr="00F512A0">
        <w:rPr>
          <w:sz w:val="16"/>
        </w:rPr>
        <w:t xml:space="preserve"> (including naturally compliant missions and satellites performing end-of-life maneuvers) </w:t>
      </w:r>
      <w:r w:rsidRPr="00F512A0">
        <w:rPr>
          <w:rStyle w:val="StyleUnderline"/>
          <w:highlight w:val="yellow"/>
        </w:rPr>
        <w:t>was 53.</w:t>
      </w:r>
      <w:r w:rsidRPr="00FE31F7">
        <w:rPr>
          <w:rStyle w:val="StyleUnderline"/>
        </w:rPr>
        <w:t>3</w:t>
      </w:r>
      <w:r w:rsidRPr="00F512A0">
        <w:rPr>
          <w:rStyle w:val="StyleUnderline"/>
          <w:highlight w:val="yellow"/>
        </w:rPr>
        <w:t>%</w:t>
      </w:r>
    </w:p>
    <w:p w14:paraId="00D81168" w14:textId="77777777" w:rsidR="00C85791" w:rsidRDefault="00C85791" w:rsidP="00C85791">
      <w:pPr>
        <w:rPr>
          <w:rStyle w:val="StyleUnderline"/>
        </w:rPr>
      </w:pPr>
    </w:p>
    <w:p w14:paraId="7C20865D" w14:textId="77777777" w:rsidR="00C85791" w:rsidRDefault="00C85791" w:rsidP="00C85791">
      <w:pPr>
        <w:rPr>
          <w:rStyle w:val="StyleUnderline"/>
        </w:rPr>
      </w:pPr>
    </w:p>
    <w:p w14:paraId="06CF97D9" w14:textId="77777777" w:rsidR="00C85791" w:rsidRDefault="00C85791" w:rsidP="00C85791">
      <w:pPr>
        <w:rPr>
          <w:rStyle w:val="StyleUnderline"/>
        </w:rPr>
      </w:pPr>
    </w:p>
    <w:p w14:paraId="65011ACC" w14:textId="77777777" w:rsidR="00C85791" w:rsidRPr="00F512A0" w:rsidRDefault="00C85791" w:rsidP="00C85791">
      <w:pPr>
        <w:rPr>
          <w:sz w:val="16"/>
        </w:rPr>
      </w:pPr>
      <w:r w:rsidRPr="00FE31F7">
        <w:rPr>
          <w:rStyle w:val="StyleUnderline"/>
        </w:rPr>
        <w:t xml:space="preserve"> for the payloads</w:t>
      </w:r>
      <w:r w:rsidRPr="00F512A0">
        <w:rPr>
          <w:sz w:val="16"/>
        </w:rPr>
        <w:t xml:space="preserve"> (corresponding to 60.3% of the payload mass), </w:t>
      </w:r>
      <w:r w:rsidRPr="00FE31F7">
        <w:rPr>
          <w:rStyle w:val="StyleUnderline"/>
        </w:rPr>
        <w:t>reaching end of life</w:t>
      </w:r>
      <w:r w:rsidRPr="00F512A0">
        <w:rPr>
          <w:sz w:val="16"/>
        </w:rPr>
        <w:t xml:space="preserve"> in the LEO protected region (Frey and Lemmens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F512A0">
        <w:rPr>
          <w:rStyle w:val="StyleUnderline"/>
          <w:highlight w:val="yellow"/>
        </w:rPr>
        <w:t>Between 2007 and 2016, 71.6% of</w:t>
      </w:r>
      <w:r w:rsidRPr="00FE31F7">
        <w:rPr>
          <w:rStyle w:val="StyleUnderline"/>
        </w:rPr>
        <w:t xml:space="preserve"> the rocket bodies reaching end of life in the LEO protected region </w:t>
      </w:r>
      <w:r w:rsidRPr="00F512A0">
        <w:rPr>
          <w:rStyle w:val="StyleUnderline"/>
          <w:highlight w:val="yellow"/>
        </w:rPr>
        <w:t>was compliant</w:t>
      </w:r>
      <w:r w:rsidRPr="00F512A0">
        <w:rPr>
          <w:sz w:val="16"/>
        </w:rPr>
        <w:t xml:space="preserve">, and this fraction has remained virtually </w:t>
      </w:r>
      <w:r w:rsidRPr="00F512A0">
        <w:rPr>
          <w:sz w:val="16"/>
        </w:rPr>
        <w:lastRenderedPageBreak/>
        <w:t xml:space="preserve">unchanged for 8 years in a row despite an increase in end-of-life maneuver activity. 5.4.2 Passive End-of-Life Disposal In order to meet the mitigation guidelines LEO satellites at the end of their life would use the remaining propellant to perform either a perigeelowering maneuver (to decrease the orbit perigee well inside the Earth's atmosphere to guarantee a reentry within 25 years) or a direct reentry. Spacecraft in GEO are instead currently re-orbited to quasi circular orbits outside the GEO protected ring, with a perigee line aligned with the SunEarth direction (where possible) in order to bind the long-term oscillations in the eccentricity caused by solar radiation pressure. Recently, </w:t>
      </w:r>
      <w:r w:rsidRPr="00FE31F7">
        <w:rPr>
          <w:rStyle w:val="StyleUnderline"/>
        </w:rPr>
        <w:t xml:space="preserve">ESA funded projects on the design of disposal trajectories for medium Earth orbits </w:t>
      </w:r>
      <w:r w:rsidRPr="00F512A0">
        <w:rPr>
          <w:sz w:val="16"/>
        </w:rPr>
        <w:t xml:space="preserve">(MEO) (Alessi et al. 2014; Rossi et al. 2015), </w:t>
      </w:r>
      <w:r w:rsidRPr="00FE31F7">
        <w:rPr>
          <w:rStyle w:val="StyleUnderline"/>
        </w:rPr>
        <w:t>highly elliptical orbits</w:t>
      </w:r>
      <w:r w:rsidRPr="00F512A0">
        <w:rPr>
          <w:sz w:val="16"/>
        </w:rPr>
        <w:t xml:space="preserve"> (HEO), </w:t>
      </w:r>
      <w:r w:rsidRPr="00FE31F7">
        <w:rPr>
          <w:rStyle w:val="StyleUnderline"/>
        </w:rPr>
        <w:t>and libration Earth orbits</w:t>
      </w:r>
      <w:r w:rsidRPr="00F512A0">
        <w:rPr>
          <w:sz w:val="16"/>
        </w:rPr>
        <w:t xml:space="preserve"> (LPO) (Armellin et al. 2014; Colombo et al. 2014; Colombo et al. 2015). </w:t>
      </w:r>
      <w:r w:rsidRPr="006A15B2">
        <w:rPr>
          <w:rStyle w:val="StyleUnderline"/>
        </w:rPr>
        <w:t>These have demonstrated the possibility of exploiting natural orbit perturbations for designing passive mitigation strategies for debris disposal</w:t>
      </w:r>
      <w:r w:rsidRPr="00F512A0">
        <w:rPr>
          <w:sz w:val="16"/>
        </w:rPr>
        <w:t xml:space="preserve">. </w:t>
      </w:r>
      <w:r w:rsidRPr="006A15B2">
        <w:rPr>
          <w:rStyle w:val="StyleUnderline"/>
        </w:rPr>
        <w:t>Disposal strategies</w:t>
      </w:r>
      <w:r w:rsidRPr="00F512A0">
        <w:rPr>
          <w:sz w:val="16"/>
        </w:rPr>
        <w:t xml:space="preserve"> enhancing the effects of orbit perturbations </w:t>
      </w:r>
      <w:r w:rsidRPr="006A15B2">
        <w:rPr>
          <w:rStyle w:val="StyleUnderline"/>
        </w:rPr>
        <w:t>have been further analyzed</w:t>
      </w:r>
      <w:r w:rsidRPr="00F512A0">
        <w:rPr>
          <w:sz w:val="16"/>
        </w:rPr>
        <w:t xml:space="preserve"> in LEO (Alessi et al. 2017), in MEO (Rosengren et al. 2015; Alessi et al. 2016; Armellin and San-Juan; Daquin et al. 2016; Gkolias et al. 2016), in GEO (Colombo and Gkolias 2017), and in HEO (Colombo et al. 2014; Armellin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(Lücking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F512A0">
        <w:rPr>
          <w:rStyle w:val="StyleUnderline"/>
          <w:highlight w:val="yellow"/>
        </w:rPr>
        <w:t>the INTEGRAL mission designed by ESA,</w:t>
      </w:r>
      <w:r w:rsidRPr="006A15B2">
        <w:rPr>
          <w:rStyle w:val="StyleUnderline"/>
        </w:rPr>
        <w:t xml:space="preserve"> the </w:t>
      </w:r>
      <w:r w:rsidRPr="00F512A0">
        <w:rPr>
          <w:rStyle w:val="StyleUnderline"/>
          <w:highlight w:val="yellow"/>
        </w:rPr>
        <w:t>U</w:t>
      </w:r>
      <w:r w:rsidRPr="009865C6">
        <w:rPr>
          <w:rStyle w:val="StyleUnderline"/>
        </w:rPr>
        <w:t xml:space="preserve">nited </w:t>
      </w:r>
      <w:r w:rsidRPr="00F512A0">
        <w:rPr>
          <w:rStyle w:val="StyleUnderline"/>
          <w:highlight w:val="yellow"/>
        </w:rPr>
        <w:t>S</w:t>
      </w:r>
      <w:r w:rsidRPr="009865C6">
        <w:rPr>
          <w:rStyle w:val="StyleUnderline"/>
        </w:rPr>
        <w:t xml:space="preserve">tates, </w:t>
      </w:r>
      <w:r w:rsidRPr="00F512A0">
        <w:rPr>
          <w:rStyle w:val="StyleUnderline"/>
          <w:highlight w:val="yellow"/>
        </w:rPr>
        <w:t xml:space="preserve">Russia, </w:t>
      </w:r>
      <w:r w:rsidRPr="009865C6">
        <w:rPr>
          <w:rStyle w:val="StyleUnderline"/>
        </w:rPr>
        <w:t xml:space="preserve">the Czech Republic, </w:t>
      </w:r>
      <w:r w:rsidRPr="00F512A0">
        <w:rPr>
          <w:rStyle w:val="StyleUnderline"/>
          <w:highlight w:val="yellow"/>
        </w:rPr>
        <w:t>and Poland</w:t>
      </w:r>
      <w:r w:rsidRPr="00F512A0">
        <w:rPr>
          <w:sz w:val="16"/>
          <w:highlight w:val="yellow"/>
        </w:rPr>
        <w:t xml:space="preserve">. </w:t>
      </w:r>
      <w:r w:rsidRPr="00F512A0">
        <w:rPr>
          <w:sz w:val="16"/>
        </w:rPr>
        <w:t xml:space="preserve">The INTErnational Gamma-Ray Astrophysics Laboratory, launched in 2002, gathered some of the most energetic radiation from space (Eismont et al. 2003). A reentry of this spacecraft with a pure impulsive maneuver would have not been possible due to the limited amount of propellant left onboard. In an ESA-funded study, the </w:t>
      </w:r>
      <w:r w:rsidRPr="006A15B2">
        <w:rPr>
          <w:rStyle w:val="StyleUnderline"/>
        </w:rPr>
        <w:t>end-of-life disposal</w:t>
      </w:r>
      <w:r w:rsidRPr="00F512A0">
        <w:rPr>
          <w:sz w:val="16"/>
        </w:rPr>
        <w:t xml:space="preserve"> of INTEGRAL mission--expected to end in 2016-was designed with a time window for disposal between January 1, 2013 and January 1, 2029.</w:t>
      </w:r>
      <w:r w:rsidRPr="006A15B2">
        <w:rPr>
          <w:rStyle w:val="StyleUnderline"/>
        </w:rPr>
        <w:t xml:space="preserve"> Reentry solutions</w:t>
      </w:r>
      <w:r w:rsidRPr="00F512A0">
        <w:rPr>
          <w:sz w:val="16"/>
        </w:rPr>
        <w:t xml:space="preserve"> with a delta-velocity requirement below 40-50 m/s </w:t>
      </w:r>
      <w:r w:rsidRPr="006A15B2">
        <w:rPr>
          <w:rStyle w:val="StyleUnderline"/>
        </w:rPr>
        <w:t>were found</w:t>
      </w:r>
      <w:r w:rsidRPr="00F512A0">
        <w:rPr>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decrease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semicontrolled.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bookmarkEnd w:id="1"/>
    <w:p w14:paraId="1CBE567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7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79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859606"/>
  <w14:defaultImageDpi w14:val="300"/>
  <w15:docId w15:val="{533D8BC5-0DDF-8942-840F-A9205D96C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57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57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57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57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C857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57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791"/>
  </w:style>
  <w:style w:type="character" w:customStyle="1" w:styleId="Heading1Char">
    <w:name w:val="Heading 1 Char"/>
    <w:aliases w:val="Pocket Char"/>
    <w:basedOn w:val="DefaultParagraphFont"/>
    <w:link w:val="Heading1"/>
    <w:uiPriority w:val="9"/>
    <w:rsid w:val="00C857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57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579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C8579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C85791"/>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C85791"/>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20"/>
    <w:qFormat/>
    <w:rsid w:val="00C857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5791"/>
    <w:rPr>
      <w:color w:val="auto"/>
      <w:u w:val="none"/>
    </w:rPr>
  </w:style>
  <w:style w:type="character" w:styleId="Hyperlink">
    <w:name w:val="Hyperlink"/>
    <w:basedOn w:val="DefaultParagraphFont"/>
    <w:uiPriority w:val="99"/>
    <w:semiHidden/>
    <w:unhideWhenUsed/>
    <w:rsid w:val="00C85791"/>
    <w:rPr>
      <w:color w:val="auto"/>
      <w:u w:val="none"/>
    </w:rPr>
  </w:style>
  <w:style w:type="paragraph" w:styleId="DocumentMap">
    <w:name w:val="Document Map"/>
    <w:basedOn w:val="Normal"/>
    <w:link w:val="DocumentMapChar"/>
    <w:uiPriority w:val="99"/>
    <w:semiHidden/>
    <w:unhideWhenUsed/>
    <w:rsid w:val="00C857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579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85791"/>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C85791"/>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11975</Words>
  <Characters>68263</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2022-01-24T04:05:00Z</dcterms:created>
  <dcterms:modified xsi:type="dcterms:W3CDTF">2022-01-24T04:07:00Z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