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2E364" w14:textId="77777777" w:rsidR="008B51E7" w:rsidRPr="004B521B" w:rsidRDefault="008B51E7" w:rsidP="008B51E7">
      <w:pPr>
        <w:pStyle w:val="Heading2"/>
        <w:rPr>
          <w:u w:val="single"/>
        </w:rPr>
      </w:pPr>
      <w:r w:rsidRPr="004B521B">
        <w:rPr>
          <w:u w:val="single"/>
        </w:rPr>
        <w:t>T</w:t>
      </w:r>
    </w:p>
    <w:p w14:paraId="05EA17BF" w14:textId="77777777" w:rsidR="008B51E7" w:rsidRPr="003F3133" w:rsidRDefault="008B51E7" w:rsidP="008B51E7">
      <w:pPr>
        <w:keepNext/>
        <w:keepLines/>
        <w:spacing w:before="40"/>
        <w:outlineLvl w:val="3"/>
        <w:rPr>
          <w:rFonts w:eastAsiaTheme="majorEastAsia"/>
          <w:b/>
          <w:iCs/>
          <w:sz w:val="26"/>
        </w:rPr>
      </w:pPr>
      <w:r w:rsidRPr="003F3133">
        <w:rPr>
          <w:rFonts w:eastAsiaTheme="majorEastAsia"/>
          <w:b/>
          <w:iCs/>
          <w:sz w:val="26"/>
        </w:rPr>
        <w:t>Interpretation: Affirmatives must reduce intellectual property protections for medicines unconditionally and permanently.</w:t>
      </w:r>
    </w:p>
    <w:p w14:paraId="009DB882" w14:textId="77777777" w:rsidR="008B51E7" w:rsidRPr="003F3133" w:rsidRDefault="008B51E7" w:rsidP="008B51E7">
      <w:pPr>
        <w:rPr>
          <w:sz w:val="16"/>
        </w:rPr>
      </w:pPr>
      <w:r w:rsidRPr="003F3133">
        <w:rPr>
          <w:b/>
          <w:u w:val="single"/>
        </w:rPr>
        <w:t>Reynolds 59</w:t>
      </w:r>
      <w:r w:rsidRPr="003F3133">
        <w:rPr>
          <w:sz w:val="16"/>
        </w:rPr>
        <w:t>: Judge (In the Matter of Doris A. Montesani, Petitioner, v. Arthur Levitt, as Comptroller of the State of New York, et al., Respondents [NO NUMBER IN ORIGINAL] Supreme Court of New York, Appellate Division, Third Department 9 A.D.2d 51; 189 N.Y.S.2d 695; 1959 N.Y. App. Div. LEXIS 7391 August 13, 1959, lexis)</w:t>
      </w:r>
    </w:p>
    <w:p w14:paraId="3DBBF698" w14:textId="77777777" w:rsidR="008B51E7" w:rsidRPr="003F3133" w:rsidRDefault="008B51E7" w:rsidP="008B51E7">
      <w:pPr>
        <w:rPr>
          <w:u w:val="single"/>
        </w:rPr>
      </w:pPr>
      <w:r w:rsidRPr="003F3133">
        <w:rPr>
          <w:color w:val="000000"/>
          <w:sz w:val="16"/>
        </w:rPr>
        <w:t>Section 83</w:t>
      </w:r>
      <w:r w:rsidRPr="003F3133">
        <w:rPr>
          <w:sz w:val="16"/>
        </w:rPr>
        <w:t xml:space="preserve">'s counterpart with regard to nondisability pensioners, section 84, prescribes a reduction only if the pensioner should again take a public job. The disability pensioner is penalized if he takes any type of employment. The reason for the difference, of course, is that in one case the only reason pension benefits are available is because the pensioner is considered incapable of gainful employment, while in the other he has fully completed his "tour" and is considered as having earned his reward with almost no strings attached. It would be manifestly unfair to the ordinary retiree to accord the disability retiree the benefits of the System to which they both belong when the latter is otherwise capable of earning a living and had not fulfilled his service obligation. If it were to be held that withholdings under </w:t>
      </w:r>
      <w:r w:rsidRPr="003F3133">
        <w:rPr>
          <w:color w:val="000000"/>
          <w:sz w:val="16"/>
        </w:rPr>
        <w:t>section 83</w:t>
      </w:r>
      <w:r w:rsidRPr="003F3133">
        <w:rPr>
          <w:sz w:val="16"/>
        </w:rPr>
        <w:t xml:space="preserve"> were payable whenever the pensioner died or stopped his other employment the whole purpose of the provision would be defeated, i.e., the System might just as well have continued payments during the other employment since it must later pay it anyway. </w:t>
      </w:r>
      <w:bookmarkStart w:id="0" w:name="PAGE_13_7321"/>
      <w:bookmarkEnd w:id="0"/>
      <w:r w:rsidRPr="003F3133">
        <w:rPr>
          <w:sz w:val="16"/>
        </w:rPr>
        <w:t xml:space="preserve"> [***13]  </w:t>
      </w:r>
      <w:r w:rsidRPr="003F3133">
        <w:rPr>
          <w:u w:val="single"/>
        </w:rPr>
        <w:t xml:space="preserve">The section says </w:t>
      </w:r>
      <w:r w:rsidRPr="003F3133">
        <w:rPr>
          <w:highlight w:val="green"/>
          <w:u w:val="single"/>
        </w:rPr>
        <w:t>"reduced", does not say that</w:t>
      </w:r>
      <w:r w:rsidRPr="003F3133">
        <w:rPr>
          <w:u w:val="single"/>
        </w:rPr>
        <w:t xml:space="preserve"> monthly payments </w:t>
      </w:r>
      <w:r w:rsidRPr="003F3133">
        <w:rPr>
          <w:highlight w:val="green"/>
          <w:u w:val="single"/>
        </w:rPr>
        <w:t>shall be temporarily suspended</w:t>
      </w:r>
      <w:r w:rsidRPr="003F3133">
        <w:rPr>
          <w:u w:val="single"/>
        </w:rPr>
        <w:t xml:space="preserve">; it says that the pension itself shall be reduced. </w:t>
      </w:r>
      <w:r w:rsidRPr="003F3133">
        <w:rPr>
          <w:highlight w:val="green"/>
          <w:u w:val="single"/>
        </w:rPr>
        <w:t>The plain dictionary meaning of the word is to diminish, lower or degrade.</w:t>
      </w:r>
      <w:r w:rsidRPr="003F3133">
        <w:rPr>
          <w:u w:val="single"/>
        </w:rPr>
        <w:t xml:space="preserve"> The word </w:t>
      </w:r>
      <w:r w:rsidRPr="003F3133">
        <w:rPr>
          <w:highlight w:val="green"/>
          <w:u w:val="single"/>
        </w:rPr>
        <w:t xml:space="preserve">"reduce" </w:t>
      </w:r>
      <w:r w:rsidRPr="003F3133">
        <w:rPr>
          <w:u w:val="single"/>
        </w:rPr>
        <w:t xml:space="preserve">seems adequately to </w:t>
      </w:r>
      <w:r w:rsidRPr="003F3133">
        <w:rPr>
          <w:highlight w:val="green"/>
          <w:u w:val="single"/>
        </w:rPr>
        <w:t>indicate permanency.</w:t>
      </w:r>
    </w:p>
    <w:p w14:paraId="6EEFF4DE" w14:textId="77777777" w:rsidR="008B51E7" w:rsidRPr="003F3133" w:rsidRDefault="008B51E7" w:rsidP="008B51E7">
      <w:pPr>
        <w:pStyle w:val="Heading4"/>
      </w:pPr>
      <w:r w:rsidRPr="003F3133">
        <w:t xml:space="preserve">Violation: The waiver is temporary. </w:t>
      </w:r>
    </w:p>
    <w:p w14:paraId="0691D12D" w14:textId="77777777" w:rsidR="008B51E7" w:rsidRPr="003F3133" w:rsidRDefault="008B51E7" w:rsidP="008B51E7">
      <w:pPr>
        <w:pStyle w:val="Heading4"/>
        <w:rPr>
          <w:iCs/>
          <w:sz w:val="26"/>
        </w:rPr>
      </w:pPr>
      <w:r w:rsidRPr="003F3133">
        <w:rPr>
          <w:iCs/>
          <w:sz w:val="26"/>
        </w:rPr>
        <w:t xml:space="preserve">No plan text in a vacuum – the offense defines what the plan looks like. Worst case scenario, you vote neg on presumption because all their solvency evidence is about a waiver. </w:t>
      </w:r>
    </w:p>
    <w:p w14:paraId="23126DD0" w14:textId="77777777" w:rsidR="008B51E7" w:rsidRPr="003F3133" w:rsidRDefault="008B51E7" w:rsidP="008B51E7">
      <w:pPr>
        <w:pStyle w:val="Heading4"/>
        <w:rPr>
          <w:iCs/>
          <w:sz w:val="26"/>
        </w:rPr>
      </w:pPr>
      <w:r w:rsidRPr="003F3133">
        <w:rPr>
          <w:iCs/>
          <w:sz w:val="26"/>
        </w:rPr>
        <w:t xml:space="preserve">Prefer my interpretation: </w:t>
      </w:r>
    </w:p>
    <w:p w14:paraId="150B7C76" w14:textId="77777777" w:rsidR="008B51E7" w:rsidRPr="003F3133" w:rsidRDefault="008B51E7" w:rsidP="008B51E7">
      <w:pPr>
        <w:pStyle w:val="Heading4"/>
        <w:rPr>
          <w:iCs/>
          <w:sz w:val="26"/>
        </w:rPr>
      </w:pPr>
      <w:r w:rsidRPr="003F3133">
        <w:rPr>
          <w:iCs/>
          <w:sz w:val="26"/>
        </w:rPr>
        <w:t xml:space="preserve">1] Limits: they open the door to an infinite number of affs – from any condition to any time restriction. Each one becomes its own new aff. </w:t>
      </w:r>
    </w:p>
    <w:p w14:paraId="74B281AC" w14:textId="77777777" w:rsidR="008B51E7" w:rsidRPr="003F3133" w:rsidRDefault="008B51E7" w:rsidP="008B51E7">
      <w:pPr>
        <w:pStyle w:val="Heading4"/>
        <w:rPr>
          <w:iCs/>
          <w:sz w:val="26"/>
        </w:rPr>
      </w:pPr>
      <w:r w:rsidRPr="003F3133">
        <w:rPr>
          <w:iCs/>
          <w:sz w:val="26"/>
        </w:rPr>
        <w:t xml:space="preserve">2] Ground: condition and delay counterplans are all ground we are entitled to because they disprove the idea of passing the plan right now. </w:t>
      </w:r>
    </w:p>
    <w:p w14:paraId="7F259645" w14:textId="77777777" w:rsidR="008B51E7" w:rsidRDefault="008B51E7" w:rsidP="008B51E7">
      <w:pPr>
        <w:pStyle w:val="Heading4"/>
        <w:rPr>
          <w:rFonts w:cs="Times New Roman"/>
        </w:rPr>
      </w:pPr>
      <w:r w:rsidRPr="00ED284C">
        <w:rPr>
          <w:rFonts w:cs="Times New Roman"/>
        </w:rPr>
        <w:t>Vote on fairness – debate is a competitive activity governed by rules</w:t>
      </w:r>
      <w:r>
        <w:rPr>
          <w:rFonts w:cs="Times New Roman"/>
        </w:rPr>
        <w:t xml:space="preserve">. </w:t>
      </w:r>
    </w:p>
    <w:p w14:paraId="6002DFC2" w14:textId="77777777" w:rsidR="008B51E7" w:rsidRDefault="008B51E7" w:rsidP="008B51E7">
      <w:pPr>
        <w:pStyle w:val="Heading4"/>
        <w:rPr>
          <w:rFonts w:cs="Times New Roman"/>
        </w:rPr>
      </w:pPr>
      <w:r w:rsidRPr="00ED284C">
        <w:rPr>
          <w:rFonts w:cs="Times New Roman"/>
        </w:rPr>
        <w:t>Drop the arg is incoherent because it’s their advocacy so they must defend their model.</w:t>
      </w:r>
      <w:r>
        <w:rPr>
          <w:rFonts w:cs="Times New Roman"/>
        </w:rPr>
        <w:t xml:space="preserve"> </w:t>
      </w:r>
    </w:p>
    <w:p w14:paraId="694EF7B5" w14:textId="77777777" w:rsidR="008B51E7" w:rsidRDefault="008B51E7" w:rsidP="008B51E7">
      <w:pPr>
        <w:pStyle w:val="Heading4"/>
        <w:rPr>
          <w:rFonts w:cs="Times New Roman"/>
        </w:rPr>
      </w:pPr>
      <w:r w:rsidRPr="00ED284C">
        <w:rPr>
          <w:rFonts w:cs="Times New Roman"/>
        </w:rPr>
        <w:t xml:space="preserve">No RVI’s – they shouldn’t win for being topical because it’s their job. Outweighs fairness claims – even if it would be reciprocal to let the aff read counter-plans it would be illogical. </w:t>
      </w:r>
    </w:p>
    <w:p w14:paraId="1581B99E" w14:textId="77777777" w:rsidR="008B51E7" w:rsidRDefault="008B51E7" w:rsidP="008B51E7">
      <w:pPr>
        <w:pStyle w:val="Heading4"/>
        <w:rPr>
          <w:rFonts w:cs="Times New Roman"/>
        </w:rPr>
      </w:pPr>
      <w:r w:rsidRPr="00ED284C">
        <w:rPr>
          <w:rFonts w:cs="Times New Roman"/>
        </w:rPr>
        <w:t xml:space="preserve">Prefer competing interps to reasonability </w:t>
      </w:r>
      <w:r>
        <w:rPr>
          <w:rFonts w:cs="Times New Roman"/>
        </w:rPr>
        <w:t>– reasonability creates a race to the bottom with both debaters being as abusive as possible and collapses to competing interps because it uses an offense-defense paradigm.</w:t>
      </w:r>
    </w:p>
    <w:p w14:paraId="2CBA943A" w14:textId="77777777" w:rsidR="008B51E7" w:rsidRDefault="008B51E7" w:rsidP="008B51E7">
      <w:pPr>
        <w:pStyle w:val="Heading3"/>
        <w:ind w:right="-720"/>
      </w:pPr>
      <w:r>
        <w:t>K</w:t>
      </w:r>
    </w:p>
    <w:p w14:paraId="0CD546E5" w14:textId="77777777" w:rsidR="008B51E7" w:rsidRDefault="008B51E7" w:rsidP="008B51E7">
      <w:pPr>
        <w:pStyle w:val="Heading3"/>
        <w:ind w:right="-720"/>
      </w:pPr>
      <w:r>
        <w:t xml:space="preserve">Framework </w:t>
      </w:r>
    </w:p>
    <w:p w14:paraId="6D0D8027" w14:textId="77777777" w:rsidR="008B51E7" w:rsidRPr="0087170C" w:rsidRDefault="008B51E7" w:rsidP="008B51E7">
      <w:pPr>
        <w:ind w:right="-720"/>
      </w:pPr>
    </w:p>
    <w:p w14:paraId="39FA4484" w14:textId="77777777" w:rsidR="008B51E7" w:rsidRPr="002C1012" w:rsidRDefault="008B51E7" w:rsidP="008B51E7">
      <w:pPr>
        <w:pStyle w:val="Heading4"/>
        <w:spacing w:line="480" w:lineRule="auto"/>
        <w:ind w:right="-720"/>
        <w:rPr>
          <w:rFonts w:cs="Times New Roman"/>
        </w:rPr>
      </w:pPr>
      <w:r w:rsidRPr="002C1012">
        <w:rPr>
          <w:rFonts w:cs="Times New Roman"/>
        </w:rPr>
        <w:t xml:space="preserve">[Reid-Brinkley] CURRENT DEBATE RENDERS BLACK SCHOLARSHIP INVISIBLE – </w:t>
      </w:r>
      <w:r w:rsidRPr="002C1012">
        <w:rPr>
          <w:rFonts w:cs="Times New Roman"/>
          <w:b w:val="0"/>
          <w:bCs w:val="0"/>
        </w:rPr>
        <w:t xml:space="preserve">it distances us from the real-world violence of white power structures. </w:t>
      </w:r>
    </w:p>
    <w:p w14:paraId="5123489B" w14:textId="77777777" w:rsidR="008B51E7" w:rsidRPr="002C1012" w:rsidRDefault="008B51E7" w:rsidP="008B51E7">
      <w:pPr>
        <w:ind w:right="-720"/>
        <w:rPr>
          <w:rStyle w:val="StyleUnderline"/>
          <w:b w:val="0"/>
          <w:bCs/>
          <w:sz w:val="16"/>
          <w:u w:val="none"/>
        </w:rPr>
      </w:pPr>
      <w:r w:rsidRPr="002C1012">
        <w:rPr>
          <w:rStyle w:val="StyleUnderline"/>
        </w:rPr>
        <w:t>Reid-Brinkley</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Reid-Brinkley, Dr. Shanara. [Ph.D., Assistant Professor and Co-Director of Forensics at California State University, Fullerton] “The Harsh Realities of ‘Acting Black’: How African-American Policy Debaters Negotiate Representation Through Racial Performance and Style.” University of Georgia, Spring 2008. CV/CH </w:t>
      </w:r>
    </w:p>
    <w:p w14:paraId="51A5352E" w14:textId="77777777" w:rsidR="008B51E7" w:rsidRPr="002C1012" w:rsidRDefault="008B51E7" w:rsidP="008B51E7">
      <w:pPr>
        <w:ind w:right="-720"/>
      </w:pPr>
    </w:p>
    <w:p w14:paraId="49F5FB81" w14:textId="77777777" w:rsidR="008B51E7" w:rsidRPr="002C1012" w:rsidRDefault="008B51E7" w:rsidP="008B51E7">
      <w:pPr>
        <w:pStyle w:val="NoSpacing"/>
        <w:spacing w:line="480" w:lineRule="auto"/>
        <w:ind w:right="-720"/>
        <w:jc w:val="both"/>
        <w:rPr>
          <w:rFonts w:ascii="Times New Roman" w:hAnsi="Times New Roman" w:cs="Times New Roman"/>
          <w:sz w:val="16"/>
          <w:szCs w:val="16"/>
        </w:rPr>
      </w:pPr>
      <w:r w:rsidRPr="002C1012">
        <w:rPr>
          <w:rFonts w:ascii="Times New Roman" w:hAnsi="Times New Roman" w:cs="Times New Roman"/>
          <w:sz w:val="16"/>
          <w:szCs w:val="16"/>
        </w:rPr>
        <w:t xml:space="preserve">Genre Violation Four: </w:t>
      </w:r>
      <w:r w:rsidRPr="00E54C9F">
        <w:rPr>
          <w:rFonts w:ascii="Times New Roman" w:hAnsi="Times New Roman" w:cs="Times New Roman"/>
          <w:sz w:val="16"/>
          <w:szCs w:val="16"/>
        </w:rPr>
        <w:t>Policymaker as Impersonal and the Rhetoric of Personal Experience. Debate is a competitive game. 112 It requires that its participants take on the positions of state actors (at least when they are affirming the resolution</w:t>
      </w:r>
      <w:r w:rsidRPr="00E54C9F">
        <w:rPr>
          <w:rFonts w:ascii="Times New Roman" w:hAnsi="Times New Roman" w:cs="Times New Roman"/>
          <w:sz w:val="16"/>
        </w:rPr>
        <w:t xml:space="preserve">). </w:t>
      </w:r>
      <w:r w:rsidRPr="00E54C9F">
        <w:rPr>
          <w:rStyle w:val="StyleUnderline"/>
          <w:rFonts w:ascii="Times New Roman" w:hAnsi="Times New Roman" w:cs="Times New Roman"/>
        </w:rPr>
        <w:t>Debate resolutions normally call for federal action</w:t>
      </w:r>
      <w:r w:rsidRPr="00E54C9F">
        <w:rPr>
          <w:rFonts w:ascii="Times New Roman" w:hAnsi="Times New Roman" w:cs="Times New Roman"/>
          <w:sz w:val="16"/>
        </w:rPr>
        <w:t xml:space="preserve"> in some area of domestic or foreign policy. Affirmative teams must support the resolution, while the negative negates it</w:t>
      </w:r>
      <w:r w:rsidRPr="00E54C9F">
        <w:rPr>
          <w:rStyle w:val="StyleUnderline"/>
          <w:rFonts w:ascii="Times New Roman" w:hAnsi="Times New Roman" w:cs="Times New Roman"/>
        </w:rPr>
        <w:t>.</w:t>
      </w:r>
      <w:r w:rsidRPr="00E54C9F">
        <w:rPr>
          <w:rFonts w:ascii="Times New Roman" w:hAnsi="Times New Roman" w:cs="Times New Roman"/>
          <w:sz w:val="16"/>
        </w:rPr>
        <w:t xml:space="preserve"> The debate then becomes a “laboratory” within which debaters may test policies. 113 Argumentation scholar Gordon Mitchell notes that “Although they may research and track public argument as it unfolds outside the confines of the laboratory for research purposes, </w:t>
      </w:r>
      <w:r w:rsidRPr="00E54C9F">
        <w:rPr>
          <w:rStyle w:val="StyleUnderline"/>
          <w:rFonts w:ascii="Times New Roman" w:hAnsi="Times New Roman" w:cs="Times New Roman"/>
        </w:rPr>
        <w:t>in this</w:t>
      </w:r>
      <w:r w:rsidRPr="00E54C9F">
        <w:rPr>
          <w:rStyle w:val="TitleChar"/>
          <w:rFonts w:ascii="Times New Roman" w:hAnsi="Times New Roman" w:cs="Times New Roman"/>
          <w:b/>
          <w:bCs/>
        </w:rPr>
        <w:t xml:space="preserve"> approach</w:t>
      </w:r>
      <w:r w:rsidRPr="00E54C9F">
        <w:rPr>
          <w:rFonts w:ascii="Times New Roman" w:hAnsi="Times New Roman" w:cs="Times New Roman"/>
          <w:sz w:val="16"/>
        </w:rPr>
        <w:t xml:space="preserve"> students witness argumentation beyond the walls of the academy as spectators</w:t>
      </w:r>
      <w:r w:rsidRPr="00E54C9F">
        <w:rPr>
          <w:rStyle w:val="TitleChar"/>
          <w:rFonts w:ascii="Times New Roman" w:hAnsi="Times New Roman" w:cs="Times New Roman"/>
          <w:b/>
          <w:bCs/>
        </w:rPr>
        <w:t>, with little or no apparent recourse to directly participate or alter the course of events</w:t>
      </w:r>
      <w:r w:rsidRPr="002C1012">
        <w:rPr>
          <w:rStyle w:val="TitleChar"/>
          <w:rFonts w:ascii="Times New Roman" w:hAnsi="Times New Roman" w:cs="Times New Roman"/>
          <w:b/>
          <w:bCs/>
        </w:rPr>
        <w:t>.</w:t>
      </w:r>
      <w:r w:rsidRPr="002C1012">
        <w:rPr>
          <w:rStyle w:val="TitleChar"/>
          <w:rFonts w:ascii="Times New Roman" w:hAnsi="Times New Roman" w:cs="Times New Roman"/>
        </w:rPr>
        <w:t>”</w:t>
      </w:r>
      <w:r w:rsidRPr="002C1012">
        <w:rPr>
          <w:rFonts w:ascii="Times New Roman" w:hAnsi="Times New Roman" w:cs="Times New Roman"/>
          <w:sz w:val="16"/>
        </w:rPr>
        <w:t xml:space="preserve"> </w:t>
      </w:r>
      <w:r w:rsidRPr="002C1012">
        <w:rPr>
          <w:rFonts w:ascii="Times New Roman" w:hAnsi="Times New Roman" w:cs="Times New Roman"/>
          <w:sz w:val="16"/>
          <w:szCs w:val="16"/>
        </w:rPr>
        <w:t>114 Although debaters spend a great deal of time discussing and researching government action and articulating arguments relevant to such action</w:t>
      </w:r>
      <w:r w:rsidRPr="002C1012">
        <w:rPr>
          <w:rFonts w:ascii="Times New Roman" w:hAnsi="Times New Roman" w:cs="Times New Roman"/>
          <w:sz w:val="16"/>
        </w:rPr>
        <w:t xml:space="preserve">, </w:t>
      </w:r>
      <w:r w:rsidRPr="002C1012">
        <w:rPr>
          <w:rStyle w:val="TitleChar"/>
          <w:rFonts w:ascii="Times New Roman" w:hAnsi="Times New Roman" w:cs="Times New Roman"/>
          <w:b/>
          <w:bCs/>
        </w:rPr>
        <w:t>what happens in debate rounds has limited or no real impact on contemporary governmental policy making. And participation does not result in the majority of the debate community engaging in activism around the issues they research</w:t>
      </w:r>
      <w:r w:rsidRPr="002C1012">
        <w:rPr>
          <w:rStyle w:val="StyleUnderline"/>
          <w:rFonts w:ascii="Times New Roman" w:hAnsi="Times New Roman" w:cs="Times New Roman"/>
        </w:rPr>
        <w:t>.</w:t>
      </w:r>
      <w:r w:rsidRPr="002C1012">
        <w:rPr>
          <w:rStyle w:val="StyleUnderline"/>
          <w:rFonts w:ascii="Times New Roman" w:hAnsi="Times New Roman" w:cs="Times New Roman"/>
          <w:sz w:val="16"/>
          <w:u w:val="none"/>
        </w:rPr>
        <w:t xml:space="preserve"> </w:t>
      </w:r>
      <w:r w:rsidRPr="002C1012">
        <w:rPr>
          <w:rFonts w:ascii="Times New Roman" w:hAnsi="Times New Roman" w:cs="Times New Roman"/>
          <w:sz w:val="16"/>
          <w:szCs w:val="16"/>
        </w:rPr>
        <w:t xml:space="preserve">Mitchell observes that the </w:t>
      </w:r>
      <w:r w:rsidRPr="002C1012">
        <w:rPr>
          <w:rStyle w:val="TitleChar"/>
          <w:rFonts w:ascii="Times New Roman" w:hAnsi="Times New Roman" w:cs="Times New Roman"/>
          <w:sz w:val="16"/>
          <w:szCs w:val="16"/>
        </w:rPr>
        <w:t>stance of the policymaker in debate comes with a “sense of detachment associated with the spectator posture.”</w:t>
      </w:r>
      <w:r w:rsidRPr="002C1012">
        <w:rPr>
          <w:rFonts w:ascii="Times New Roman" w:hAnsi="Times New Roman" w:cs="Times New Roman"/>
          <w:sz w:val="16"/>
          <w:szCs w:val="16"/>
        </w:rPr>
        <w:t xml:space="preserve"> 115 In other words, its</w:t>
      </w:r>
      <w:r w:rsidRPr="002C1012">
        <w:rPr>
          <w:rFonts w:ascii="Times New Roman" w:hAnsi="Times New Roman" w:cs="Times New Roman"/>
          <w:sz w:val="16"/>
        </w:rPr>
        <w:t xml:space="preserve"> </w:t>
      </w:r>
      <w:r w:rsidRPr="002C1012">
        <w:rPr>
          <w:rStyle w:val="TitleChar"/>
          <w:rFonts w:ascii="Times New Roman" w:hAnsi="Times New Roman" w:cs="Times New Roman"/>
          <w:b/>
          <w:bCs/>
        </w:rPr>
        <w:t xml:space="preserve">participants are able to engage in debates where they are able to distance themselves from the events that are the subjects of debates. </w:t>
      </w:r>
      <w:r w:rsidRPr="000774B9">
        <w:rPr>
          <w:rStyle w:val="TitleChar"/>
          <w:rFonts w:ascii="Times New Roman" w:hAnsi="Times New Roman" w:cs="Times New Roman"/>
          <w:b/>
          <w:bCs/>
          <w:highlight w:val="yellow"/>
        </w:rPr>
        <w:t>Debaters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throw around terms like</w:t>
      </w:r>
      <w:r w:rsidRPr="002C1012">
        <w:rPr>
          <w:rStyle w:val="TitleChar"/>
          <w:rFonts w:ascii="Times New Roman" w:hAnsi="Times New Roman" w:cs="Times New Roman"/>
          <w:b/>
          <w:bCs/>
        </w:rPr>
        <w:t xml:space="preserve"> torture, </w:t>
      </w:r>
      <w:r w:rsidRPr="000774B9">
        <w:rPr>
          <w:rStyle w:val="TitleChar"/>
          <w:rFonts w:ascii="Times New Roman" w:hAnsi="Times New Roman" w:cs="Times New Roman"/>
          <w:b/>
          <w:bCs/>
          <w:highlight w:val="yellow"/>
        </w:rPr>
        <w:t>terrorism</w:t>
      </w:r>
      <w:r w:rsidRPr="002C1012">
        <w:rPr>
          <w:rStyle w:val="TitleChar"/>
          <w:rFonts w:ascii="Times New Roman" w:hAnsi="Times New Roman" w:cs="Times New Roman"/>
          <w:b/>
          <w:bCs/>
        </w:rPr>
        <w:t xml:space="preserve">, genocide </w:t>
      </w:r>
      <w:r w:rsidRPr="000774B9">
        <w:rPr>
          <w:rStyle w:val="TitleChar"/>
          <w:rFonts w:ascii="Times New Roman" w:hAnsi="Times New Roman" w:cs="Times New Roman"/>
          <w:b/>
          <w:bCs/>
          <w:highlight w:val="yellow"/>
        </w:rPr>
        <w:t>and nuc</w:t>
      </w:r>
      <w:r w:rsidRPr="002C1012">
        <w:rPr>
          <w:rFonts w:ascii="Times New Roman" w:hAnsi="Times New Roman" w:cs="Times New Roman"/>
          <w:sz w:val="16"/>
        </w:rPr>
        <w:t xml:space="preserve">lear </w:t>
      </w:r>
      <w:r w:rsidRPr="000774B9">
        <w:rPr>
          <w:rStyle w:val="TitleChar"/>
          <w:rFonts w:ascii="Times New Roman" w:hAnsi="Times New Roman" w:cs="Times New Roman"/>
          <w:b/>
          <w:bCs/>
          <w:highlight w:val="yellow"/>
        </w:rPr>
        <w:t>war without blinking.</w:t>
      </w:r>
      <w:r w:rsidRPr="00E54C9F">
        <w:rPr>
          <w:rStyle w:val="TitleChar"/>
          <w:rFonts w:ascii="Times New Roman" w:hAnsi="Times New Roman" w:cs="Times New Roman"/>
          <w:b/>
          <w:bCs/>
        </w:rPr>
        <w:t xml:space="preserve"> Debate </w:t>
      </w:r>
      <w:r w:rsidRPr="000774B9">
        <w:rPr>
          <w:rStyle w:val="TitleChar"/>
          <w:rFonts w:ascii="Times New Roman" w:hAnsi="Times New Roman" w:cs="Times New Roman"/>
          <w:b/>
          <w:bCs/>
          <w:highlight w:val="yellow"/>
        </w:rPr>
        <w:t>simulations</w:t>
      </w:r>
      <w:r w:rsidRPr="002C1012">
        <w:rPr>
          <w:rStyle w:val="TitleChar"/>
          <w:rFonts w:ascii="Times New Roman" w:hAnsi="Times New Roman" w:cs="Times New Roman"/>
          <w:b/>
          <w:bCs/>
        </w:rPr>
        <w:t xml:space="preserve"> can </w:t>
      </w:r>
      <w:r w:rsidRPr="000774B9">
        <w:rPr>
          <w:rStyle w:val="TitleChar"/>
          <w:rFonts w:ascii="Times New Roman" w:hAnsi="Times New Roman" w:cs="Times New Roman"/>
          <w:b/>
          <w:bCs/>
          <w:highlight w:val="yellow"/>
        </w:rPr>
        <w:t>only</w:t>
      </w:r>
      <w:r w:rsidRPr="002C1012">
        <w:rPr>
          <w:rStyle w:val="TitleChar"/>
          <w:rFonts w:ascii="Times New Roman" w:hAnsi="Times New Roman" w:cs="Times New Roman"/>
          <w:b/>
          <w:bCs/>
        </w:rPr>
        <w:t xml:space="preserve"> serve to </w:t>
      </w:r>
      <w:r w:rsidRPr="000774B9">
        <w:rPr>
          <w:rStyle w:val="Emphasis"/>
          <w:highlight w:val="yellow"/>
        </w:rPr>
        <w:t>distance</w:t>
      </w:r>
      <w:r w:rsidRPr="002C1012">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debaters from real world participation in</w:t>
      </w:r>
      <w:r w:rsidRPr="00E54C9F">
        <w:rPr>
          <w:rStyle w:val="TitleChar"/>
          <w:rFonts w:ascii="Times New Roman" w:hAnsi="Times New Roman" w:cs="Times New Roman"/>
          <w:b/>
          <w:bCs/>
        </w:rPr>
        <w:t xml:space="preserve"> the </w:t>
      </w:r>
      <w:r w:rsidRPr="000774B9">
        <w:rPr>
          <w:rStyle w:val="TitleChar"/>
          <w:rFonts w:ascii="Times New Roman" w:hAnsi="Times New Roman" w:cs="Times New Roman"/>
          <w:b/>
          <w:bCs/>
          <w:highlight w:val="yellow"/>
        </w:rPr>
        <w:t>political contexts</w:t>
      </w:r>
      <w:r w:rsidRPr="00E54C9F">
        <w:rPr>
          <w:rStyle w:val="TitleChar"/>
          <w:rFonts w:ascii="Times New Roman" w:hAnsi="Times New Roman" w:cs="Times New Roman"/>
          <w:b/>
          <w:bCs/>
        </w:rPr>
        <w:t xml:space="preserve"> they debate about</w:t>
      </w:r>
      <w:r w:rsidRPr="000774B9">
        <w:rPr>
          <w:rStyle w:val="TitleChar"/>
          <w:rFonts w:ascii="Times New Roman" w:hAnsi="Times New Roman" w:cs="Times New Roman"/>
          <w:highlight w:val="yellow"/>
        </w:rPr>
        <w:t>.</w:t>
      </w:r>
      <w:r w:rsidRPr="002C1012">
        <w:rPr>
          <w:rFonts w:ascii="Times New Roman" w:hAnsi="Times New Roman" w:cs="Times New Roman"/>
          <w:sz w:val="16"/>
        </w:rPr>
        <w:t xml:space="preserve"> </w:t>
      </w:r>
      <w:r w:rsidRPr="002C1012">
        <w:rPr>
          <w:rFonts w:ascii="Times New Roman" w:hAnsi="Times New Roman" w:cs="Times New Roman"/>
          <w:sz w:val="16"/>
          <w:szCs w:val="16"/>
        </w:rPr>
        <w:t xml:space="preserve">As William Shanahan remarks: …the topic established a relationship through interpellation that inhered irrespective of what the particular political affinities of the debaters were. The relationship was both political and ethical, and needed to be debated as such. </w:t>
      </w:r>
      <w:r w:rsidRPr="002C1012">
        <w:rPr>
          <w:rStyle w:val="TitleChar"/>
          <w:rFonts w:ascii="Times New Roman" w:hAnsi="Times New Roman" w:cs="Times New Roman"/>
          <w:sz w:val="16"/>
          <w:szCs w:val="16"/>
        </w:rPr>
        <w:t>When we blithely call for United States Federal Government policymaking</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are not immune to the colonialist legacy that establishes our place on this continent</w:t>
      </w:r>
      <w:r w:rsidRPr="002C1012">
        <w:rPr>
          <w:rStyle w:val="TitleChar"/>
          <w:rFonts w:ascii="Times New Roman" w:hAnsi="Times New Roman" w:cs="Times New Roman"/>
        </w:rPr>
        <w:t xml:space="preserve">. </w:t>
      </w:r>
      <w:r w:rsidRPr="002C1012">
        <w:rPr>
          <w:rStyle w:val="TitleChar"/>
          <w:rFonts w:ascii="Times New Roman" w:hAnsi="Times New Roman" w:cs="Times New Roman"/>
          <w:b/>
          <w:bCs/>
        </w:rPr>
        <w:t>We cannot wish away the horrific atrocities</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 xml:space="preserve">perpetrated everyday in our name simply </w:t>
      </w:r>
      <w:r w:rsidRPr="002C1012">
        <w:rPr>
          <w:rStyle w:val="TitleChar"/>
          <w:rFonts w:ascii="Times New Roman" w:hAnsi="Times New Roman" w:cs="Times New Roman"/>
          <w:b/>
          <w:bCs/>
        </w:rPr>
        <w:t>by refusing to acknowledge</w:t>
      </w:r>
      <w:r w:rsidRPr="002C1012">
        <w:rPr>
          <w:rStyle w:val="TitleChar"/>
          <w:rFonts w:ascii="Times New Roman" w:hAnsi="Times New Roman" w:cs="Times New Roman"/>
        </w:rPr>
        <w:t xml:space="preserve"> </w:t>
      </w:r>
      <w:r w:rsidRPr="002C1012">
        <w:rPr>
          <w:rStyle w:val="TitleChar"/>
          <w:rFonts w:ascii="Times New Roman" w:hAnsi="Times New Roman" w:cs="Times New Roman"/>
          <w:sz w:val="16"/>
          <w:szCs w:val="16"/>
        </w:rPr>
        <w:t>these implications</w:t>
      </w:r>
      <w:r w:rsidRPr="002C1012">
        <w:rPr>
          <w:rFonts w:ascii="Times New Roman" w:hAnsi="Times New Roman" w:cs="Times New Roman"/>
          <w:sz w:val="16"/>
          <w:szCs w:val="16"/>
        </w:rPr>
        <w:t>” (emphasis in original). 116</w:t>
      </w:r>
      <w:r w:rsidRPr="002C1012">
        <w:rPr>
          <w:rFonts w:ascii="Times New Roman" w:hAnsi="Times New Roman" w:cs="Times New Roman"/>
          <w:sz w:val="16"/>
        </w:rPr>
        <w:t xml:space="preserve"> </w:t>
      </w:r>
      <w:r w:rsidRPr="000774B9">
        <w:rPr>
          <w:rStyle w:val="StyleUnderline"/>
          <w:rFonts w:ascii="Times New Roman" w:hAnsi="Times New Roman" w:cs="Times New Roman"/>
          <w:highlight w:val="yellow"/>
        </w:rPr>
        <w:t>The “objective” stance of the policymaker is an</w:t>
      </w:r>
      <w:r w:rsidRPr="002C1012">
        <w:rPr>
          <w:rStyle w:val="StyleUnderline"/>
          <w:rFonts w:ascii="Times New Roman" w:hAnsi="Times New Roman" w:cs="Times New Roman"/>
        </w:rPr>
        <w:t xml:space="preserve"> impersonal or </w:t>
      </w:r>
      <w:r w:rsidRPr="000774B9">
        <w:rPr>
          <w:rStyle w:val="StyleUnderline"/>
          <w:rFonts w:ascii="Times New Roman" w:hAnsi="Times New Roman" w:cs="Times New Roman"/>
          <w:highlight w:val="yellow"/>
        </w:rPr>
        <w:t>imperialist persona</w:t>
      </w:r>
      <w:r w:rsidRPr="002C1012">
        <w:rPr>
          <w:rFonts w:ascii="Times New Roman" w:hAnsi="Times New Roman" w:cs="Times New Roman"/>
          <w:sz w:val="16"/>
        </w:rPr>
        <w:t xml:space="preserve">. The policymaker relies upon “acceptable” forms of evidence, engaging in logical discussion, producing rational thoughts. As Shanahan, and the Louisville debaters’ note, such a stance is </w:t>
      </w:r>
      <w:r w:rsidRPr="000774B9">
        <w:rPr>
          <w:rStyle w:val="TitleChar"/>
          <w:rFonts w:ascii="Times New Roman" w:hAnsi="Times New Roman" w:cs="Times New Roman"/>
          <w:b/>
          <w:bCs/>
          <w:highlight w:val="yellow"/>
        </w:rPr>
        <w:t>integrally</w:t>
      </w:r>
      <w:r w:rsidRPr="000774B9">
        <w:rPr>
          <w:rStyle w:val="TitleChar"/>
          <w:rFonts w:ascii="Times New Roman" w:hAnsi="Times New Roman" w:cs="Times New Roman"/>
          <w:highlight w:val="yellow"/>
        </w:rPr>
        <w:t xml:space="preserve"> </w:t>
      </w:r>
      <w:r w:rsidRPr="000774B9">
        <w:rPr>
          <w:rStyle w:val="TitleChar"/>
          <w:rFonts w:ascii="Times New Roman" w:hAnsi="Times New Roman" w:cs="Times New Roman"/>
          <w:b/>
          <w:bCs/>
          <w:highlight w:val="yellow"/>
        </w:rPr>
        <w:t>linked to</w:t>
      </w:r>
      <w:r w:rsidRPr="002C1012">
        <w:rPr>
          <w:rStyle w:val="TitleChar"/>
          <w:rFonts w:ascii="Times New Roman" w:hAnsi="Times New Roman" w:cs="Times New Roman"/>
          <w:b/>
          <w:bCs/>
        </w:rPr>
        <w:t xml:space="preserve"> the normative, historical and contemporary </w:t>
      </w:r>
      <w:r w:rsidRPr="000774B9">
        <w:rPr>
          <w:rStyle w:val="TitleChar"/>
          <w:rFonts w:ascii="Times New Roman" w:hAnsi="Times New Roman" w:cs="Times New Roman"/>
          <w:b/>
          <w:bCs/>
          <w:highlight w:val="yellow"/>
        </w:rPr>
        <w:t>practices</w:t>
      </w:r>
      <w:r w:rsidRPr="00E54C9F">
        <w:rPr>
          <w:rStyle w:val="TitleChar"/>
          <w:rFonts w:ascii="Times New Roman" w:hAnsi="Times New Roman" w:cs="Times New Roman"/>
          <w:b/>
          <w:bCs/>
        </w:rPr>
        <w:t xml:space="preserve"> of power </w:t>
      </w:r>
      <w:r w:rsidRPr="000774B9">
        <w:rPr>
          <w:rStyle w:val="TitleChar"/>
          <w:rFonts w:ascii="Times New Roman" w:hAnsi="Times New Roman" w:cs="Times New Roman"/>
          <w:b/>
          <w:bCs/>
          <w:highlight w:val="yellow"/>
        </w:rPr>
        <w:t>that produce</w:t>
      </w:r>
      <w:r w:rsidRPr="002C1012">
        <w:rPr>
          <w:rStyle w:val="TitleChar"/>
          <w:rFonts w:ascii="Times New Roman" w:hAnsi="Times New Roman" w:cs="Times New Roman"/>
          <w:b/>
          <w:bCs/>
        </w:rPr>
        <w:t xml:space="preserve"> and maintain varying networks of </w:t>
      </w:r>
      <w:r w:rsidRPr="000774B9">
        <w:rPr>
          <w:rStyle w:val="TitleChar"/>
          <w:rFonts w:ascii="Times New Roman" w:hAnsi="Times New Roman" w:cs="Times New Roman"/>
          <w:b/>
          <w:bCs/>
          <w:highlight w:val="yellow"/>
        </w:rPr>
        <w:t>oppression.</w:t>
      </w:r>
      <w:r w:rsidRPr="002C1012">
        <w:rPr>
          <w:rStyle w:val="StyleUnderline"/>
          <w:rFonts w:ascii="Times New Roman" w:hAnsi="Times New Roman" w:cs="Times New Roman"/>
        </w:rPr>
        <w:t xml:space="preserve"> In other words, the discursive practices of policyoriented debate are developed within, through and from systems of power and privilege. Thus, these practices are critically implicated in the maintenance of hegemony. </w:t>
      </w:r>
      <w:r w:rsidRPr="002C1012">
        <w:rPr>
          <w:rFonts w:ascii="Times New Roman" w:hAnsi="Times New Roman" w:cs="Times New Roman"/>
          <w:sz w:val="16"/>
          <w:szCs w:val="16"/>
        </w:rPr>
        <w:t>So, rather than seeing themselves as government or state actors, Jones and Green choose to perform themselves in debate, violating the more “objective” stance of the “policymaker” and require their opponents to do the same.</w:t>
      </w:r>
    </w:p>
    <w:p w14:paraId="7CBE5CE0" w14:textId="77777777" w:rsidR="008B51E7" w:rsidRPr="002C1012" w:rsidRDefault="008B51E7" w:rsidP="008B51E7">
      <w:pPr>
        <w:pStyle w:val="NoSpacing"/>
        <w:ind w:right="-720"/>
        <w:rPr>
          <w:rFonts w:ascii="Times New Roman" w:hAnsi="Times New Roman" w:cs="Times New Roman"/>
          <w:sz w:val="16"/>
          <w:szCs w:val="16"/>
        </w:rPr>
      </w:pPr>
    </w:p>
    <w:p w14:paraId="2DFDF57D" w14:textId="77777777" w:rsidR="008B51E7" w:rsidRPr="002C1012" w:rsidRDefault="008B51E7" w:rsidP="008B51E7">
      <w:pPr>
        <w:pStyle w:val="Heading4"/>
        <w:spacing w:line="480" w:lineRule="auto"/>
        <w:ind w:right="-720"/>
        <w:rPr>
          <w:rFonts w:cs="Times New Roman"/>
          <w:b w:val="0"/>
          <w:bCs w:val="0"/>
        </w:rPr>
      </w:pPr>
      <w:r w:rsidRPr="002C1012">
        <w:rPr>
          <w:rFonts w:cs="Times New Roman"/>
        </w:rPr>
        <w:t>[ROJ] The Role of the Judge is to Promote Access to Black Scholarship</w:t>
      </w:r>
      <w:r w:rsidRPr="002C1012">
        <w:rPr>
          <w:rFonts w:cs="Times New Roman"/>
          <w:b w:val="0"/>
          <w:bCs w:val="0"/>
        </w:rPr>
        <w:t xml:space="preserve">, meaning they must prioritize Black authors in </w:t>
      </w:r>
      <w:r>
        <w:rPr>
          <w:rFonts w:cs="Times New Roman"/>
          <w:b w:val="0"/>
          <w:bCs w:val="0"/>
        </w:rPr>
        <w:t>their approach to</w:t>
      </w:r>
      <w:r w:rsidRPr="002C1012">
        <w:rPr>
          <w:rFonts w:cs="Times New Roman"/>
          <w:b w:val="0"/>
          <w:bCs w:val="0"/>
        </w:rPr>
        <w:t xml:space="preserve"> the topic. </w:t>
      </w:r>
    </w:p>
    <w:p w14:paraId="02BF767C" w14:textId="77777777" w:rsidR="008B51E7" w:rsidRPr="00062883" w:rsidRDefault="008B51E7" w:rsidP="008B51E7">
      <w:pPr>
        <w:pStyle w:val="Heading4"/>
        <w:spacing w:line="480" w:lineRule="auto"/>
        <w:ind w:right="-720"/>
        <w:rPr>
          <w:rFonts w:cs="Times New Roman"/>
          <w:b w:val="0"/>
          <w:bCs w:val="0"/>
        </w:rPr>
      </w:pPr>
      <w:r w:rsidRPr="002C1012">
        <w:rPr>
          <w:rFonts w:cs="Times New Roman"/>
        </w:rPr>
        <w:t xml:space="preserve">[King] </w:t>
      </w:r>
      <w:r>
        <w:rPr>
          <w:b w:val="0"/>
          <w:bCs w:val="0"/>
        </w:rPr>
        <w:t>This is a prereq</w:t>
      </w:r>
      <w:r w:rsidRPr="00062883">
        <w:rPr>
          <w:b w:val="0"/>
          <w:bCs w:val="0"/>
        </w:rPr>
        <w:t xml:space="preserve"> to any understanding of </w:t>
      </w:r>
      <w:r>
        <w:rPr>
          <w:b w:val="0"/>
          <w:bCs w:val="0"/>
        </w:rPr>
        <w:t>IPP, since a</w:t>
      </w:r>
      <w:r w:rsidRPr="00062883">
        <w:rPr>
          <w:b w:val="0"/>
          <w:bCs w:val="0"/>
        </w:rPr>
        <w:t xml:space="preserve">nything else </w:t>
      </w:r>
      <w:r>
        <w:rPr>
          <w:b w:val="0"/>
          <w:bCs w:val="0"/>
        </w:rPr>
        <w:t xml:space="preserve">results in serial policy failure by ignoring why violence happens – </w:t>
      </w:r>
      <w:r w:rsidRPr="00062883">
        <w:rPr>
          <w:b w:val="0"/>
          <w:bCs w:val="0"/>
        </w:rPr>
        <w:t>Band-Aid solutions</w:t>
      </w:r>
      <w:r>
        <w:rPr>
          <w:b w:val="0"/>
          <w:bCs w:val="0"/>
        </w:rPr>
        <w:t xml:space="preserve"> don’t work</w:t>
      </w:r>
      <w:r w:rsidRPr="00062883">
        <w:rPr>
          <w:b w:val="0"/>
          <w:bCs w:val="0"/>
        </w:rPr>
        <w:t>.</w:t>
      </w:r>
    </w:p>
    <w:p w14:paraId="06311DC3" w14:textId="77777777" w:rsidR="008B51E7" w:rsidRPr="002C1012" w:rsidRDefault="008B51E7" w:rsidP="008B51E7">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14:paraId="254F637D" w14:textId="77777777" w:rsidR="008B51E7" w:rsidRPr="002C1012" w:rsidRDefault="008B51E7" w:rsidP="008B51E7">
      <w:pPr>
        <w:ind w:right="-720"/>
      </w:pPr>
    </w:p>
    <w:p w14:paraId="71A86BDE" w14:textId="77777777" w:rsidR="008B51E7" w:rsidRPr="002C1012" w:rsidRDefault="008B51E7" w:rsidP="008B51E7">
      <w:pPr>
        <w:spacing w:line="480" w:lineRule="auto"/>
        <w:ind w:right="-720"/>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2C1012">
        <w:rPr>
          <w:rStyle w:val="StyleUnderline"/>
        </w:rPr>
        <w:t>We have not seen the end of racist fraternity and sorority actions on college campuses. That’s because the actions taken in response to these incidents by well-meaning universities were directed at symptoms</w:t>
      </w:r>
      <w:r w:rsidRPr="002C1012">
        <w:rPr>
          <w:sz w:val="16"/>
        </w:rPr>
        <w:t>. Epithets, chants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2C1012">
        <w:rPr>
          <w:sz w:val="16"/>
        </w:rPr>
        <w:t xml:space="preserve"> All you have to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14:paraId="653F20D0" w14:textId="77777777" w:rsidR="008B51E7" w:rsidRPr="002C1012" w:rsidRDefault="008B51E7" w:rsidP="008B51E7">
      <w:pPr>
        <w:pStyle w:val="Heading4"/>
        <w:spacing w:line="480" w:lineRule="auto"/>
        <w:ind w:right="-720"/>
        <w:rPr>
          <w:rFonts w:cs="Times New Roman"/>
          <w:b w:val="0"/>
          <w:bCs w:val="0"/>
        </w:rPr>
      </w:pPr>
      <w:r w:rsidRPr="002C1012">
        <w:rPr>
          <w:rFonts w:cs="Times New Roman"/>
        </w:rPr>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14:paraId="41DAC938" w14:textId="77777777" w:rsidR="008B51E7" w:rsidRDefault="008B51E7" w:rsidP="008B51E7">
      <w:pPr>
        <w:pStyle w:val="Heading3"/>
        <w:ind w:right="-720"/>
      </w:pPr>
      <w:r>
        <w:t xml:space="preserve">A. Links </w:t>
      </w:r>
    </w:p>
    <w:p w14:paraId="01663447" w14:textId="77777777" w:rsidR="008B51E7" w:rsidRPr="00164F48" w:rsidRDefault="008B51E7" w:rsidP="008B51E7">
      <w:pPr>
        <w:ind w:right="-720"/>
      </w:pPr>
    </w:p>
    <w:p w14:paraId="48F02D7B" w14:textId="77777777" w:rsidR="008B51E7" w:rsidRPr="002C24C5" w:rsidRDefault="008B51E7" w:rsidP="008B51E7">
      <w:pPr>
        <w:pStyle w:val="Heading4"/>
        <w:spacing w:line="480" w:lineRule="auto"/>
        <w:ind w:right="-720"/>
        <w:rPr>
          <w:rFonts w:cs="Times New Roman"/>
          <w:b w:val="0"/>
          <w:bCs w:val="0"/>
          <w:szCs w:val="24"/>
        </w:rPr>
      </w:pPr>
      <w:r>
        <w:rPr>
          <w:rFonts w:cs="Times New Roman"/>
          <w:szCs w:val="24"/>
        </w:rPr>
        <w:t xml:space="preserve">1. [Bello] </w:t>
      </w:r>
      <w:r w:rsidRPr="00164F48">
        <w:rPr>
          <w:rFonts w:cs="Times New Roman"/>
          <w:szCs w:val="24"/>
        </w:rPr>
        <w:t xml:space="preserve">First, </w:t>
      </w:r>
      <w:r>
        <w:rPr>
          <w:rFonts w:cs="Times New Roman"/>
          <w:b w:val="0"/>
          <w:bCs w:val="0"/>
          <w:szCs w:val="24"/>
        </w:rPr>
        <w:t>t</w:t>
      </w:r>
      <w:r w:rsidRPr="002C24C5">
        <w:rPr>
          <w:rFonts w:cs="Times New Roman"/>
          <w:b w:val="0"/>
          <w:bCs w:val="0"/>
          <w:szCs w:val="24"/>
        </w:rPr>
        <w:t xml:space="preserve">he WTO </w:t>
      </w:r>
      <w:r>
        <w:rPr>
          <w:rFonts w:cs="Times New Roman"/>
          <w:b w:val="0"/>
          <w:bCs w:val="0"/>
          <w:szCs w:val="24"/>
        </w:rPr>
        <w:t xml:space="preserve">props up </w:t>
      </w:r>
      <w:r w:rsidRPr="002C24C5">
        <w:rPr>
          <w:rFonts w:cs="Times New Roman"/>
          <w:b w:val="0"/>
          <w:bCs w:val="0"/>
          <w:szCs w:val="24"/>
        </w:rPr>
        <w:t>U</w:t>
      </w:r>
      <w:r>
        <w:rPr>
          <w:rFonts w:cs="Times New Roman"/>
          <w:b w:val="0"/>
          <w:bCs w:val="0"/>
          <w:szCs w:val="24"/>
        </w:rPr>
        <w:t>.</w:t>
      </w:r>
      <w:r w:rsidRPr="002C24C5">
        <w:rPr>
          <w:rFonts w:cs="Times New Roman"/>
          <w:b w:val="0"/>
          <w:bCs w:val="0"/>
          <w:szCs w:val="24"/>
        </w:rPr>
        <w:t>S</w:t>
      </w:r>
      <w:r>
        <w:rPr>
          <w:rFonts w:cs="Times New Roman"/>
          <w:b w:val="0"/>
          <w:bCs w:val="0"/>
          <w:szCs w:val="24"/>
        </w:rPr>
        <w:t>.</w:t>
      </w:r>
      <w:r w:rsidRPr="002C24C5">
        <w:rPr>
          <w:rFonts w:cs="Times New Roman"/>
          <w:b w:val="0"/>
          <w:bCs w:val="0"/>
          <w:szCs w:val="24"/>
        </w:rPr>
        <w:t xml:space="preserve"> neoliberal heg</w:t>
      </w:r>
      <w:r>
        <w:rPr>
          <w:rFonts w:cs="Times New Roman"/>
          <w:b w:val="0"/>
          <w:bCs w:val="0"/>
          <w:szCs w:val="24"/>
        </w:rPr>
        <w:t xml:space="preserve"> – re</w:t>
      </w:r>
      <w:r w:rsidRPr="002C24C5">
        <w:rPr>
          <w:rFonts w:cs="Times New Roman"/>
          <w:b w:val="0"/>
          <w:bCs w:val="0"/>
          <w:szCs w:val="24"/>
        </w:rPr>
        <w:t>form is the wrong approach</w:t>
      </w:r>
      <w:r>
        <w:rPr>
          <w:rFonts w:cs="Times New Roman"/>
          <w:b w:val="0"/>
          <w:bCs w:val="0"/>
          <w:szCs w:val="24"/>
        </w:rPr>
        <w:t xml:space="preserve"> – </w:t>
      </w:r>
      <w:r w:rsidRPr="002C24C5">
        <w:rPr>
          <w:rFonts w:cs="Times New Roman"/>
          <w:szCs w:val="24"/>
        </w:rPr>
        <w:t>every empiric flow</w:t>
      </w:r>
      <w:r>
        <w:rPr>
          <w:rFonts w:cs="Times New Roman"/>
          <w:szCs w:val="24"/>
        </w:rPr>
        <w:t>s</w:t>
      </w:r>
      <w:r w:rsidRPr="002C24C5">
        <w:rPr>
          <w:rFonts w:cs="Times New Roman"/>
          <w:szCs w:val="24"/>
        </w:rPr>
        <w:t xml:space="preserve"> neg.</w:t>
      </w:r>
    </w:p>
    <w:p w14:paraId="410DAF89" w14:textId="77777777" w:rsidR="008B51E7" w:rsidRPr="002C24C5" w:rsidRDefault="008B51E7" w:rsidP="008B51E7">
      <w:pPr>
        <w:ind w:right="-720"/>
        <w:rPr>
          <w:sz w:val="16"/>
        </w:rPr>
      </w:pPr>
      <w:r>
        <w:rPr>
          <w:b/>
          <w:bCs/>
          <w:u w:val="single"/>
        </w:rPr>
        <w:t>Bello</w:t>
      </w:r>
      <w:r w:rsidRPr="00164F48">
        <w:rPr>
          <w:b/>
          <w:bCs/>
        </w:rPr>
        <w:t xml:space="preserve">: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14:paraId="4513F6A2" w14:textId="77777777" w:rsidR="008B51E7" w:rsidRPr="00B12BA8" w:rsidRDefault="008B51E7" w:rsidP="008B51E7">
      <w:pPr>
        <w:ind w:right="-720"/>
      </w:pPr>
    </w:p>
    <w:p w14:paraId="29E972DB" w14:textId="77777777" w:rsidR="008B51E7" w:rsidRDefault="008B51E7" w:rsidP="008B51E7">
      <w:pPr>
        <w:spacing w:line="480" w:lineRule="auto"/>
        <w:ind w:right="-720"/>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164F48">
        <w:rPr>
          <w:rStyle w:val="StyleUnderline"/>
        </w:rPr>
        <w:t>World trade did not need the WTO</w:t>
      </w:r>
      <w:r w:rsidRPr="00164F48">
        <w:t xml:space="preserve">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peace, since no world war or trade-related war had taken place during that period. </w:t>
      </w:r>
      <w:r w:rsidRPr="00164F48">
        <w:rPr>
          <w:rStyle w:val="StyleUnderline"/>
        </w:rPr>
        <w:t>In the seven major inter-state wars that took place in that period-the Korean War of 1950-53, the Vietnam War of 1945-75, the Suez Crisis of 1956, the 1967 Arab-Israeli War, the 1973 Arab-Israeli War, the 1982 Falklands War, and the Gulf War of 1990-trade conflict did not figure even remotely as a cause. GATT was, in fact, functioning reasonably</w:t>
      </w:r>
      <w:r w:rsidRPr="00EA2E6F">
        <w:rPr>
          <w:rStyle w:val="StyleUnderline"/>
        </w:rPr>
        <w:t xml:space="preserve">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w:t>
      </w:r>
      <w:r w:rsidRPr="00164F48">
        <w:rPr>
          <w:sz w:val="16"/>
        </w:rPr>
        <w:t xml:space="preserve">dispute settlement mechanism serves US interests because we can now use the full weight of the international machinery to go after those trade barriers, reduce them, get them eliminated. (5) </w:t>
      </w:r>
      <w:r w:rsidRPr="00164F48">
        <w:rPr>
          <w:rStyle w:val="StyleUnderline"/>
        </w:rPr>
        <w:t>In sum, it has been Washington's changing perception of the needs of its economic interest-groups that have shaped and reshaped the international trading regime.</w:t>
      </w:r>
      <w:r w:rsidRPr="00164F48">
        <w:rPr>
          <w:sz w:val="16"/>
        </w:rPr>
        <w:t xml:space="preserve"> It was not global necessity that gave birth to the WTO in 1995. It was the US's assessment that the interests of its corporations were no longer served</w:t>
      </w:r>
      <w:r w:rsidRPr="00EA2E6F">
        <w:rPr>
          <w:sz w:val="16"/>
        </w:rPr>
        <w:t xml:space="preserve">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ministerials by the </w:t>
      </w:r>
      <w:r w:rsidRPr="000774B9">
        <w:rPr>
          <w:rStyle w:val="StyleUnderline"/>
          <w:highlight w:val="yellow"/>
        </w:rPr>
        <w:t>big trading powers.</w:t>
      </w:r>
      <w:r w:rsidRPr="00EA2E6F">
        <w:rPr>
          <w:rStyle w:val="StyleUnderline"/>
        </w:rPr>
        <w:t xml:space="preserve"> The formal plenary sessions, which in democracies are the central arena for decision-making, are reserved for speeches.</w:t>
      </w:r>
      <w:r w:rsidRPr="00EA2E6F">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w:t>
      </w:r>
      <w:r w:rsidRPr="00164F48">
        <w:rPr>
          <w:rStyle w:val="StyleUnderline"/>
          <w:color w:val="000000" w:themeColor="text1"/>
          <w:highlight w:val="yellow"/>
        </w:rPr>
        <w:t>.</w:t>
      </w:r>
      <w:r w:rsidRPr="00EA2E6F">
        <w:rPr>
          <w:rStyle w:val="StyleUnderline"/>
        </w:rPr>
        <w:t xml:space="preserve"> </w:t>
      </w:r>
      <w:r w:rsidRPr="00EA2E6F">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w:t>
      </w:r>
      <w:r w:rsidRPr="00164F48">
        <w:rPr>
          <w:sz w:val="16"/>
        </w:rPr>
        <w:t xml:space="preserve">collapse of the Seattle Ministerial, Barshefsky, WTO Director General Mike Moore, and other rich country representatives have spoken about the need for WTO 'reform'. </w:t>
      </w:r>
      <w:r w:rsidRPr="00164F48">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164F48">
        <w:rPr>
          <w:sz w:val="16"/>
        </w:rPr>
        <w:t>Should One Try to Reform a Jurass</w:t>
      </w:r>
      <w:r w:rsidRPr="00EA2E6F">
        <w:rPr>
          <w:sz w:val="16"/>
        </w:rPr>
        <w:t xml:space="preserve">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w:t>
      </w:r>
      <w:r w:rsidRPr="00164F48">
        <w:rPr>
          <w:rStyle w:val="StyleUnderline"/>
          <w:highlight w:val="yellow"/>
        </w:rPr>
        <w:t>.</w:t>
      </w:r>
      <w:r w:rsidRPr="00EA2E6F">
        <w:rPr>
          <w:rStyle w:val="StyleUnderline"/>
        </w:rPr>
        <w:t xml:space="preserve"> The WTO systematically protects and the trade and economic advantages of 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EA2E6F">
        <w:rPr>
          <w:sz w:val="16"/>
        </w:rPr>
        <w:t xml:space="preserve">The WTO is often promoted as a 'rules-based' trading framework that protects the weaker and poorer countries from unilateral actions by the stronger states. </w:t>
      </w:r>
      <w:r w:rsidRPr="00EA2E6F">
        <w:rPr>
          <w:rStyle w:val="StyleUnderline"/>
        </w:rPr>
        <w:t>The opposite is true</w:t>
      </w:r>
      <w:r w:rsidRPr="00164F48">
        <w:rPr>
          <w:rStyle w:val="StyleUnderline"/>
        </w:rPr>
        <w:t xml:space="preserve">: the WTO, like many other multilateral international agreements, is meant to instututionalize and legtimize inequality. Its main purpose is to reduce the tremendous policing costs to the stronger powers that would be involved in disciplining many small countries in a more fluid, less structured international system. </w:t>
      </w:r>
      <w:r w:rsidRPr="00164F48">
        <w:rPr>
          <w:sz w:val="16"/>
        </w:rPr>
        <w:t>It is not surprising that both the WTO and the IMF are currently mired in a severe</w:t>
      </w:r>
      <w:r w:rsidRPr="00EA2E6F">
        <w:rPr>
          <w:sz w:val="16"/>
        </w:rPr>
        <w:t xml:space="preserv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7BE7F267" w14:textId="77777777" w:rsidR="008B51E7" w:rsidRPr="00164F48" w:rsidRDefault="008B51E7" w:rsidP="008B51E7">
      <w:pPr>
        <w:pStyle w:val="Heading4"/>
        <w:spacing w:line="480" w:lineRule="auto"/>
        <w:ind w:right="-720"/>
        <w:rPr>
          <w:rStyle w:val="StyleUnderline"/>
          <w:szCs w:val="24"/>
          <w:u w:val="none"/>
        </w:rPr>
      </w:pPr>
      <w:r>
        <w:rPr>
          <w:rStyle w:val="StyleUnderline"/>
          <w:b/>
          <w:bCs w:val="0"/>
          <w:u w:val="none"/>
        </w:rPr>
        <w:t xml:space="preserve"> [Reform] AND </w:t>
      </w:r>
      <w:r>
        <w:rPr>
          <w:rStyle w:val="StyleUnderline"/>
          <w:u w:val="none"/>
        </w:rPr>
        <w:t>the aff is only committed to temporary and exceptional reforms like short-term waivers – that puts power in the WTO’s hands to decide when a pandemic is “over” or which types of patents to pursue.</w:t>
      </w:r>
    </w:p>
    <w:p w14:paraId="0C4B5820" w14:textId="77777777" w:rsidR="008B51E7" w:rsidRDefault="008B51E7" w:rsidP="008B51E7">
      <w:pPr>
        <w:pStyle w:val="Heading3"/>
        <w:ind w:right="-720"/>
      </w:pPr>
      <w:r>
        <w:t xml:space="preserve">B. Impact </w:t>
      </w:r>
    </w:p>
    <w:p w14:paraId="41807D18" w14:textId="77777777" w:rsidR="008B51E7" w:rsidRPr="00BB4F2A" w:rsidRDefault="008B51E7" w:rsidP="008B51E7"/>
    <w:p w14:paraId="794BE7C5" w14:textId="77777777" w:rsidR="008B51E7" w:rsidRDefault="008B51E7" w:rsidP="008B51E7">
      <w:pPr>
        <w:pStyle w:val="Heading4"/>
        <w:spacing w:line="480" w:lineRule="auto"/>
        <w:ind w:right="-720"/>
        <w:rPr>
          <w:rFonts w:cs="Times New Roman"/>
        </w:rPr>
      </w:pPr>
      <w:r>
        <w:rPr>
          <w:rFonts w:cs="Times New Roman"/>
        </w:rPr>
        <w:t xml:space="preserve">[Gatwiri et al] WHITE SAVIORISM: </w:t>
      </w:r>
      <w:r>
        <w:rPr>
          <w:rFonts w:cs="Times New Roman"/>
          <w:b w:val="0"/>
          <w:bCs w:val="0"/>
        </w:rPr>
        <w:t>using the WTO to expand medicine is a wolf in sheep’s clothes – they use the language of inclusion to marginalize Black people</w:t>
      </w:r>
      <w:r w:rsidRPr="00DD3C93">
        <w:rPr>
          <w:rFonts w:cs="Times New Roman"/>
          <w:b w:val="0"/>
          <w:bCs w:val="0"/>
        </w:rPr>
        <w:t xml:space="preserve"> –</w:t>
      </w:r>
      <w:r>
        <w:rPr>
          <w:rFonts w:cs="Times New Roman"/>
          <w:b w:val="0"/>
          <w:bCs w:val="0"/>
        </w:rPr>
        <w:t xml:space="preserve"> </w:t>
      </w:r>
      <w:r w:rsidRPr="00DD3C93">
        <w:rPr>
          <w:rFonts w:cs="Times New Roman"/>
        </w:rPr>
        <w:t>Africa proves.</w:t>
      </w:r>
      <w:r>
        <w:rPr>
          <w:rFonts w:cs="Times New Roman"/>
        </w:rPr>
        <w:t xml:space="preserve"> </w:t>
      </w:r>
    </w:p>
    <w:p w14:paraId="7007598A" w14:textId="77777777" w:rsidR="008B51E7" w:rsidRDefault="008B51E7" w:rsidP="008B51E7">
      <w:pPr>
        <w:ind w:right="-720"/>
        <w:rPr>
          <w:i/>
          <w:iCs/>
          <w:sz w:val="16"/>
        </w:rPr>
      </w:pPr>
      <w:r>
        <w:rPr>
          <w:b/>
          <w:bCs/>
          <w:u w:val="single"/>
        </w:rPr>
        <w:t>Gatwiri et al</w:t>
      </w:r>
      <w:r w:rsidRPr="00BB4F2A">
        <w:rPr>
          <w:b/>
          <w:bCs/>
        </w:rPr>
        <w:t xml:space="preserve">: </w:t>
      </w:r>
      <w:r w:rsidRPr="00DD3C93">
        <w:rPr>
          <w:sz w:val="16"/>
        </w:rPr>
        <w:t xml:space="preserve">Gatwiri, Kathomi [lecturer based at Southern Cross University where she teaches Social Work &amp; Social Policy] Amboko, Julians [finance and economics correspondent with the Nation Media Group] Okolla, Darius [Bachelor of Commerce - Finance degree, from Kenyatta University,] “The implications of Neoliberalism on African economies, health outcomes and wellbeing: a conceptual argument” </w:t>
      </w:r>
      <w:r w:rsidRPr="00DD3C93">
        <w:rPr>
          <w:i/>
          <w:iCs/>
          <w:sz w:val="16"/>
        </w:rPr>
        <w:t xml:space="preserve">Soc Theory Health. </w:t>
      </w:r>
      <w:r w:rsidRPr="00DD3C93">
        <w:rPr>
          <w:sz w:val="16"/>
        </w:rPr>
        <w:t xml:space="preserve">June 26, 2019 </w:t>
      </w:r>
      <w:r w:rsidRPr="00DD3C93">
        <w:rPr>
          <w:i/>
          <w:iCs/>
          <w:sz w:val="16"/>
        </w:rPr>
        <w:t xml:space="preserve"> </w:t>
      </w:r>
    </w:p>
    <w:p w14:paraId="6502EF67" w14:textId="77777777" w:rsidR="008B51E7" w:rsidRPr="00DD3C93" w:rsidRDefault="008B51E7" w:rsidP="008B51E7">
      <w:pPr>
        <w:ind w:right="-720"/>
      </w:pPr>
    </w:p>
    <w:p w14:paraId="3CA72E64" w14:textId="77777777" w:rsidR="008B51E7" w:rsidRDefault="008B51E7" w:rsidP="008B51E7">
      <w:pPr>
        <w:spacing w:line="480" w:lineRule="auto"/>
        <w:ind w:right="-720"/>
        <w:rPr>
          <w:sz w:val="16"/>
        </w:rPr>
      </w:pPr>
      <w:r w:rsidRPr="00B12BA8">
        <w:rPr>
          <w:rStyle w:val="StyleUnderline"/>
        </w:rPr>
        <w:t xml:space="preserve">Since the late 1980s, </w:t>
      </w:r>
      <w:r w:rsidRPr="000774B9">
        <w:rPr>
          <w:rStyle w:val="StyleUnderline"/>
          <w:highlight w:val="yellow"/>
        </w:rPr>
        <w:t>the sub-Sahara has been struggling to address the issues of inequality that have been inflated by neoliberal policies</w:t>
      </w:r>
      <w:r w:rsidRPr="00B12BA8">
        <w:rPr>
          <w:rStyle w:val="StyleUnderline"/>
        </w:rPr>
        <w:t xml:space="preserve"> and capitalist development policies </w:t>
      </w:r>
      <w:r w:rsidRPr="000774B9">
        <w:rPr>
          <w:rStyle w:val="StyleUnderline"/>
          <w:highlight w:val="yellow"/>
        </w:rPr>
        <w:t>that</w:t>
      </w:r>
      <w:r w:rsidRPr="00BB4F2A">
        <w:rPr>
          <w:rStyle w:val="StyleUnderline"/>
        </w:rPr>
        <w:t xml:space="preserve"> focus on production of labour and little on the health and wellbeing of the “producers” of the said labour. Globally, the rolling out of neoliberal policies has led to a plethora of harmful socioeconomic consequences, including increased</w:t>
      </w:r>
      <w:r w:rsidRPr="00B12BA8">
        <w:rPr>
          <w:rStyle w:val="StyleUnderline"/>
        </w:rPr>
        <w:t xml:space="preserve"> poverty, unemployment, and deterioration of income distribution</w:t>
      </w:r>
      <w:r w:rsidRPr="00B12BA8">
        <w:rPr>
          <w:sz w:val="16"/>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w:t>
      </w:r>
      <w:r w:rsidRPr="00BB4F2A">
        <w:rPr>
          <w:sz w:val="16"/>
        </w:rPr>
        <w:t xml:space="preserve">has a harmful impact on people’s health and wellbeing. </w:t>
      </w:r>
      <w:r w:rsidRPr="00BB4F2A">
        <w:rPr>
          <w:rStyle w:val="StyleUnderline"/>
        </w:rPr>
        <w:t xml:space="preserve">The biggest conceptual challenge is that neoliberal ideology </w:t>
      </w:r>
      <w:r w:rsidRPr="000774B9">
        <w:rPr>
          <w:rStyle w:val="StyleUnderline"/>
          <w:highlight w:val="yellow"/>
        </w:rPr>
        <w:t>adopts the language of freedom</w:t>
      </w:r>
      <w:r w:rsidRPr="00B12BA8">
        <w:rPr>
          <w:rStyle w:val="StyleUnderline"/>
        </w:rPr>
        <w:t xml:space="preserve"> and choice, </w:t>
      </w:r>
      <w:r w:rsidRPr="000774B9">
        <w:rPr>
          <w:rStyle w:val="StyleUnderline"/>
          <w:highlight w:val="yellow"/>
        </w:rPr>
        <w:t>increased foreign investments, and</w:t>
      </w:r>
      <w:r w:rsidRPr="00BB4F2A">
        <w:rPr>
          <w:rStyle w:val="StyleUnderline"/>
        </w:rPr>
        <w:t xml:space="preserve"> open markets and </w:t>
      </w:r>
      <w:r w:rsidRPr="000774B9">
        <w:rPr>
          <w:rStyle w:val="StyleUnderline"/>
          <w:highlight w:val="yellow"/>
        </w:rPr>
        <w:t>trade to progress</w:t>
      </w:r>
      <w:r w:rsidRPr="00BB4F2A">
        <w:rPr>
          <w:rStyle w:val="StyleUnderline"/>
        </w:rPr>
        <w:t xml:space="preserve"> policies that lead to </w:t>
      </w:r>
      <w:r w:rsidRPr="000774B9">
        <w:rPr>
          <w:rStyle w:val="StyleUnderline"/>
          <w:highlight w:val="yellow"/>
        </w:rPr>
        <w:t>privatisation of</w:t>
      </w:r>
      <w:r w:rsidRPr="00BB4F2A">
        <w:rPr>
          <w:rStyle w:val="StyleUnderline"/>
        </w:rPr>
        <w:t xml:space="preserve"> basic needs</w:t>
      </w:r>
      <w:r w:rsidRPr="00B12BA8">
        <w:rPr>
          <w:rStyle w:val="StyleUnderline"/>
        </w:rPr>
        <w:t xml:space="preserve"> such as education, </w:t>
      </w:r>
      <w:r w:rsidRPr="00BB4F2A">
        <w:rPr>
          <w:rStyle w:val="StyleUnderline"/>
          <w:highlight w:val="yellow"/>
        </w:rPr>
        <w:t>healthcare</w:t>
      </w:r>
      <w:r w:rsidRPr="00B12BA8">
        <w:rPr>
          <w:rStyle w:val="StyleUnderline"/>
        </w:rPr>
        <w:t>, water, electricity and housing</w:t>
      </w:r>
      <w:r w:rsidRPr="00BB4F2A">
        <w:rPr>
          <w:rStyle w:val="StyleUnderline"/>
          <w:highlight w:val="yellow"/>
        </w:rPr>
        <w:t xml:space="preserve">. </w:t>
      </w:r>
      <w:r w:rsidRPr="00BB4F2A">
        <w:rPr>
          <w:rStyle w:val="StyleUnderline"/>
        </w:rPr>
        <w:t>The rich can often afford these services and can compete “fairly” in the “free market”, but the poor—unable to afford health care, education or decent housing—are left marginalised.</w:t>
      </w:r>
      <w:r w:rsidRPr="00B12BA8">
        <w:rPr>
          <w:sz w:val="16"/>
        </w:rPr>
        <w:t xml:space="preserve"> Njoya (2017) explored the use of language in promoting inequality in the healthcare system. She argued that “neoliberalism uses the language of social policy and justice but [insidiously] drives a very corporate and unequal agenda.” </w:t>
      </w:r>
      <w:r w:rsidRPr="000774B9">
        <w:rPr>
          <w:rStyle w:val="StyleUnderline"/>
          <w:highlight w:val="yellow"/>
        </w:rPr>
        <w:t>Neolib</w:t>
      </w:r>
      <w:r w:rsidRPr="00B12BA8">
        <w:rPr>
          <w:rStyle w:val="StyleUnderline"/>
        </w:rPr>
        <w:t xml:space="preserve">eralism </w:t>
      </w:r>
      <w:r w:rsidRPr="000774B9">
        <w:rPr>
          <w:rStyle w:val="StyleUnderline"/>
          <w:highlight w:val="yellow"/>
        </w:rPr>
        <w:t>has radically shifted the African</w:t>
      </w:r>
      <w:r w:rsidRPr="00BB4F2A">
        <w:rPr>
          <w:rStyle w:val="StyleUnderline"/>
        </w:rPr>
        <w:t xml:space="preserve"> public health space in the last two decades. Most sub-Saharan African countries drastically reduced their healthcare budgets following the International Monetary Fund (IMF) and the World Bank Structural Adjustment programs (SAPs) directives. As Hartmann (2016, p. 2146) wrote, it “decentralized </w:t>
      </w:r>
      <w:r w:rsidRPr="000774B9">
        <w:rPr>
          <w:rStyle w:val="StyleUnderline"/>
          <w:highlight w:val="yellow"/>
        </w:rPr>
        <w:t>health care decision-making and funding, resulting in wide-scale privatization</w:t>
      </w:r>
      <w:r w:rsidRPr="00BB4F2A">
        <w:rPr>
          <w:rStyle w:val="StyleUnderline"/>
        </w:rPr>
        <w:t xml:space="preserve"> of health care services</w:t>
      </w:r>
      <w:r w:rsidRPr="00BB4F2A">
        <w:rPr>
          <w:rStyle w:val="StyleUnderline"/>
          <w:highlight w:val="yellow"/>
        </w:rPr>
        <w:t>,</w:t>
      </w:r>
      <w:r w:rsidRPr="00B12BA8">
        <w:rPr>
          <w:rStyle w:val="StyleUnderline"/>
        </w:rPr>
        <w:t xml:space="preserve"> delivery, and insurance, which led to structural segmentation and fragmentation.” SAPs have had myriad negative impacts on African economies, including, but not limited to, “inflationary pressure</w:t>
      </w:r>
      <w:r w:rsidRPr="00BB4F2A">
        <w:rPr>
          <w:rStyle w:val="StyleUnderline"/>
        </w:rPr>
        <w:t xml:space="preserve">s, the </w:t>
      </w:r>
      <w:r w:rsidRPr="000774B9">
        <w:rPr>
          <w:rStyle w:val="StyleUnderline"/>
          <w:highlight w:val="yellow"/>
        </w:rPr>
        <w:t>marginalization of the poor</w:t>
      </w:r>
      <w:r w:rsidRPr="00B12BA8">
        <w:rPr>
          <w:rStyle w:val="StyleUnderline"/>
        </w:rPr>
        <w:t xml:space="preserve"> in the distribution of educational and health benefits </w:t>
      </w:r>
      <w:r w:rsidRPr="000774B9">
        <w:rPr>
          <w:rStyle w:val="StyleUnderline"/>
          <w:highlight w:val="yellow"/>
        </w:rPr>
        <w:t>and</w:t>
      </w:r>
      <w:r w:rsidRPr="00BB4F2A">
        <w:rPr>
          <w:rStyle w:val="StyleUnderline"/>
        </w:rPr>
        <w:t xml:space="preserve"> a </w:t>
      </w:r>
      <w:r w:rsidRPr="000774B9">
        <w:rPr>
          <w:rStyle w:val="StyleUnderline"/>
          <w:highlight w:val="yellow"/>
        </w:rPr>
        <w:t>reduction in employment</w:t>
      </w:r>
      <w:r w:rsidRPr="00B12BA8">
        <w:rPr>
          <w:rStyle w:val="StyleUnderline"/>
        </w:rPr>
        <w:t>”</w:t>
      </w:r>
      <w:r w:rsidRPr="00B12BA8">
        <w:rPr>
          <w:sz w:val="16"/>
        </w:rPr>
        <w:t xml:space="preserve"> (Rono 2002, p. 84)</w:t>
      </w:r>
      <w:r w:rsidRPr="00BB4F2A">
        <w:rPr>
          <w:rStyle w:val="StyleUnderline"/>
          <w:highlight w:val="yellow"/>
        </w:rPr>
        <w:t>.</w:t>
      </w:r>
      <w:r w:rsidRPr="00B12BA8">
        <w:rPr>
          <w:sz w:val="16"/>
        </w:rPr>
        <w:t xml:space="preserve">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w:t>
      </w:r>
      <w:r w:rsidRPr="00BB4F2A">
        <w:rPr>
          <w:sz w:val="16"/>
        </w:rPr>
        <w:t xml:space="preserve">resources available. </w:t>
      </w:r>
      <w:r w:rsidRPr="00BB4F2A">
        <w:rPr>
          <w:rStyle w:val="StyleUnderline"/>
        </w:rPr>
        <w:t>The increased number of private healthcare organisations, coupled with a significant reduction in the role of government in the provision of healthcare services, contributed to extensive negative outcomes on the quality, effectiveness, cost and access of health systems and services, which severely impacted on people’s wellbeing.</w:t>
      </w:r>
      <w:r w:rsidRPr="00BB4F2A">
        <w:rPr>
          <w:sz w:val="16"/>
        </w:rPr>
        <w:t xml:space="preserve"> Rotarou and Sakellariou (2017, p. 497) state that the private institutions, “with their focus on increasing profits, and not on providing affordable and good-quality healthcare</w:t>
      </w:r>
      <w:r w:rsidRPr="00B12BA8">
        <w:rPr>
          <w:sz w:val="16"/>
        </w:rPr>
        <w:t xml:space="preserv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0774B9">
        <w:rPr>
          <w:rStyle w:val="StyleUnderline"/>
          <w:highlight w:val="yellow"/>
        </w:rPr>
        <w:t>The privatisation and buying out of African hospitals by foreign companies in an attempt to “help and rescue them” is a capitalist response that undercuts universal healthcare</w:t>
      </w:r>
      <w:r w:rsidRPr="00BB4F2A">
        <w:rPr>
          <w:rStyle w:val="StyleUnderline"/>
        </w:rPr>
        <w:t xml:space="preserve"> for Africans </w:t>
      </w:r>
      <w:r w:rsidRPr="000774B9">
        <w:rPr>
          <w:rStyle w:val="StyleUnderline"/>
          <w:highlight w:val="yellow"/>
        </w:rPr>
        <w:t xml:space="preserve">by </w:t>
      </w:r>
      <w:r w:rsidRPr="00BB4F2A">
        <w:rPr>
          <w:rStyle w:val="StyleUnderline"/>
          <w:highlight w:val="yellow"/>
        </w:rPr>
        <w:t>appropriating the language of</w:t>
      </w:r>
      <w:r w:rsidRPr="00B12BA8">
        <w:rPr>
          <w:rStyle w:val="StyleUnderline"/>
        </w:rPr>
        <w:t xml:space="preserve"> </w:t>
      </w:r>
      <w:r w:rsidRPr="00BB4F2A">
        <w:rPr>
          <w:rStyle w:val="StyleUnderline"/>
        </w:rPr>
        <w:t>care</w:t>
      </w:r>
      <w:r w:rsidRPr="00B12BA8">
        <w:rPr>
          <w:rStyle w:val="StyleUnderline"/>
        </w:rPr>
        <w:t xml:space="preserve"> and </w:t>
      </w:r>
      <w:r w:rsidRPr="00BB4F2A">
        <w:rPr>
          <w:rStyle w:val="StyleUnderline"/>
          <w:highlight w:val="yellow"/>
        </w:rPr>
        <w:t>inclusion.</w:t>
      </w:r>
      <w:r w:rsidRPr="00B12BA8">
        <w:rPr>
          <w:rStyle w:val="StyleUnderline"/>
        </w:rPr>
        <w:t xml:space="preserve"> In reality, </w:t>
      </w:r>
      <w:r w:rsidRPr="000774B9">
        <w:rPr>
          <w:rStyle w:val="StyleUnderline"/>
          <w:highlight w:val="yellow"/>
        </w:rPr>
        <w:t>this “white saviour approach” is layered with nothing but racism, disempowerment,</w:t>
      </w:r>
      <w:r w:rsidRPr="00BB4F2A">
        <w:rPr>
          <w:rStyle w:val="StyleUnderline"/>
        </w:rPr>
        <w:t xml:space="preserve"> exploitation of people, </w:t>
      </w:r>
      <w:r w:rsidRPr="000774B9">
        <w:rPr>
          <w:rStyle w:val="StyleUnderline"/>
          <w:highlight w:val="yellow"/>
        </w:rPr>
        <w:t>and exclusion</w:t>
      </w:r>
      <w:r w:rsidRPr="00B12BA8">
        <w:rPr>
          <w:rStyle w:val="StyleUnderline"/>
        </w:rPr>
        <w:t xml:space="preserve"> of those who cannot afford those “privatised” services</w:t>
      </w:r>
      <w:r w:rsidRPr="00BB4F2A">
        <w:rPr>
          <w:rStyle w:val="StyleUnderline"/>
          <w:highlight w:val="yellow"/>
        </w:rPr>
        <w:t>.</w:t>
      </w:r>
      <w:r w:rsidRPr="00BB4F2A">
        <w:rPr>
          <w:rStyle w:val="StyleUnderline"/>
          <w:u w:val="none"/>
        </w:rPr>
        <w:t xml:space="preserve"> </w:t>
      </w:r>
      <w:r w:rsidRPr="00B12BA8">
        <w:rPr>
          <w:sz w:val="16"/>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74AB8259" w14:textId="77777777" w:rsidR="008B51E7" w:rsidRPr="008A215A" w:rsidRDefault="008B51E7" w:rsidP="008B51E7">
      <w:pPr>
        <w:pStyle w:val="Heading4"/>
        <w:spacing w:line="480" w:lineRule="auto"/>
        <w:ind w:right="-720"/>
        <w:rPr>
          <w:rFonts w:cs="Calibri"/>
        </w:rPr>
      </w:pPr>
      <w:r>
        <w:rPr>
          <w:rFonts w:cs="Calibri"/>
        </w:rPr>
        <w:t>[da Silva] Second, UNEQUAL DISTRUBUTION:</w:t>
      </w:r>
      <w:r w:rsidRPr="008A215A">
        <w:rPr>
          <w:rFonts w:cs="Calibri"/>
        </w:rPr>
        <w:t xml:space="preserve"> </w:t>
      </w:r>
      <w:r w:rsidRPr="001F75A5">
        <w:rPr>
          <w:rFonts w:cs="Calibri"/>
          <w:b w:val="0"/>
          <w:bCs w:val="0"/>
        </w:rPr>
        <w:t>they refuse to consider how the so-called “benefits” of the aff will be distributed unequally and along racial lines.</w:t>
      </w:r>
    </w:p>
    <w:p w14:paraId="72B4903B" w14:textId="77777777" w:rsidR="008B51E7" w:rsidRPr="001F75A5" w:rsidRDefault="008B51E7" w:rsidP="008B51E7">
      <w:pPr>
        <w:ind w:right="-720"/>
        <w:rPr>
          <w:rFonts w:cs="Calibri"/>
          <w:sz w:val="16"/>
        </w:rPr>
      </w:pPr>
      <w:r>
        <w:rPr>
          <w:rFonts w:cs="Calibri"/>
          <w:b/>
          <w:bCs/>
          <w:u w:val="single"/>
        </w:rPr>
        <w:t xml:space="preserve">da Silva: </w:t>
      </w:r>
      <w:r w:rsidRPr="001F75A5">
        <w:rPr>
          <w:rFonts w:cs="Calibri"/>
          <w:sz w:val="16"/>
        </w:rPr>
        <w:t xml:space="preserve">da Silva, Denis [Professor and Director of the Institute for Gender, Race, Sexuality, and Social Justice at the University of British Columbia, University of Minnesota Press,] “Toward a Global Idea of Race”, </w:t>
      </w:r>
      <w:hyperlink r:id="rId10" w:history="1">
        <w:r w:rsidRPr="001F75A5">
          <w:rPr>
            <w:rStyle w:val="Hyperlink"/>
            <w:rFonts w:cs="Calibri"/>
            <w:sz w:val="16"/>
          </w:rPr>
          <w:t>https://www.upress.umn.edu/book-division/books/toward-a-global-idea-of-race</w:t>
        </w:r>
      </w:hyperlink>
      <w:r w:rsidRPr="001F75A5">
        <w:rPr>
          <w:rFonts w:cs="Calibri"/>
          <w:sz w:val="16"/>
        </w:rPr>
        <w:t>, 2007 VD</w:t>
      </w:r>
    </w:p>
    <w:p w14:paraId="140E2A09" w14:textId="77777777" w:rsidR="008B51E7" w:rsidRPr="008A215A" w:rsidRDefault="008B51E7" w:rsidP="008B51E7">
      <w:pPr>
        <w:ind w:right="-720"/>
        <w:rPr>
          <w:rStyle w:val="Style13ptBold"/>
          <w:rFonts w:cs="Calibri"/>
          <w:b w:val="0"/>
          <w:bCs/>
        </w:rPr>
      </w:pPr>
    </w:p>
    <w:p w14:paraId="7E6F65D2" w14:textId="77777777" w:rsidR="008B51E7" w:rsidRPr="00BB4F2A" w:rsidRDefault="008B51E7" w:rsidP="008B51E7">
      <w:pPr>
        <w:spacing w:line="480" w:lineRule="auto"/>
        <w:ind w:right="-720"/>
        <w:rPr>
          <w:rFonts w:cs="Calibri"/>
          <w:u w:val="single"/>
        </w:rPr>
      </w:pPr>
      <w:r w:rsidRPr="001F75A5">
        <w:rPr>
          <w:rFonts w:cs="Calibri"/>
          <w:sz w:val="16"/>
        </w:rPr>
        <w:t xml:space="preserve">My point is that the metaphor of the veil reproduces the effect of power of the sociohistorical logic of exclusion —which, as I show in Part 2, consists in a powerful tool of the analytics of raciality — which is to render racial emancipation contingent on the obliteration of racial difference. In Against Race, Paul Gilroy (2000) provides perhaps the best example of the perverse effects of this desire to recuperate the racial subaltern into an unbounded humanity. When advancing another claim for the erasure of the racial from modern political grammar, Gilroy announces that the demise of race is already under way, thanks to the radical alteration of bodies promised by genetic manipulation and the commodification of the black male body as an object for global and suburban white consumption. </w:t>
      </w:r>
      <w:r w:rsidRPr="001F75A5">
        <w:rPr>
          <w:rFonts w:cs="Calibri"/>
          <w:b/>
          <w:bCs/>
          <w:u w:val="single"/>
        </w:rPr>
        <w:t xml:space="preserve">Any impulse to celebrate this “emancipation” from the (racial) body dies when one learns the answer to the question of how biotechnology ushers liberation from race in Gilroy’s interpretation of “the tragic story of </w:t>
      </w:r>
      <w:r w:rsidRPr="000774B9">
        <w:rPr>
          <w:rFonts w:cs="Calibri"/>
          <w:b/>
          <w:bCs/>
          <w:highlight w:val="yellow"/>
          <w:u w:val="single"/>
        </w:rPr>
        <w:t>Henrietta Lacks,” a working -class U.S. black woman whose cervical cells have been crucial to the advancement of cancer research</w:t>
      </w:r>
      <w:r w:rsidRPr="001F75A5">
        <w:rPr>
          <w:rFonts w:cs="Calibri"/>
          <w:b/>
          <w:bCs/>
          <w:u w:val="single"/>
        </w:rPr>
        <w:t xml:space="preserve">, which exemplifies the passage from the “biopolitics of ‘race’” to “nano -politics.” For Gilroy, </w:t>
      </w:r>
      <w:r w:rsidRPr="000774B9">
        <w:rPr>
          <w:rFonts w:cs="Calibri"/>
          <w:b/>
          <w:bCs/>
          <w:highlight w:val="yellow"/>
          <w:u w:val="single"/>
        </w:rPr>
        <w:t>the fact that her blackness is irrelevant to medical research</w:t>
      </w:r>
      <w:r w:rsidRPr="001F75A5">
        <w:rPr>
          <w:rFonts w:cs="Calibri"/>
          <w:b/>
          <w:bCs/>
          <w:u w:val="single"/>
        </w:rPr>
        <w:t xml:space="preserve"> suggests a redefinition of the idea of humanity, for the “awareness of the indissoluble unity of all life at the level of genetic materials” displaces the idea of “specifically racial differences” (20, italics in the original). It would be all too easy to stop at pointing to </w:t>
      </w:r>
      <w:r w:rsidRPr="000774B9">
        <w:rPr>
          <w:rFonts w:cs="Calibri"/>
          <w:b/>
          <w:bCs/>
          <w:highlight w:val="yellow"/>
          <w:u w:val="single"/>
        </w:rPr>
        <w:t>the irony of how humanist desire needs science</w:t>
      </w:r>
      <w:r w:rsidRPr="001F75A5">
        <w:rPr>
          <w:rFonts w:cs="Calibri"/>
          <w:b/>
          <w:bCs/>
          <w:u w:val="single"/>
        </w:rPr>
        <w:t xml:space="preserve"> (genetics) </w:t>
      </w:r>
      <w:r w:rsidRPr="000774B9">
        <w:rPr>
          <w:rFonts w:cs="Calibri"/>
          <w:b/>
          <w:bCs/>
          <w:highlight w:val="yellow"/>
          <w:u w:val="single"/>
        </w:rPr>
        <w:t>to</w:t>
      </w:r>
      <w:r w:rsidRPr="001F75A5">
        <w:rPr>
          <w:rFonts w:cs="Calibri"/>
          <w:b/>
          <w:bCs/>
          <w:u w:val="single"/>
        </w:rPr>
        <w:t xml:space="preserve"> once again </w:t>
      </w:r>
      <w:r w:rsidRPr="000774B9">
        <w:rPr>
          <w:rFonts w:cs="Calibri"/>
          <w:b/>
          <w:bCs/>
          <w:highlight w:val="yellow"/>
          <w:u w:val="single"/>
        </w:rPr>
        <w:t>denounce race’s scientific irrelevance</w:t>
      </w:r>
      <w:r w:rsidRPr="001F75A5">
        <w:rPr>
          <w:rFonts w:cs="Calibri"/>
          <w:b/>
          <w:bCs/>
          <w:u w:val="single"/>
        </w:rPr>
        <w:t>.</w:t>
      </w:r>
      <w:r w:rsidRPr="001F75A5">
        <w:rPr>
          <w:rFonts w:cs="Calibri"/>
          <w:b/>
          <w:bCs/>
          <w:sz w:val="16"/>
        </w:rPr>
        <w:t xml:space="preserve"> </w:t>
      </w:r>
      <w:r w:rsidRPr="001F75A5">
        <w:rPr>
          <w:sz w:val="16"/>
          <w:szCs w:val="16"/>
        </w:rPr>
        <w:t xml:space="preserve">But it is more interesting, I think, to point to how this desire cannot reduce or sublate the materiality (body and social position) of the economically dispossessed black female, which </w:t>
      </w:r>
      <w:r w:rsidRPr="001F75A5">
        <w:rPr>
          <w:rFonts w:cs="Calibri"/>
          <w:sz w:val="16"/>
        </w:rPr>
        <w:t xml:space="preserve">resists the liberating powers of “transfiguration,” “commodification,” and biotechnology. How did Henrietta Lacks’s cervical cells become available to scientific research? Why did the cellular biologist at Johns Hopkins University see it as ethical to appropriate her cells without her consent? How has the use of economically dispossessed black neighborhoods as testing camps ensured advances in public health research at that university? What cells do not reveal is how the female racial subaltern has been consistently (re)produced as a kind of human being to whom neither juridic universality nor self -determination applies. </w:t>
      </w:r>
      <w:r w:rsidRPr="001F75A5">
        <w:rPr>
          <w:rFonts w:cs="Calibri"/>
          <w:b/>
          <w:bCs/>
          <w:u w:val="single"/>
        </w:rPr>
        <w:t xml:space="preserve">Not only does </w:t>
      </w:r>
      <w:r w:rsidRPr="000774B9">
        <w:rPr>
          <w:rFonts w:cs="Calibri"/>
          <w:b/>
          <w:bCs/>
          <w:highlight w:val="yellow"/>
          <w:u w:val="single"/>
        </w:rPr>
        <w:t>her femaleness place Henrietta</w:t>
      </w:r>
      <w:r w:rsidRPr="001F75A5">
        <w:rPr>
          <w:rFonts w:cs="Calibri"/>
          <w:b/>
          <w:bCs/>
          <w:u w:val="single"/>
        </w:rPr>
        <w:t xml:space="preserve"> Lacks </w:t>
      </w:r>
      <w:r w:rsidRPr="000774B9">
        <w:rPr>
          <w:rFonts w:cs="Calibri"/>
          <w:b/>
          <w:bCs/>
          <w:highlight w:val="yellow"/>
          <w:u w:val="single"/>
        </w:rPr>
        <w:t>under patriarchal</w:t>
      </w:r>
      <w:r w:rsidRPr="001F75A5">
        <w:rPr>
          <w:rFonts w:cs="Calibri"/>
          <w:b/>
          <w:bCs/>
          <w:u w:val="single"/>
        </w:rPr>
        <w:t xml:space="preserve"> (divine or natural) </w:t>
      </w:r>
      <w:r w:rsidRPr="000774B9">
        <w:rPr>
          <w:rFonts w:cs="Calibri"/>
          <w:b/>
          <w:bCs/>
          <w:highlight w:val="yellow"/>
          <w:u w:val="single"/>
        </w:rPr>
        <w:t>law, away from the</w:t>
      </w:r>
      <w:r w:rsidRPr="001F75A5">
        <w:rPr>
          <w:rFonts w:cs="Calibri"/>
          <w:b/>
          <w:bCs/>
          <w:u w:val="single"/>
        </w:rPr>
        <w:t xml:space="preserve"> domain of the </w:t>
      </w:r>
      <w:r w:rsidRPr="000774B9">
        <w:rPr>
          <w:rFonts w:cs="Calibri"/>
          <w:b/>
          <w:bCs/>
          <w:highlight w:val="yellow"/>
          <w:u w:val="single"/>
        </w:rPr>
        <w:t>laws of the body politic. Her blackness</w:t>
      </w:r>
      <w:r w:rsidRPr="001F75A5">
        <w:rPr>
          <w:rFonts w:cs="Calibri"/>
          <w:b/>
          <w:bCs/>
          <w:u w:val="single"/>
        </w:rPr>
        <w:t xml:space="preserve"> also </w:t>
      </w:r>
      <w:r w:rsidRPr="000774B9">
        <w:rPr>
          <w:rFonts w:cs="Calibri"/>
          <w:b/>
          <w:bCs/>
          <w:highlight w:val="yellow"/>
          <w:u w:val="single"/>
        </w:rPr>
        <w:t>produces her as radically distinct from the kind of subject presumed in</w:t>
      </w:r>
      <w:r w:rsidRPr="001F75A5">
        <w:rPr>
          <w:rFonts w:cs="Calibri"/>
          <w:b/>
          <w:bCs/>
          <w:u w:val="single"/>
        </w:rPr>
        <w:t xml:space="preserve"> the </w:t>
      </w:r>
      <w:r w:rsidRPr="000774B9">
        <w:rPr>
          <w:rFonts w:cs="Calibri"/>
          <w:b/>
          <w:bCs/>
          <w:highlight w:val="yellow"/>
          <w:u w:val="single"/>
        </w:rPr>
        <w:t>ethical principles</w:t>
      </w:r>
      <w:r w:rsidRPr="001F75A5">
        <w:rPr>
          <w:rFonts w:cs="Calibri"/>
          <w:b/>
          <w:bCs/>
          <w:u w:val="single"/>
        </w:rPr>
        <w:t xml:space="preserve"> governing modern social configurations</w:t>
      </w:r>
      <w:r w:rsidRPr="001F75A5">
        <w:rPr>
          <w:rFonts w:cs="Calibri"/>
          <w:u w:val="single"/>
        </w:rPr>
        <w:t>.</w:t>
      </w:r>
      <w:r w:rsidRPr="001F75A5">
        <w:rPr>
          <w:rFonts w:cs="Calibri"/>
          <w:sz w:val="16"/>
        </w:rPr>
        <w:t xml:space="preserve"> Across the earth, women still die of cervical cancer despite the advances Lacks’s stolen cells have enabled, but they do not die the same way. Economically dispossessed women of color, like Lacks, die with more pain and no hope. Not only do they lack the financial means to access even the basic technologies available for the prevention and treatment of cervical cancer; in many cases (as in the case of a Brazilian federal program for the treatment of economically dispossessed cancer patients), when given access to this technology they are treated as little more than test subjects. </w:t>
      </w:r>
      <w:r w:rsidRPr="001F75A5">
        <w:rPr>
          <w:rFonts w:cs="Calibri"/>
          <w:b/>
          <w:bCs/>
          <w:u w:val="single"/>
        </w:rPr>
        <w:t xml:space="preserve">This is not because </w:t>
      </w:r>
      <w:r w:rsidRPr="000774B9">
        <w:rPr>
          <w:rFonts w:cs="Calibri"/>
          <w:b/>
          <w:bCs/>
          <w:highlight w:val="yellow"/>
          <w:u w:val="single"/>
        </w:rPr>
        <w:t>blackness</w:t>
      </w:r>
      <w:r w:rsidRPr="001F75A5">
        <w:rPr>
          <w:rFonts w:cs="Calibri"/>
          <w:b/>
          <w:bCs/>
          <w:u w:val="single"/>
        </w:rPr>
        <w:t xml:space="preserve"> determines the kind of cells that will grow in their bodies, but because it </w:t>
      </w:r>
      <w:r w:rsidRPr="000774B9">
        <w:rPr>
          <w:rFonts w:cs="Calibri"/>
          <w:b/>
          <w:bCs/>
          <w:highlight w:val="yellow"/>
          <w:u w:val="single"/>
        </w:rPr>
        <w:t>determines how they live with or die from cancer. That cancer cells do not indicate dark brown skin</w:t>
      </w:r>
      <w:r w:rsidRPr="001F75A5">
        <w:rPr>
          <w:rFonts w:cs="Calibri"/>
          <w:b/>
          <w:bCs/>
          <w:u w:val="single"/>
        </w:rPr>
        <w:t xml:space="preserve"> or flat noses </w:t>
      </w:r>
      <w:r w:rsidRPr="000774B9">
        <w:rPr>
          <w:rFonts w:cs="Calibri"/>
          <w:b/>
          <w:bCs/>
          <w:highlight w:val="yellow"/>
          <w:u w:val="single"/>
        </w:rPr>
        <w:t>can be conceived</w:t>
      </w:r>
      <w:r w:rsidRPr="001F75A5">
        <w:rPr>
          <w:rFonts w:cs="Calibri"/>
          <w:b/>
          <w:bCs/>
          <w:u w:val="single"/>
        </w:rPr>
        <w:t xml:space="preserve"> of </w:t>
      </w:r>
      <w:r w:rsidRPr="000774B9">
        <w:rPr>
          <w:rFonts w:cs="Calibri"/>
          <w:b/>
          <w:bCs/>
          <w:highlight w:val="yellow"/>
          <w:u w:val="single"/>
        </w:rPr>
        <w:t>as emancipatory only if one forgets</w:t>
      </w:r>
      <w:r w:rsidRPr="001F75A5">
        <w:rPr>
          <w:rFonts w:cs="Calibri"/>
          <w:b/>
          <w:bCs/>
          <w:u w:val="single"/>
        </w:rPr>
        <w:t xml:space="preserve">, or minimizes, </w:t>
      </w:r>
      <w:r w:rsidRPr="000774B9">
        <w:rPr>
          <w:rFonts w:cs="Calibri"/>
          <w:b/>
          <w:bCs/>
          <w:highlight w:val="yellow"/>
          <w:u w:val="single"/>
        </w:rPr>
        <w:t>the political context within which</w:t>
      </w:r>
      <w:r w:rsidRPr="001F75A5">
        <w:rPr>
          <w:rFonts w:cs="Calibri"/>
          <w:b/>
          <w:bCs/>
          <w:u w:val="single"/>
        </w:rPr>
        <w:t xml:space="preserve"> lab materials will be collected and </w:t>
      </w:r>
      <w:r w:rsidRPr="000774B9">
        <w:rPr>
          <w:rFonts w:cs="Calibri"/>
          <w:b/>
          <w:bCs/>
          <w:highlight w:val="yellow"/>
          <w:u w:val="single"/>
        </w:rPr>
        <w:t>the benefits of biotechnological research will be distributed</w:t>
      </w:r>
      <w:r w:rsidRPr="001F75A5">
        <w:rPr>
          <w:rFonts w:cs="Calibri"/>
          <w:b/>
          <w:bCs/>
          <w:u w:val="single"/>
        </w:rPr>
        <w:t>.</w:t>
      </w:r>
      <w:r w:rsidRPr="001F75A5">
        <w:rPr>
          <w:rFonts w:cs="Calibri"/>
          <w:b/>
          <w:bCs/>
          <w:sz w:val="16"/>
        </w:rPr>
        <w:t xml:space="preserve"> </w:t>
      </w:r>
      <w:r w:rsidRPr="001F75A5">
        <w:rPr>
          <w:rFonts w:cs="Calibri"/>
          <w:sz w:val="16"/>
        </w:rPr>
        <w:t xml:space="preserve">Whether inspired by humanism or not, any critical ontoepistemological account couched upon the transparency thesis will ignore the conditions of production of modern subjects, how the arsenal of the modern “Will to Truth,” tools of reason, institute social (juridical, economic, ethical) subjects, the men and women who produce and reproduce (and the institutions that regulate) their own social trajectories. Whatever else can be said about the critical position Gilroy inhabits, it certainly holds onto the promises of historicity and universality, which animate postmodern humanist desires for a postracial, transparent future: “The spaces in which ‘races’ come to life,” Gilroy laments, “are a field from which political interaction has been banished” (41). What would be left, I ask, to the project of social or global justice if modern subjects were freed from raciality? This is not just a rhetorical question. </w:t>
      </w:r>
      <w:r w:rsidRPr="001F75A5">
        <w:rPr>
          <w:rFonts w:cs="Calibri"/>
          <w:b/>
          <w:bCs/>
          <w:u w:val="single"/>
        </w:rPr>
        <w:t>It requires a critique of modern thought that addresses scientific knowledge as a major productive site of power, one that addresses how the racial, the scientific signifier, produces social subjects who stand differentially before the institutions the transparency thesis sustains.</w:t>
      </w:r>
      <w:r w:rsidRPr="001F75A5">
        <w:rPr>
          <w:rFonts w:cs="Calibri"/>
          <w:sz w:val="16"/>
        </w:rPr>
        <w:t xml:space="preserve"> Perhaps it is evident now that the answer to the question of what lies behind the veil is more complicated than it appears to be. </w:t>
      </w:r>
      <w:r w:rsidRPr="001F75A5">
        <w:rPr>
          <w:rFonts w:cs="Calibri"/>
          <w:b/>
          <w:bCs/>
          <w:u w:val="single"/>
        </w:rPr>
        <w:t xml:space="preserve">At </w:t>
      </w:r>
      <w:r w:rsidRPr="000774B9">
        <w:rPr>
          <w:rFonts w:cs="Calibri"/>
          <w:b/>
          <w:bCs/>
          <w:highlight w:val="yellow"/>
          <w:u w:val="single"/>
        </w:rPr>
        <w:t>least for the economically dispossessed racialized gendered person for whom</w:t>
      </w:r>
      <w:r w:rsidRPr="001F75A5">
        <w:rPr>
          <w:rFonts w:cs="Calibri"/>
          <w:b/>
          <w:bCs/>
          <w:u w:val="single"/>
        </w:rPr>
        <w:t xml:space="preserve">, as for Henrietta Lacks, </w:t>
      </w:r>
      <w:r w:rsidRPr="000774B9">
        <w:rPr>
          <w:rFonts w:cs="Calibri"/>
          <w:b/>
          <w:bCs/>
          <w:highlight w:val="yellow"/>
          <w:u w:val="single"/>
        </w:rPr>
        <w:t>physical death is only the most evident effect of the post -Enlightenment desire for transparency and the</w:t>
      </w:r>
      <w:r w:rsidRPr="001F75A5">
        <w:rPr>
          <w:rFonts w:cs="Calibri"/>
          <w:b/>
          <w:bCs/>
          <w:u w:val="single"/>
        </w:rPr>
        <w:t xml:space="preserve"> historical and </w:t>
      </w:r>
      <w:r w:rsidRPr="000774B9">
        <w:rPr>
          <w:rFonts w:cs="Calibri"/>
          <w:b/>
          <w:bCs/>
          <w:highlight w:val="yellow"/>
          <w:u w:val="single"/>
        </w:rPr>
        <w:t>scientific signifying strategies that (re)produce it</w:t>
      </w:r>
      <w:r w:rsidRPr="001F75A5">
        <w:rPr>
          <w:rFonts w:cs="Calibri"/>
          <w:b/>
          <w:bCs/>
          <w:u w:val="single"/>
        </w:rPr>
        <w:t>.</w:t>
      </w:r>
      <w:r w:rsidRPr="001F75A5">
        <w:rPr>
          <w:rFonts w:cs="Calibri"/>
          <w:sz w:val="16"/>
        </w:rPr>
        <w:t xml:space="preserve"> What I am suggesting is that the moral ease with which the sociohistorical logic of exclusion captures racial subjection derives from how it (re)produces the transparency thesis by translating the obliteration of the kind of particularity the latter postulates into a demand for the obliteration of the signifier that institutes it, namely, the racial —a gesture that consistently reinstitutes the transparent subject of science and history, the proper name of the man. </w:t>
      </w:r>
      <w:r w:rsidRPr="001F75A5">
        <w:rPr>
          <w:rFonts w:cs="Calibri"/>
          <w:b/>
          <w:bCs/>
          <w:u w:val="single"/>
        </w:rPr>
        <w:t>For this reason, I claim, only an excavation of modern thought, an analysis of the economy of signification governed by the transparency thesis and the analytics of raciality, will enable critical ontoepistemological projects and the ethical principle that usually accompany them, which can aid in the project of global justice.</w:t>
      </w:r>
    </w:p>
    <w:p w14:paraId="12A21F3B" w14:textId="77777777" w:rsidR="008B51E7" w:rsidRPr="00B12BA8" w:rsidRDefault="008B51E7" w:rsidP="008B51E7">
      <w:pPr>
        <w:spacing w:line="480" w:lineRule="auto"/>
        <w:ind w:right="-720"/>
        <w:rPr>
          <w:sz w:val="16"/>
        </w:rPr>
      </w:pPr>
    </w:p>
    <w:p w14:paraId="7094CA4F" w14:textId="77777777" w:rsidR="008B51E7" w:rsidRDefault="008B51E7" w:rsidP="008B51E7">
      <w:pPr>
        <w:spacing w:line="480" w:lineRule="auto"/>
        <w:ind w:right="-720"/>
        <w:rPr>
          <w:sz w:val="16"/>
        </w:rPr>
      </w:pPr>
    </w:p>
    <w:p w14:paraId="17223B87" w14:textId="77777777" w:rsidR="008B51E7" w:rsidRDefault="008B51E7" w:rsidP="008B51E7">
      <w:pPr>
        <w:pStyle w:val="Heading3"/>
        <w:ind w:right="-720"/>
        <w:rPr>
          <w:u w:val="none"/>
        </w:rPr>
      </w:pPr>
      <w:r>
        <w:t>Thus, C. Alternative</w:t>
      </w:r>
    </w:p>
    <w:p w14:paraId="17526337" w14:textId="77777777" w:rsidR="008B51E7" w:rsidRPr="00BB4F2A" w:rsidRDefault="008B51E7" w:rsidP="008B51E7"/>
    <w:p w14:paraId="4EB4FF29" w14:textId="77777777" w:rsidR="008B51E7" w:rsidRPr="007A3EC3" w:rsidRDefault="008B51E7" w:rsidP="008B51E7">
      <w:pPr>
        <w:pStyle w:val="Heading4"/>
        <w:spacing w:line="480" w:lineRule="auto"/>
        <w:ind w:right="-720"/>
        <w:rPr>
          <w:b w:val="0"/>
          <w:bCs w:val="0"/>
        </w:rPr>
      </w:pPr>
      <w:r>
        <w:t xml:space="preserve">[Robinson] Reject the aff and replace it with Black Marxism, a negation of the negation of a world of racial capitalism. This means we call out the aff’s </w:t>
      </w:r>
      <w:r w:rsidRPr="00E5481D">
        <w:rPr>
          <w:i/>
          <w:iCs/>
        </w:rPr>
        <w:t>fram</w:t>
      </w:r>
      <w:r>
        <w:rPr>
          <w:i/>
          <w:iCs/>
        </w:rPr>
        <w:t xml:space="preserve">ing </w:t>
      </w:r>
      <w:r>
        <w:t xml:space="preserve">of the WTO as fundamentally racist – it’s not a question of policy, but of orientation. </w:t>
      </w:r>
      <w:r>
        <w:rPr>
          <w:b w:val="0"/>
          <w:bCs w:val="0"/>
        </w:rPr>
        <w:t xml:space="preserve">To clarify, we interrogate the anti-Black underpinnings of neoliberal institutions like the WTO as a prerequisite to any policy action. </w:t>
      </w:r>
    </w:p>
    <w:p w14:paraId="10AD9AFE" w14:textId="77777777" w:rsidR="008B51E7" w:rsidRPr="000D6672" w:rsidRDefault="008B51E7" w:rsidP="008B51E7">
      <w:pPr>
        <w:ind w:right="-720"/>
        <w:rPr>
          <w:sz w:val="16"/>
        </w:rPr>
      </w:pPr>
      <w:r w:rsidRPr="000D6672">
        <w:rPr>
          <w:rStyle w:val="StyleUnderline"/>
        </w:rPr>
        <w:t>Robinson</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11" w:history="1">
        <w:r w:rsidRPr="00E445EF">
          <w:rPr>
            <w:rStyle w:val="Hyperlink"/>
            <w:sz w:val="16"/>
          </w:rPr>
          <w:t>https://www.jstor.org/stable/10.5149/9781469663746_robinson</w:t>
        </w:r>
      </w:hyperlink>
      <w:r>
        <w:rPr>
          <w:sz w:val="16"/>
        </w:rPr>
        <w:t xml:space="preserve"> </w:t>
      </w:r>
      <w:r w:rsidRPr="000D6672">
        <w:rPr>
          <w:sz w:val="16"/>
        </w:rPr>
        <w:t>GC</w:t>
      </w:r>
    </w:p>
    <w:p w14:paraId="6F1FC69B" w14:textId="77777777" w:rsidR="008B51E7" w:rsidRPr="000D6672" w:rsidRDefault="008B51E7" w:rsidP="008B51E7">
      <w:pPr>
        <w:ind w:right="-720"/>
      </w:pPr>
    </w:p>
    <w:p w14:paraId="31131B53" w14:textId="77777777" w:rsidR="008B51E7" w:rsidRPr="00211E53" w:rsidRDefault="008B51E7" w:rsidP="008B51E7">
      <w:pPr>
        <w:spacing w:line="480" w:lineRule="auto"/>
        <w:ind w:right="-720"/>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Aristotle, one of the most original aristocratic apologists, had provided the template in Natural Law. In inferiorizing women ("[TIhe deliberative faculty of the soul is not present at all in the slave; in a female it is present but ineffective" [Politics,i26oaiz]), non-Greeks, and all laborers (slaves, artisans, farmers, wage workers, etc.: "[Tlhe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Du Bois,</w:t>
      </w:r>
      <w:r w:rsidRPr="00211E53">
        <w:rPr>
          <w:sz w:val="16"/>
        </w:rPr>
        <w:t xml:space="preserve"> in the midst of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interrelated 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marronage,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they merged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Charle~ton.'And, in turn, Denmark's movement informed the revolutionary tract, </w:t>
      </w:r>
      <w:r w:rsidRPr="00211E53">
        <w:rPr>
          <w:i/>
          <w:iCs/>
          <w:sz w:val="16"/>
        </w:rPr>
        <w:t xml:space="preserve">APPEAL in Four Articles; Together with a Preamble, to the Coloured Citizens of the World, But in Particular, and Very Expressly, to Those of the United States of America, </w:t>
      </w:r>
      <w:r w:rsidRPr="00211E53">
        <w:rPr>
          <w:sz w:val="16"/>
        </w:rPr>
        <w:t xml:space="preserve">penned by David Walker in Boston in 1829. </w:t>
      </w:r>
    </w:p>
    <w:p w14:paraId="450C1219" w14:textId="77777777" w:rsidR="008B51E7" w:rsidRDefault="008B51E7" w:rsidP="008B51E7">
      <w:pPr>
        <w:ind w:right="-720"/>
      </w:pPr>
    </w:p>
    <w:p w14:paraId="7B1F25D7" w14:textId="77777777" w:rsidR="008B51E7" w:rsidRPr="007A3EC3" w:rsidRDefault="008B51E7" w:rsidP="008B51E7">
      <w:pPr>
        <w:spacing w:line="480" w:lineRule="auto"/>
        <w:ind w:right="-720"/>
      </w:pPr>
      <w:r>
        <w:rPr>
          <w:b/>
          <w:bCs/>
        </w:rPr>
        <w:t xml:space="preserve">AND NO PERMS – </w:t>
      </w:r>
      <w:r>
        <w:t>they already committed to an orientation that lets the WTO try to solve racism – their reliance on neoliberal models is FUNDAMENTALLY INCOMPATIBLE with the alt.</w:t>
      </w:r>
    </w:p>
    <w:p w14:paraId="253643A6" w14:textId="6B3608C7" w:rsidR="00E42E4C" w:rsidRDefault="008B51E7" w:rsidP="008B51E7">
      <w:pPr>
        <w:pStyle w:val="Heading2"/>
        <w:rPr>
          <w:u w:val="single"/>
        </w:rPr>
      </w:pPr>
      <w:r>
        <w:rPr>
          <w:u w:val="single"/>
        </w:rPr>
        <w:t xml:space="preserve">Case </w:t>
      </w:r>
    </w:p>
    <w:p w14:paraId="4058C7E1" w14:textId="77777777" w:rsidR="008B51E7" w:rsidRDefault="008B51E7" w:rsidP="008B51E7">
      <w:pPr>
        <w:pStyle w:val="Heading2"/>
        <w:rPr>
          <w:u w:val="single"/>
        </w:rPr>
      </w:pPr>
      <w:r>
        <w:rPr>
          <w:u w:val="single"/>
        </w:rPr>
        <w:t xml:space="preserve">Underview </w:t>
      </w:r>
    </w:p>
    <w:p w14:paraId="24AA9D14" w14:textId="6F6C3D57" w:rsidR="008B51E7" w:rsidRPr="008B51E7" w:rsidRDefault="008B51E7" w:rsidP="008B51E7">
      <w:pPr>
        <w:pStyle w:val="Heading4"/>
        <w:spacing w:line="480" w:lineRule="auto"/>
        <w:rPr>
          <w:rFonts w:cs="Times New Roman"/>
          <w:b w:val="0"/>
          <w:bCs w:val="0"/>
        </w:rPr>
      </w:pPr>
      <w:r>
        <w:rPr>
          <w:rFonts w:cs="Times New Roman"/>
          <w:b w:val="0"/>
          <w:bCs w:val="0"/>
        </w:rPr>
        <w:t>R</w:t>
      </w:r>
      <w:r w:rsidRPr="00936880">
        <w:rPr>
          <w:rFonts w:cs="Times New Roman"/>
          <w:b w:val="0"/>
          <w:bCs w:val="0"/>
        </w:rPr>
        <w:t>eject 1ar theory: a] only one speech to respond to it which outweighs on infinite abuse because they can read infinite shells b] aff frames the round outweighs because they pick my ground and writing a better aff solves 1ar difficulty</w:t>
      </w:r>
      <w:r>
        <w:rPr>
          <w:rFonts w:cs="Times New Roman"/>
          <w:b w:val="0"/>
          <w:bCs w:val="0"/>
        </w:rPr>
        <w:t xml:space="preserve">. </w:t>
      </w:r>
      <w:r w:rsidRPr="00936880">
        <w:rPr>
          <w:rFonts w:cs="Times New Roman"/>
          <w:b w:val="0"/>
          <w:bCs w:val="0"/>
        </w:rPr>
        <w:t xml:space="preserve">1ar theory is drop the arg [1] key to 2n flex  - drop the debater forces a 1ar restart [2] I only have one speech to respond whereas they have two to make the implications across flows, so 2ns enter in the dark. Also, 1ar theory is reasonability [1] anything else moots 7 minutes of NC offense [2] no 3nr means im forced to do weighing in the 2n, which means I can never compensate. </w:t>
      </w:r>
      <w:bookmarkStart w:id="1" w:name="_GoBack"/>
      <w:bookmarkEnd w:id="1"/>
    </w:p>
    <w:p w14:paraId="0FDA6C13" w14:textId="2AA8B168" w:rsidR="008B51E7" w:rsidRPr="00D23DDE" w:rsidRDefault="008B51E7" w:rsidP="008B51E7">
      <w:pPr>
        <w:pStyle w:val="Heading4"/>
        <w:spacing w:line="480" w:lineRule="auto"/>
        <w:rPr>
          <w:b w:val="0"/>
          <w:bCs w:val="0"/>
        </w:rPr>
      </w:pPr>
      <w:r>
        <w:t>[</w:t>
      </w:r>
      <w:r>
        <w:t xml:space="preserve">Cueni 20] </w:t>
      </w:r>
      <w:r>
        <w:rPr>
          <w:b w:val="0"/>
          <w:bCs w:val="0"/>
        </w:rPr>
        <w:t xml:space="preserve">Companies are producing vaccines because they know their IPP is protected – </w:t>
      </w:r>
      <w:r w:rsidRPr="00D23DDE">
        <w:rPr>
          <w:u w:val="single"/>
        </w:rPr>
        <w:t>current</w:t>
      </w:r>
      <w:r>
        <w:rPr>
          <w:b w:val="0"/>
          <w:bCs w:val="0"/>
        </w:rPr>
        <w:t xml:space="preserve"> vaccine production proves</w:t>
      </w:r>
      <w:r>
        <w:t xml:space="preserve">. </w:t>
      </w:r>
      <w:r>
        <w:rPr>
          <w:b w:val="0"/>
          <w:bCs w:val="0"/>
        </w:rPr>
        <w:t xml:space="preserve"> </w:t>
      </w:r>
    </w:p>
    <w:p w14:paraId="4970C3E2" w14:textId="77777777" w:rsidR="008B51E7" w:rsidRDefault="008B51E7" w:rsidP="008B51E7">
      <w:pPr>
        <w:rPr>
          <w:sz w:val="16"/>
        </w:rPr>
      </w:pPr>
      <w:r w:rsidRPr="00D23DDE">
        <w:rPr>
          <w:b/>
          <w:bCs/>
          <w:u w:val="single"/>
        </w:rPr>
        <w:t>Cueni 20</w:t>
      </w:r>
      <w:r w:rsidRPr="00D23DDE">
        <w:rPr>
          <w:sz w:val="16"/>
        </w:rPr>
        <w:t xml:space="preserve">: Cueni, Thomas. [New York Times Company] “The risk in suspending vaccine patent rules” </w:t>
      </w:r>
      <w:r w:rsidRPr="00D23DDE">
        <w:rPr>
          <w:i/>
          <w:iCs/>
          <w:sz w:val="16"/>
        </w:rPr>
        <w:t xml:space="preserve">Wion, </w:t>
      </w:r>
      <w:r w:rsidRPr="00D23DDE">
        <w:rPr>
          <w:sz w:val="16"/>
        </w:rPr>
        <w:t xml:space="preserve">2020. JP </w:t>
      </w:r>
    </w:p>
    <w:p w14:paraId="06178AAC" w14:textId="77777777" w:rsidR="008B51E7" w:rsidRPr="00D23DDE" w:rsidRDefault="008B51E7" w:rsidP="008B51E7">
      <w:pPr>
        <w:rPr>
          <w:sz w:val="16"/>
        </w:rPr>
      </w:pPr>
    </w:p>
    <w:p w14:paraId="502FAC98" w14:textId="77777777" w:rsidR="008B51E7" w:rsidRPr="00D23DDE" w:rsidRDefault="008B51E7" w:rsidP="008B51E7">
      <w:pPr>
        <w:spacing w:line="480" w:lineRule="auto"/>
        <w:jc w:val="both"/>
        <w:rPr>
          <w:b/>
          <w:bCs/>
          <w:u w:val="single"/>
        </w:rPr>
      </w:pPr>
      <w:r w:rsidRPr="00D23DDE">
        <w:rPr>
          <w:sz w:val="16"/>
        </w:rPr>
        <w:t xml:space="preserve">It is unclear how suspending patent protections would ensure fair distribution. But what is clear is that if successful, the effort would jeopardize future medical innovation, making us more vulnerable to other diseases.  Intellectual property rights, including patents, grant inventors a period of exclusivity to make and market their creations. By affording these rights to those who create intangible assets, such as musical compositions, software or drug formulas — people will invent more useful new things.   </w:t>
      </w:r>
      <w:r w:rsidRPr="00D23DDE">
        <w:rPr>
          <w:b/>
          <w:bCs/>
          <w:highlight w:val="yellow"/>
          <w:u w:val="single"/>
        </w:rPr>
        <w:t>Development of a new medicine is risky and costly</w:t>
      </w:r>
      <w:r w:rsidRPr="00D23DDE">
        <w:rPr>
          <w:sz w:val="16"/>
        </w:rPr>
        <w:t xml:space="preserve">. Consider that scientists have spent decades — and billions of dollars — working on Alzheimer’s treatments, but still have little to show for it. The companies and investors who fund research shoulder so much risk because they have a shot at a reward. Once a patent expires, generic companies are free to produce the same product. </w:t>
      </w:r>
      <w:r w:rsidRPr="00D23DDE">
        <w:rPr>
          <w:b/>
          <w:bCs/>
          <w:highlight w:val="yellow"/>
          <w:u w:val="single"/>
        </w:rPr>
        <w:t>I</w:t>
      </w:r>
      <w:r w:rsidRPr="00D23DDE">
        <w:rPr>
          <w:b/>
          <w:bCs/>
          <w:u w:val="single"/>
        </w:rPr>
        <w:t xml:space="preserve">ntellectual </w:t>
      </w:r>
      <w:r w:rsidRPr="00D23DDE">
        <w:rPr>
          <w:b/>
          <w:bCs/>
          <w:highlight w:val="yellow"/>
          <w:u w:val="single"/>
        </w:rPr>
        <w:t>p</w:t>
      </w:r>
      <w:r w:rsidRPr="00D23DDE">
        <w:rPr>
          <w:b/>
          <w:bCs/>
          <w:u w:val="single"/>
        </w:rPr>
        <w:t xml:space="preserve">roperty </w:t>
      </w:r>
      <w:r w:rsidRPr="00D23DDE">
        <w:rPr>
          <w:b/>
          <w:bCs/>
          <w:highlight w:val="yellow"/>
          <w:u w:val="single"/>
        </w:rPr>
        <w:t>rights underpin the system that gives us all new medicines</w:t>
      </w:r>
      <w:r w:rsidRPr="00D23DDE">
        <w:rPr>
          <w:b/>
          <w:bCs/>
          <w:u w:val="single"/>
        </w:rPr>
        <w:t>, from psychiatric drugs to cancer treatments</w:t>
      </w:r>
      <w:r w:rsidRPr="00D23DDE">
        <w:rPr>
          <w:sz w:val="16"/>
        </w:rPr>
        <w:t xml:space="preserve">.  In trying to defend these rights, the drug industry has made mistakes in the past that have lost people’s trust. More than 22 years ago, for example, a group of drug companies sued the South African government for trying to import cheaper anti-AIDS drugs amid an epidemic. With price standing between patients and survival, the suit, which the companies eventually dropped, was a terrible misjudgment. The current situation is not parallel.  </w:t>
      </w:r>
      <w:r w:rsidRPr="00D23DDE">
        <w:rPr>
          <w:b/>
          <w:bCs/>
          <w:u w:val="single"/>
        </w:rPr>
        <w:t xml:space="preserve">Several major drug companies, including </w:t>
      </w:r>
      <w:r w:rsidRPr="00D23DDE">
        <w:rPr>
          <w:b/>
          <w:bCs/>
          <w:highlight w:val="yellow"/>
          <w:u w:val="single"/>
        </w:rPr>
        <w:t>AstraZeneca</w:t>
      </w:r>
      <w:r w:rsidRPr="00D23DDE">
        <w:rPr>
          <w:b/>
          <w:bCs/>
          <w:u w:val="single"/>
        </w:rPr>
        <w:t xml:space="preserve">, GlaxoSmithKline and </w:t>
      </w:r>
      <w:r w:rsidRPr="00D23DDE">
        <w:rPr>
          <w:b/>
          <w:bCs/>
          <w:highlight w:val="yellow"/>
          <w:u w:val="single"/>
        </w:rPr>
        <w:t>Johnson &amp; Johnson, have pledged to offer their vaccines on a not-for-profit basis during the pandemic</w:t>
      </w:r>
      <w:r w:rsidRPr="00D23DDE">
        <w:rPr>
          <w:sz w:val="16"/>
        </w:rPr>
        <w:t xml:space="preserve">. Others are considering differential pricing for different countries. </w:t>
      </w:r>
      <w:r w:rsidRPr="00D23DDE">
        <w:rPr>
          <w:b/>
          <w:bCs/>
          <w:u w:val="single"/>
        </w:rPr>
        <w:t xml:space="preserve">As of last month, </w:t>
      </w:r>
      <w:r w:rsidRPr="00D23DDE">
        <w:rPr>
          <w:b/>
          <w:bCs/>
          <w:highlight w:val="yellow"/>
          <w:u w:val="single"/>
        </w:rPr>
        <w:t xml:space="preserve">four major pharmaceutical companies </w:t>
      </w:r>
      <w:r w:rsidRPr="00D23DDE">
        <w:rPr>
          <w:b/>
          <w:bCs/>
          <w:u w:val="single"/>
        </w:rPr>
        <w:t xml:space="preserve">had already </w:t>
      </w:r>
      <w:r w:rsidRPr="00D23DDE">
        <w:rPr>
          <w:b/>
          <w:bCs/>
          <w:highlight w:val="yellow"/>
          <w:u w:val="single"/>
        </w:rPr>
        <w:t>agreed to eventually produce at least three billion vaccine doses for low- and middle-income nations</w:t>
      </w:r>
      <w:r w:rsidRPr="00D23DDE">
        <w:rPr>
          <w:b/>
          <w:bCs/>
          <w:u w:val="single"/>
        </w:rPr>
        <w:t>, according to one analysis</w:t>
      </w:r>
      <w:r w:rsidRPr="00D23DDE">
        <w:rPr>
          <w:sz w:val="16"/>
        </w:rPr>
        <w:t xml:space="preserve">.  In South Africa and India, pharmaceutical companies are already working with local partners to make their vaccines available. Johnson &amp; Johnson has entered into a technology transfer partnership for its candidate vaccine with South Africa’s Aspen Pharmacare, and AstraZeneca has reached a licensing agreement with the Serum Institute of India to develop up to 1 billion doses of its vaccine for low-and-middle-income countries.  </w:t>
      </w:r>
      <w:r w:rsidRPr="00D23DDE">
        <w:rPr>
          <w:b/>
          <w:bCs/>
          <w:highlight w:val="yellow"/>
          <w:u w:val="single"/>
        </w:rPr>
        <w:t>Companies can afford to license patents for free, or sell drugs at cost, precisely because they know that their intellectual property will be protected. That’s not a flaw in the system; it’s how the system ensures that pharmaceutical research will continue to be funded.</w:t>
      </w:r>
    </w:p>
    <w:p w14:paraId="4FFD2154" w14:textId="77777777" w:rsidR="008B51E7" w:rsidRPr="00825BA5" w:rsidRDefault="008B51E7" w:rsidP="008B51E7">
      <w:pPr>
        <w:pStyle w:val="Heading4"/>
        <w:spacing w:line="480" w:lineRule="auto"/>
        <w:rPr>
          <w:b w:val="0"/>
          <w:bCs w:val="0"/>
        </w:rPr>
      </w:pPr>
      <w:r>
        <w:t xml:space="preserve">[Winegarden 21] </w:t>
      </w:r>
      <w:r>
        <w:rPr>
          <w:u w:val="single"/>
        </w:rPr>
        <w:t xml:space="preserve">Cost </w:t>
      </w:r>
      <w:r>
        <w:rPr>
          <w:b w:val="0"/>
          <w:bCs w:val="0"/>
        </w:rPr>
        <w:t xml:space="preserve">compromises </w:t>
      </w:r>
      <w:r>
        <w:rPr>
          <w:u w:val="single"/>
        </w:rPr>
        <w:t>quality</w:t>
      </w:r>
      <w:r>
        <w:rPr>
          <w:b w:val="0"/>
          <w:bCs w:val="0"/>
        </w:rPr>
        <w:t xml:space="preserve"> – medicines will be worse quality and take longer to produce, which prolonges the pandemic and turns case. </w:t>
      </w:r>
    </w:p>
    <w:p w14:paraId="3CF472C0" w14:textId="77777777" w:rsidR="008B51E7" w:rsidRDefault="008B51E7" w:rsidP="008B51E7">
      <w:pPr>
        <w:rPr>
          <w:sz w:val="16"/>
        </w:rPr>
      </w:pPr>
      <w:r w:rsidRPr="00825BA5">
        <w:rPr>
          <w:b/>
          <w:bCs/>
          <w:u w:val="single"/>
        </w:rPr>
        <w:t xml:space="preserve">Winegarden 21: </w:t>
      </w:r>
      <w:r w:rsidRPr="00825BA5">
        <w:rPr>
          <w:sz w:val="16"/>
        </w:rPr>
        <w:t xml:space="preserve">Winegarden, Wayne. [Writer at the OCR] “Violating intellectual property rights jeopardizes quality health care” </w:t>
      </w:r>
      <w:r w:rsidRPr="00825BA5">
        <w:rPr>
          <w:i/>
          <w:iCs/>
          <w:sz w:val="16"/>
        </w:rPr>
        <w:t xml:space="preserve">The OCR: Opinion, </w:t>
      </w:r>
      <w:r w:rsidRPr="00825BA5">
        <w:rPr>
          <w:sz w:val="16"/>
        </w:rPr>
        <w:t xml:space="preserve">2021. JP </w:t>
      </w:r>
    </w:p>
    <w:p w14:paraId="08E3046C" w14:textId="77777777" w:rsidR="008B51E7" w:rsidRPr="00825BA5" w:rsidRDefault="008B51E7" w:rsidP="008B51E7">
      <w:pPr>
        <w:rPr>
          <w:sz w:val="16"/>
        </w:rPr>
      </w:pPr>
    </w:p>
    <w:p w14:paraId="082D6074" w14:textId="77777777" w:rsidR="008B51E7" w:rsidRDefault="008B51E7" w:rsidP="008B51E7">
      <w:pPr>
        <w:spacing w:line="480" w:lineRule="auto"/>
        <w:rPr>
          <w:b/>
          <w:bCs/>
          <w:u w:val="single"/>
        </w:rPr>
      </w:pPr>
      <w:r w:rsidRPr="00825BA5">
        <w:rPr>
          <w:b/>
          <w:bCs/>
          <w:highlight w:val="yellow"/>
          <w:u w:val="single"/>
        </w:rPr>
        <w:t>Policymakers</w:t>
      </w:r>
      <w:r w:rsidRPr="00825BA5">
        <w:rPr>
          <w:b/>
          <w:bCs/>
          <w:u w:val="single"/>
        </w:rPr>
        <w:t xml:space="preserve"> across the globe </w:t>
      </w:r>
      <w:r w:rsidRPr="00825BA5">
        <w:rPr>
          <w:b/>
          <w:bCs/>
          <w:highlight w:val="yellow"/>
          <w:u w:val="single"/>
        </w:rPr>
        <w:t>are attempting to vilify the same private companies that have been invaluable partners</w:t>
      </w:r>
      <w:r w:rsidRPr="00825BA5">
        <w:rPr>
          <w:b/>
          <w:bCs/>
          <w:u w:val="single"/>
        </w:rPr>
        <w:t xml:space="preserve"> in the fight </w:t>
      </w:r>
      <w:r w:rsidRPr="00825BA5">
        <w:rPr>
          <w:b/>
          <w:bCs/>
          <w:highlight w:val="yellow"/>
          <w:u w:val="single"/>
        </w:rPr>
        <w:t>against</w:t>
      </w:r>
      <w:r w:rsidRPr="00825BA5">
        <w:rPr>
          <w:b/>
          <w:bCs/>
          <w:u w:val="single"/>
        </w:rPr>
        <w:t xml:space="preserve"> the </w:t>
      </w:r>
      <w:r w:rsidRPr="00825BA5">
        <w:rPr>
          <w:b/>
          <w:bCs/>
          <w:highlight w:val="yellow"/>
          <w:u w:val="single"/>
        </w:rPr>
        <w:t>COVID-19</w:t>
      </w:r>
      <w:r w:rsidRPr="00825BA5">
        <w:rPr>
          <w:b/>
          <w:bCs/>
          <w:u w:val="single"/>
        </w:rPr>
        <w:t xml:space="preserve"> pandemic</w:t>
      </w:r>
      <w:r w:rsidRPr="00825BA5">
        <w:rPr>
          <w:b/>
          <w:bCs/>
          <w:highlight w:val="yellow"/>
          <w:u w:val="single"/>
        </w:rPr>
        <w:t>.</w:t>
      </w:r>
      <w:r w:rsidRPr="00825BA5">
        <w:rPr>
          <w:b/>
          <w:bCs/>
          <w:u w:val="single"/>
        </w:rPr>
        <w:t xml:space="preserve"> If these efforts are successful, </w:t>
      </w:r>
      <w:r w:rsidRPr="00825BA5">
        <w:rPr>
          <w:b/>
          <w:bCs/>
          <w:highlight w:val="yellow"/>
          <w:u w:val="single"/>
        </w:rPr>
        <w:t>it will be patients who are harmed the most.</w:t>
      </w:r>
      <w:r w:rsidRPr="00825BA5">
        <w:rPr>
          <w:b/>
          <w:bCs/>
          <w:u w:val="single"/>
        </w:rPr>
        <w:t xml:space="preserve"> </w:t>
      </w:r>
      <w:r w:rsidRPr="00825BA5">
        <w:rPr>
          <w:sz w:val="16"/>
        </w:rPr>
        <w:t xml:space="preserve"> Globally, the World Trade Organization (WTO) wants to waive the patent rights for the companies that developed effective COVID-19 vaccines in record breaking time. Here in the U.S., states as diverse as Arkansas, California, and Texas are considering policies that use the pandemic as an excuse to violate device manufacturers’ intellectual property rights.  In both cases, the proponents of violating companies’ intellectual property rights try to frame the problem as an issue of people over profits. Nothing could be further from the truth.  The WTO claims that violating the patent rights will widen access to Covid-19 vaccines to low-income countries, which are still facing shortages. </w:t>
      </w:r>
      <w:r w:rsidRPr="00825BA5">
        <w:rPr>
          <w:b/>
          <w:bCs/>
          <w:u w:val="single"/>
        </w:rPr>
        <w:t xml:space="preserve">But, even </w:t>
      </w:r>
      <w:r w:rsidRPr="00825BA5">
        <w:rPr>
          <w:b/>
          <w:bCs/>
          <w:highlight w:val="yellow"/>
          <w:u w:val="single"/>
        </w:rPr>
        <w:t>if the patents were violated, it would take an incredibly long time for another manufacturer to develop, test, manufacturer, and distribute its vaccine.</w:t>
      </w:r>
      <w:r w:rsidRPr="00825BA5">
        <w:rPr>
          <w:sz w:val="16"/>
        </w:rPr>
        <w:t xml:space="preserve"> This time lag undermines the claims of the proponents.   As a letter to President Biden from Senators Mike Lee, R-Utah, Tom Cotton, R-Arkansas, Joni Ernst, R-Iowa, and Todd Young, R-Indiana, explains,  “The proponents of this scheme argue that if we just destroy the intellectual property developed by American companies, we will suddenly have more manufacturers producing COVID-19 vaccines. But the opposite is true. By destroying the intellectual property of every American company that has worked on COVID-19 vaccines and treatments we would be ending the progress—started under Operation Warp Speed—that led to the fastest development of life-saving vaccines in history.”  The drive to invalidate patents in the U.S. includes California legislation Senate Bill 605. </w:t>
      </w:r>
      <w:r w:rsidRPr="00825BA5">
        <w:rPr>
          <w:b/>
          <w:bCs/>
          <w:highlight w:val="yellow"/>
          <w:u w:val="single"/>
        </w:rPr>
        <w:t>This legislation violates the intellectual property rights of manufacturers</w:t>
      </w:r>
      <w:r w:rsidRPr="00825BA5">
        <w:rPr>
          <w:b/>
          <w:bCs/>
          <w:u w:val="single"/>
        </w:rPr>
        <w:t xml:space="preserve"> of medical equipment such as diagnostic and imaging machines </w:t>
      </w:r>
      <w:r w:rsidRPr="00825BA5">
        <w:rPr>
          <w:b/>
          <w:bCs/>
          <w:highlight w:val="yellow"/>
          <w:u w:val="single"/>
        </w:rPr>
        <w:t>and forces these companies to disclose confidential training materials and service tools to other third-party service businesses</w:t>
      </w:r>
      <w:r w:rsidRPr="00825BA5">
        <w:rPr>
          <w:sz w:val="16"/>
        </w:rPr>
        <w:t xml:space="preserve">.  The purpose of forcing manufacturers to reveal their proprietary information is to enable other service firms to become more effective competitors. Therefore, by violating their government granted property rights, these proposals will harm the original innovative manufacturers. Like the WTO, the proponents of these bills wrongly claim that violating property rights is the only way to protect public health.  It is also important to note that once any state passes this law, it is in effect for all 50 states – after all, once a manufacturer has been forced to release its proprietary intellectual property in one state, it is available publicly to anyone across the globe. There is no way to prevent someone from Michigan, Arkansas, or Canada from accessing the training materials released in California. Essentially, if one state forces manufacturers to release this information it is as if they all have.  </w:t>
      </w:r>
      <w:r w:rsidRPr="00825BA5">
        <w:rPr>
          <w:b/>
          <w:bCs/>
          <w:u w:val="single"/>
        </w:rPr>
        <w:t xml:space="preserve">Similar to vaccines, the immediate consequences may not be what the advocates expect. </w:t>
      </w:r>
      <w:r w:rsidRPr="00825BA5">
        <w:rPr>
          <w:b/>
          <w:bCs/>
          <w:highlight w:val="yellow"/>
          <w:u w:val="single"/>
        </w:rPr>
        <w:t>In the case of servicing complex medical devices, there are serious quality concerns</w:t>
      </w:r>
      <w:r w:rsidRPr="00825BA5">
        <w:rPr>
          <w:b/>
          <w:bCs/>
          <w:u w:val="single"/>
        </w:rPr>
        <w:t>.</w:t>
      </w:r>
      <w:r w:rsidRPr="00825BA5">
        <w:rPr>
          <w:sz w:val="16"/>
        </w:rPr>
        <w:t xml:space="preserve"> Competitor service businesses also tend to oversimplify critically important issues such as cybersecurity. As my colleague and founder of the FDA’s Office of Biotechnology, Henry Miller, notes “as medical devices became increasingly reliant on a harmonized interaction between their hardware and software components, the cybersecurity consequences of even a slightly imprecise or careless maintenance job have become increasingly stark.   It’s exactly for this reason that the Food and Drug Administration holds OEMs [original equipment manufacturers] to mandatory Quality System/Current Good Manufacturing Practices, to ensure that device software updates, patches, and more comprehensive repair jobs are done correctly. Third-party servicers are held to no such standards”.  The long-run consequences from violating the intellectual property rights of innovative manufacturers (whether of vaccines or medical devices) are even more troubling. After investing billions of dollars into developing a vaccine or creating a better medical device, innovative manufacturers must be able to recoup their cost of capital. When governments violate their patent rights, they make recouping these costs more difficult and uncertain. The result will be less innovation in the future. </w:t>
      </w:r>
      <w:r w:rsidRPr="00825BA5">
        <w:rPr>
          <w:b/>
          <w:bCs/>
          <w:u w:val="single"/>
        </w:rPr>
        <w:t xml:space="preserve">Policies that promote violating intellectual property rights are fool’s gold: the purported benefits are illusory, but </w:t>
      </w:r>
      <w:r w:rsidRPr="00825BA5">
        <w:rPr>
          <w:b/>
          <w:bCs/>
          <w:highlight w:val="yellow"/>
          <w:u w:val="single"/>
        </w:rPr>
        <w:t>the consequences will be severe and include worse quality healthcare today and less healthcare innovation tomorrow</w:t>
      </w:r>
      <w:r w:rsidRPr="00825BA5">
        <w:rPr>
          <w:b/>
          <w:bCs/>
          <w:u w:val="single"/>
        </w:rPr>
        <w:t>.</w:t>
      </w:r>
    </w:p>
    <w:p w14:paraId="12FBA13F" w14:textId="77777777" w:rsidR="008B51E7" w:rsidRPr="008B51E7" w:rsidRDefault="008B51E7" w:rsidP="008B51E7"/>
    <w:sectPr w:rsidR="008B51E7" w:rsidRPr="008B51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51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1E7"/>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E9475"/>
  <w14:defaultImageDpi w14:val="300"/>
  <w15:docId w15:val="{574DF675-1DED-A74C-81A8-50E045969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8B51E7"/>
    <w:rPr>
      <w:rFonts w:ascii="Times New Roman" w:hAnsi="Times New Roman" w:cs="Times New Roman"/>
    </w:rPr>
  </w:style>
  <w:style w:type="paragraph" w:styleId="Heading1">
    <w:name w:val="heading 1"/>
    <w:aliases w:val="Pocket"/>
    <w:basedOn w:val="Normal"/>
    <w:next w:val="Normal"/>
    <w:link w:val="Heading1Char"/>
    <w:uiPriority w:val="9"/>
    <w:qFormat/>
    <w:rsid w:val="008B51E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8B51E7"/>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8B51E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no read,No Spacing211,No Spacing4,No Spacing11111,No Spacing5,No Spacing12,No Spacing2111,Tags,No Spacing2,Debate Text,Read stuff,No Spacing11,No Spacing111,No Spacing1111,No Spacing21,tags,heading 2,Ch,ta"/>
    <w:basedOn w:val="Normal"/>
    <w:next w:val="Normal"/>
    <w:link w:val="Heading4Char"/>
    <w:uiPriority w:val="9"/>
    <w:unhideWhenUsed/>
    <w:qFormat/>
    <w:rsid w:val="008B51E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8B51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1E7"/>
  </w:style>
  <w:style w:type="character" w:customStyle="1" w:styleId="Heading1Char">
    <w:name w:val="Heading 1 Char"/>
    <w:aliases w:val="Pocket Char"/>
    <w:basedOn w:val="DefaultParagraphFont"/>
    <w:link w:val="Heading1"/>
    <w:uiPriority w:val="9"/>
    <w:rsid w:val="008B51E7"/>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8B51E7"/>
    <w:rPr>
      <w:rFonts w:ascii="Times New Roman" w:eastAsiaTheme="majorEastAsia" w:hAnsi="Times New Roman" w:cstheme="majorBidi"/>
      <w:b/>
      <w:bCs/>
      <w:sz w:val="36"/>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B51E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no read Char,No Spacing211 Char,No Spacing4 Char,No Spacing11111 Char,No Spacing5 Char,No Spacing12 Char,No Spacing2111 Char,Tags Char,No Spacing2 Char,Debate Text Char"/>
    <w:basedOn w:val="DefaultParagraphFont"/>
    <w:link w:val="Heading4"/>
    <w:uiPriority w:val="9"/>
    <w:rsid w:val="008B51E7"/>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8B51E7"/>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8B51E7"/>
    <w:rPr>
      <w:b/>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Style1,Box,bold underline,B,s"/>
    <w:basedOn w:val="DefaultParagraphFont"/>
    <w:link w:val="textbold"/>
    <w:uiPriority w:val="20"/>
    <w:qFormat/>
    <w:rsid w:val="008B51E7"/>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8B51E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T"/>
    <w:basedOn w:val="DefaultParagraphFont"/>
    <w:uiPriority w:val="99"/>
    <w:unhideWhenUsed/>
    <w:rsid w:val="008B51E7"/>
    <w:rPr>
      <w:color w:val="auto"/>
      <w:u w:val="none"/>
    </w:rPr>
  </w:style>
  <w:style w:type="paragraph" w:styleId="DocumentMap">
    <w:name w:val="Document Map"/>
    <w:basedOn w:val="Normal"/>
    <w:link w:val="DocumentMapChar"/>
    <w:uiPriority w:val="99"/>
    <w:semiHidden/>
    <w:unhideWhenUsed/>
    <w:rsid w:val="008B51E7"/>
    <w:rPr>
      <w:rFonts w:ascii="Lucida Grande" w:hAnsi="Lucida Grande" w:cs="Lucida Grande"/>
    </w:rPr>
  </w:style>
  <w:style w:type="character" w:customStyle="1" w:styleId="DocumentMapChar">
    <w:name w:val="Document Map Char"/>
    <w:basedOn w:val="DefaultParagraphFont"/>
    <w:link w:val="DocumentMap"/>
    <w:uiPriority w:val="99"/>
    <w:semiHidden/>
    <w:rsid w:val="008B51E7"/>
    <w:rPr>
      <w:rFonts w:ascii="Lucida Grande" w:hAnsi="Lucida Grande" w:cs="Lucida Grande"/>
    </w:rPr>
  </w:style>
  <w:style w:type="paragraph" w:customStyle="1" w:styleId="textbold">
    <w:name w:val="text bold"/>
    <w:basedOn w:val="Normal"/>
    <w:link w:val="Emphasis"/>
    <w:uiPriority w:val="20"/>
    <w:qFormat/>
    <w:rsid w:val="008B51E7"/>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8B51E7"/>
    <w:pPr>
      <w:pBdr>
        <w:top w:val="single" w:sz="12" w:space="1" w:color="auto"/>
        <w:left w:val="single" w:sz="12" w:space="4" w:color="auto"/>
        <w:bottom w:val="single" w:sz="12" w:space="1" w:color="auto"/>
        <w:right w:val="single" w:sz="12" w:space="4" w:color="auto"/>
      </w:pBdr>
    </w:pPr>
    <w:rPr>
      <w:b/>
      <w:u w:val="single"/>
    </w:rPr>
  </w:style>
  <w:style w:type="paragraph" w:styleId="NoSpacing">
    <w:name w:val="No Spacing"/>
    <w:aliases w:val="Tag and Cite,DDI Tag,Tag Title,Card,nonunderlined,No Spacing51,No Spacing8,No Spacing22,Dont u,No Spacing1111111,Card Format,Small Text,No Spacin,Dont use,No Spacing41,No Spacing111112,Note Level 2,card,Medium Grid 21,No Spacing31,No Spacing3"/>
    <w:uiPriority w:val="1"/>
    <w:qFormat/>
    <w:rsid w:val="008B51E7"/>
  </w:style>
  <w:style w:type="character" w:customStyle="1" w:styleId="TitleChar">
    <w:name w:val="Title Char"/>
    <w:aliases w:val="Cites and Cards Char,UNDERLINE Char,Bold Underlined Char,title Char"/>
    <w:basedOn w:val="DefaultParagraphFont"/>
    <w:link w:val="Title"/>
    <w:uiPriority w:val="6"/>
    <w:qFormat/>
    <w:rsid w:val="008B51E7"/>
    <w:rPr>
      <w:u w:val="single"/>
    </w:rPr>
  </w:style>
  <w:style w:type="paragraph" w:styleId="Title">
    <w:name w:val="Title"/>
    <w:aliases w:val="Cites and Cards,UNDERLINE,Bold Underlined,title"/>
    <w:basedOn w:val="Normal"/>
    <w:next w:val="Normal"/>
    <w:link w:val="TitleChar"/>
    <w:uiPriority w:val="6"/>
    <w:qFormat/>
    <w:rsid w:val="008B51E7"/>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8B51E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stor.org/stable/10.5149/9781469663746_robinson" TargetMode="External"/><Relationship Id="rId5" Type="http://schemas.openxmlformats.org/officeDocument/2006/relationships/numbering" Target="numbering.xml"/><Relationship Id="rId10" Type="http://schemas.openxmlformats.org/officeDocument/2006/relationships/hyperlink" Target="https://www.upress.umn.edu/book-division/books/toward-a-global-idea-of-race" TargetMode="Externa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9F14DA2-7F12-2F4D-B9FA-B6A07118E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10434</Words>
  <Characters>59478</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2021-09-25T23:57:00Z</dcterms:created>
  <dcterms:modified xsi:type="dcterms:W3CDTF">2021-09-26T00:14:00Z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