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B38F1" w14:textId="77777777" w:rsidR="007D0606" w:rsidRDefault="007D0606" w:rsidP="007D0606">
      <w:pPr>
        <w:pStyle w:val="Heading1"/>
        <w:ind w:right="-720"/>
      </w:pPr>
      <w:r>
        <w:t>Prison Strikes AC</w:t>
      </w:r>
    </w:p>
    <w:p w14:paraId="56646352" w14:textId="77777777" w:rsidR="007D0606" w:rsidRDefault="007D0606" w:rsidP="007D0606">
      <w:pPr>
        <w:pStyle w:val="Heading2"/>
        <w:ind w:right="-720"/>
        <w:rPr>
          <w:u w:val="single"/>
        </w:rPr>
      </w:pPr>
      <w:r>
        <w:rPr>
          <w:u w:val="single"/>
        </w:rPr>
        <w:t>Part 1: The Court</w:t>
      </w:r>
    </w:p>
    <w:p w14:paraId="64431E99" w14:textId="77777777" w:rsidR="007D0606" w:rsidRPr="00B429E8" w:rsidRDefault="007D0606" w:rsidP="007D0606">
      <w:pPr>
        <w:ind w:right="-720"/>
      </w:pPr>
    </w:p>
    <w:p w14:paraId="7DF9BD4D" w14:textId="77777777" w:rsidR="007D0606" w:rsidRPr="00B429E8" w:rsidRDefault="007D0606" w:rsidP="007D0606">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70E03E7D" w14:textId="77777777" w:rsidR="007D0606" w:rsidRDefault="007D0606" w:rsidP="007D0606">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Guinier, Lani [Bennett Boskey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14:paraId="65CA23A4" w14:textId="77777777" w:rsidR="007D0606" w:rsidRPr="00C10DF6" w:rsidRDefault="007D0606" w:rsidP="007D0606">
      <w:pPr>
        <w:ind w:right="-720"/>
      </w:pPr>
      <w:r>
        <w:t xml:space="preserve"> </w:t>
      </w:r>
    </w:p>
    <w:p w14:paraId="16C62984" w14:textId="77777777" w:rsidR="007D0606" w:rsidRPr="00943386" w:rsidRDefault="007D0606" w:rsidP="007D0606">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4B3365C0" w14:textId="77777777" w:rsidR="007D0606" w:rsidRPr="00B429E8" w:rsidRDefault="007D0606" w:rsidP="007D0606">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0DD34474" w14:textId="77777777" w:rsidR="007D0606" w:rsidRDefault="007D0606" w:rsidP="007D0606">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7CF5D77A" w14:textId="77777777" w:rsidR="007D0606" w:rsidRPr="00B927A9" w:rsidRDefault="007D0606" w:rsidP="007D0606">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7E584C24" w14:textId="77777777" w:rsidR="007D0606" w:rsidRPr="00B927A9" w:rsidRDefault="007D0606" w:rsidP="007D0606">
      <w:pPr>
        <w:ind w:right="-720"/>
        <w:rPr>
          <w:rStyle w:val="StyleUnderline"/>
          <w:b w:val="0"/>
          <w:bCs/>
          <w:u w:val="none"/>
        </w:rPr>
      </w:pPr>
    </w:p>
    <w:p w14:paraId="1C6E05C7" w14:textId="77777777" w:rsidR="007D0606" w:rsidRPr="00D10C71" w:rsidRDefault="007D0606" w:rsidP="007D0606">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43E07125" w14:textId="77777777" w:rsidR="007D0606" w:rsidRPr="00B429E8" w:rsidRDefault="007D0606" w:rsidP="007D0606">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146167B8" w14:textId="77777777" w:rsidR="007D0606" w:rsidRDefault="007D0606" w:rsidP="007D0606">
      <w:pPr>
        <w:ind w:right="-720"/>
      </w:pPr>
    </w:p>
    <w:p w14:paraId="77D4B80F" w14:textId="77777777" w:rsidR="007D0606" w:rsidRDefault="007D0606" w:rsidP="007D0606">
      <w:pPr>
        <w:pStyle w:val="Heading2"/>
        <w:ind w:right="-720"/>
        <w:rPr>
          <w:u w:val="single"/>
        </w:rPr>
      </w:pPr>
      <w:r>
        <w:rPr>
          <w:u w:val="single"/>
        </w:rPr>
        <w:t>Part 2: Behind the Wall</w:t>
      </w:r>
    </w:p>
    <w:p w14:paraId="36A61CD3" w14:textId="77777777" w:rsidR="007D0606" w:rsidRPr="004D1BEB" w:rsidRDefault="007D0606" w:rsidP="007D0606">
      <w:pPr>
        <w:ind w:right="-720"/>
      </w:pPr>
    </w:p>
    <w:p w14:paraId="1DAC8A6B" w14:textId="77777777" w:rsidR="007D0606" w:rsidRPr="00DB56A9" w:rsidRDefault="007D0606" w:rsidP="007D0606">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7F46F472" w14:textId="77777777" w:rsidR="007D0606" w:rsidRPr="00715AEE" w:rsidRDefault="007D0606" w:rsidP="007D0606">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Shalyor,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w:t>
      </w:r>
      <w:hyperlink r:id="rId9" w:history="1">
        <w:r w:rsidRPr="00075F95">
          <w:rPr>
            <w:rStyle w:val="Hyperlink"/>
            <w:sz w:val="16"/>
            <w:szCs w:val="16"/>
            <w:lang w:bidi="he-IL"/>
          </w:rPr>
          <w:t>https://www.jstor.org/stable/40338793</w:t>
        </w:r>
      </w:hyperlink>
      <w:r>
        <w:rPr>
          <w:sz w:val="16"/>
          <w:szCs w:val="16"/>
          <w:lang w:bidi="he-IL"/>
        </w:rPr>
        <w:t xml:space="preserve"> </w:t>
      </w:r>
      <w:r w:rsidRPr="00715AEE">
        <w:rPr>
          <w:sz w:val="16"/>
          <w:szCs w:val="16"/>
          <w:lang w:bidi="he-IL"/>
        </w:rPr>
        <w:t xml:space="preserve">JP  </w:t>
      </w:r>
    </w:p>
    <w:p w14:paraId="601CC7DA" w14:textId="77777777" w:rsidR="007D0606" w:rsidRPr="00C9745E" w:rsidRDefault="007D0606" w:rsidP="007D0606">
      <w:pPr>
        <w:ind w:right="-720"/>
        <w:rPr>
          <w:sz w:val="16"/>
          <w:szCs w:val="16"/>
          <w:lang w:bidi="he-IL"/>
        </w:rPr>
      </w:pPr>
    </w:p>
    <w:p w14:paraId="4B2BDB93" w14:textId="77777777" w:rsidR="007D0606" w:rsidRPr="002F4BD1" w:rsidRDefault="007D0606" w:rsidP="007D0606">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popu- lation, they constitute, nevertheless, the fastest growing segment of pris- oners.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insti- tutions such as Aid to Families with Dependent Children (afdc)</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dra- conian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Thus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6C936706" w14:textId="77777777" w:rsidR="007D0606" w:rsidRPr="007327F5" w:rsidRDefault="007D0606" w:rsidP="007D0606">
      <w:pPr>
        <w:pStyle w:val="Heading4"/>
        <w:spacing w:line="480" w:lineRule="auto"/>
        <w:ind w:right="-720"/>
        <w:rPr>
          <w:b w:val="0"/>
          <w:bCs w:val="0"/>
        </w:rPr>
      </w:pPr>
      <w:r>
        <w:t xml:space="preserve">[Sainato] </w:t>
      </w:r>
      <w:r>
        <w:rPr>
          <w:b w:val="0"/>
          <w:bCs w:val="0"/>
        </w:rPr>
        <w:t xml:space="preserve">And the current conditions prisoner workers face fuels the PIC. </w:t>
      </w:r>
    </w:p>
    <w:p w14:paraId="6DE43C1A" w14:textId="77777777" w:rsidR="007D0606" w:rsidRDefault="007D0606" w:rsidP="007D0606">
      <w:pPr>
        <w:ind w:right="-720"/>
      </w:pPr>
      <w:r>
        <w:rPr>
          <w:b/>
          <w:bCs/>
          <w:u w:val="single"/>
        </w:rPr>
        <w:t>Sainato</w:t>
      </w:r>
      <w:r>
        <w:t xml:space="preserve">: </w:t>
      </w:r>
      <w:r w:rsidRPr="007327F5">
        <w:rPr>
          <w:sz w:val="16"/>
          <w:szCs w:val="16"/>
        </w:rPr>
        <w:t xml:space="preserve">Sainato Michael [Writer on Civil Rights issues for the Miami Times] “Companies claim there’s a labor shortage. Their solution? Prisoners.” The Guardian, 2021. </w:t>
      </w:r>
      <w:hyperlink r:id="rId10" w:history="1">
        <w:r w:rsidRPr="00075F95">
          <w:rPr>
            <w:rStyle w:val="Hyperlink"/>
            <w:sz w:val="16"/>
            <w:szCs w:val="16"/>
          </w:rPr>
          <w:t>https://www.theguardian.com/us-news/2021/jul/20/companies-claim-theres-a-labor-shortage-their-solution-prisoners</w:t>
        </w:r>
      </w:hyperlink>
      <w:r>
        <w:rPr>
          <w:sz w:val="16"/>
          <w:szCs w:val="16"/>
        </w:rPr>
        <w:t xml:space="preserve"> </w:t>
      </w:r>
      <w:r w:rsidRPr="007327F5">
        <w:rPr>
          <w:sz w:val="16"/>
          <w:szCs w:val="16"/>
        </w:rPr>
        <w:t>MB</w:t>
      </w:r>
      <w:r>
        <w:t xml:space="preserve"> </w:t>
      </w:r>
    </w:p>
    <w:p w14:paraId="67E29313" w14:textId="77777777" w:rsidR="007D0606" w:rsidRPr="007327F5" w:rsidRDefault="007D0606" w:rsidP="007D0606">
      <w:pPr>
        <w:ind w:right="-720"/>
      </w:pPr>
    </w:p>
    <w:p w14:paraId="7A3133D0" w14:textId="77777777" w:rsidR="007D0606" w:rsidRDefault="007D0606" w:rsidP="007D0606">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Brandilynn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amount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Rynkiewicz,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4C9DB2B0" w14:textId="77777777" w:rsidR="007D0606" w:rsidRPr="001267C9" w:rsidRDefault="007D0606" w:rsidP="007D0606">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58DCFB27" w14:textId="77777777" w:rsidR="007D0606" w:rsidRDefault="007D0606" w:rsidP="007D0606">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1"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309BF29E" w14:textId="77777777" w:rsidR="007D0606" w:rsidRDefault="007D0606" w:rsidP="007D0606">
      <w:pPr>
        <w:ind w:right="-720"/>
        <w:rPr>
          <w:sz w:val="16"/>
        </w:rPr>
      </w:pPr>
    </w:p>
    <w:p w14:paraId="69B75D01" w14:textId="77777777" w:rsidR="007D0606" w:rsidRPr="00DE5960" w:rsidRDefault="007D0606" w:rsidP="007D0606">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3A77E5C0" w14:textId="77777777" w:rsidR="007D0606" w:rsidRDefault="007D0606" w:rsidP="007D0606">
      <w:pPr>
        <w:spacing w:line="480" w:lineRule="auto"/>
        <w:ind w:right="-720"/>
        <w:rPr>
          <w:sz w:val="12"/>
        </w:rPr>
      </w:pPr>
    </w:p>
    <w:p w14:paraId="24B5D04B" w14:textId="77777777" w:rsidR="007D0606" w:rsidRDefault="007D0606" w:rsidP="007D0606">
      <w:pPr>
        <w:pStyle w:val="Heading2"/>
        <w:ind w:right="-720"/>
        <w:rPr>
          <w:u w:val="single"/>
        </w:rPr>
      </w:pPr>
      <w:r>
        <w:rPr>
          <w:u w:val="single"/>
        </w:rPr>
        <w:t>Thus, I affirm</w:t>
      </w:r>
      <w:r w:rsidRPr="004A4AC5">
        <w:rPr>
          <w:u w:val="none"/>
        </w:rPr>
        <w:t>:</w:t>
      </w:r>
    </w:p>
    <w:p w14:paraId="6E04830B" w14:textId="77777777" w:rsidR="007D0606" w:rsidRPr="00C6273C" w:rsidRDefault="007D0606" w:rsidP="007D0606">
      <w:pPr>
        <w:ind w:right="-720"/>
      </w:pPr>
      <w:r>
        <w:t xml:space="preserve"> </w:t>
      </w:r>
    </w:p>
    <w:p w14:paraId="3E2426DF" w14:textId="77777777" w:rsidR="007D0606" w:rsidRPr="00441F74" w:rsidRDefault="007D0606" w:rsidP="007D0606">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0BF405D1" w14:textId="77777777" w:rsidR="007D0606" w:rsidRDefault="007D0606" w:rsidP="007D0606">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2"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2B8FDD5F" w14:textId="77777777" w:rsidR="007D0606" w:rsidRDefault="007D0606" w:rsidP="007D0606">
      <w:pPr>
        <w:ind w:right="-720"/>
      </w:pPr>
    </w:p>
    <w:p w14:paraId="492C5310" w14:textId="77777777" w:rsidR="007D0606" w:rsidRPr="00186385" w:rsidRDefault="007D0606" w:rsidP="007D0606">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447B6694" w14:textId="77777777" w:rsidR="007D0606" w:rsidRPr="00441F74" w:rsidRDefault="007D0606" w:rsidP="007D0606"/>
    <w:p w14:paraId="4D1B0678" w14:textId="77777777" w:rsidR="007D0606" w:rsidRDefault="007D0606" w:rsidP="007D0606">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3"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20D4071B" w14:textId="77777777" w:rsidR="007D0606" w:rsidRPr="008C13C3" w:rsidRDefault="007D0606" w:rsidP="007D0606">
      <w:pPr>
        <w:ind w:right="-720"/>
        <w:rPr>
          <w:sz w:val="16"/>
        </w:rPr>
      </w:pPr>
    </w:p>
    <w:p w14:paraId="012164AA" w14:textId="77777777" w:rsidR="007D0606" w:rsidRDefault="007D0606" w:rsidP="007D0606">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791F76AA" w14:textId="77777777" w:rsidR="007D0606" w:rsidRDefault="007D0606" w:rsidP="007D0606">
      <w:pPr>
        <w:pStyle w:val="Heading2"/>
        <w:ind w:right="-720"/>
        <w:rPr>
          <w:u w:val="single"/>
        </w:rPr>
      </w:pPr>
      <w:r>
        <w:rPr>
          <w:u w:val="single"/>
        </w:rPr>
        <w:t>Part 3: Shining Light</w:t>
      </w:r>
    </w:p>
    <w:p w14:paraId="47185EB4" w14:textId="77777777" w:rsidR="007D0606" w:rsidRPr="00333BFE" w:rsidRDefault="007D0606" w:rsidP="007D0606">
      <w:pPr>
        <w:ind w:right="-720"/>
      </w:pPr>
    </w:p>
    <w:p w14:paraId="0CF60A04" w14:textId="77777777" w:rsidR="007D0606" w:rsidRPr="000B0341" w:rsidRDefault="007D0606" w:rsidP="007D0606">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55EB0123" w14:textId="77777777" w:rsidR="007D0606" w:rsidRDefault="007D0606" w:rsidP="007D0606">
      <w:pPr>
        <w:ind w:right="-720"/>
        <w:rPr>
          <w:sz w:val="16"/>
        </w:rPr>
      </w:pPr>
      <w:r w:rsidRPr="000B0341">
        <w:rPr>
          <w:b/>
          <w:bCs/>
          <w:u w:val="single"/>
        </w:rPr>
        <w:t>Kaur</w:t>
      </w:r>
      <w:r w:rsidRPr="00871F35">
        <w:rPr>
          <w:b/>
          <w:bCs/>
        </w:rPr>
        <w:t xml:space="preserve">: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14"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14:paraId="339772B5" w14:textId="77777777" w:rsidR="007D0606" w:rsidRPr="000B0341" w:rsidRDefault="007D0606" w:rsidP="007D0606">
      <w:pPr>
        <w:ind w:right="-720"/>
        <w:rPr>
          <w:sz w:val="16"/>
        </w:rPr>
      </w:pPr>
    </w:p>
    <w:p w14:paraId="54185F2C" w14:textId="77777777" w:rsidR="007D0606" w:rsidRDefault="007D0606" w:rsidP="007D0606">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Shetye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hat not only the accused prison staff were arrested and are currently being tried, but ministers and parliamentarians have visted the prisoners</w:t>
      </w:r>
      <w:r w:rsidRPr="000B0341">
        <w:rPr>
          <w:sz w:val="16"/>
        </w:rPr>
        <w:t>. However, an first information report against the 200 women prisoners was filed for allegedly rioting, making unlawful assembly (Dalvi, 2018).</w:t>
      </w:r>
    </w:p>
    <w:p w14:paraId="4607F785" w14:textId="77777777" w:rsidR="007D0606" w:rsidRDefault="007D0606" w:rsidP="007D0606">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3AAF8FAB" w14:textId="77777777" w:rsidR="007D0606" w:rsidRDefault="007D0606" w:rsidP="007D0606">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hyperlink r:id="rId15"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 JP </w:t>
      </w:r>
    </w:p>
    <w:p w14:paraId="7C27719A" w14:textId="77777777" w:rsidR="007D0606" w:rsidRDefault="007D0606" w:rsidP="007D0606">
      <w:pPr>
        <w:ind w:right="-720"/>
      </w:pPr>
    </w:p>
    <w:p w14:paraId="103E2306" w14:textId="77777777" w:rsidR="007D0606" w:rsidRPr="005817BD" w:rsidRDefault="007D0606" w:rsidP="007D0606">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 xml:space="preserve">181. As the Marshall Project states, “[s]ociety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3AD25D3E" w14:textId="77777777" w:rsidR="007D0606" w:rsidRPr="008C13C3" w:rsidRDefault="007D0606" w:rsidP="007D0606">
      <w:pPr>
        <w:pStyle w:val="Heading4"/>
        <w:spacing w:line="480" w:lineRule="auto"/>
        <w:ind w:right="-720"/>
        <w:rPr>
          <w:b w:val="0"/>
          <w:bCs w:val="0"/>
        </w:rPr>
      </w:pPr>
      <w:r>
        <w:t xml:space="preserve">[HLR 4 ] </w:t>
      </w:r>
      <w:r w:rsidRPr="00E23491">
        <w:rPr>
          <w:b w:val="0"/>
          <w:bCs w:val="0"/>
        </w:rPr>
        <w:t>And the aff is inherent</w:t>
      </w:r>
      <w:r>
        <w:rPr>
          <w:b w:val="0"/>
          <w:bCs w:val="0"/>
        </w:rPr>
        <w:t xml:space="preserve"> – prison strikes aren’t protected by law.  </w:t>
      </w:r>
    </w:p>
    <w:p w14:paraId="334FF8FA" w14:textId="77777777" w:rsidR="007D0606" w:rsidRDefault="007D0606" w:rsidP="007D0606">
      <w:pPr>
        <w:ind w:right="-720"/>
        <w:rPr>
          <w:sz w:val="16"/>
        </w:rPr>
      </w:pPr>
      <w:r>
        <w:rPr>
          <w:b/>
          <w:bCs/>
          <w:u w:val="single"/>
        </w:rPr>
        <w:t>HLR</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r w:rsidRPr="00EF4AB1">
        <w:rPr>
          <w:sz w:val="16"/>
        </w:rPr>
        <w:t>https://harvardlawreview.org/2019/03/striking-the-right-balance-toward-a-better-understanding-of-prison-strikes/</w:t>
      </w:r>
      <w:r w:rsidRPr="008C13C3">
        <w:rPr>
          <w:sz w:val="16"/>
        </w:rPr>
        <w:t xml:space="preserve"> JP </w:t>
      </w:r>
    </w:p>
    <w:p w14:paraId="1E0F666A" w14:textId="77777777" w:rsidR="007D0606" w:rsidRPr="008C13C3" w:rsidRDefault="007D0606" w:rsidP="007D0606">
      <w:pPr>
        <w:ind w:right="-720"/>
        <w:rPr>
          <w:sz w:val="16"/>
        </w:rPr>
      </w:pPr>
    </w:p>
    <w:p w14:paraId="4FD8B0F2" w14:textId="77777777" w:rsidR="007D0606" w:rsidRPr="00E23491" w:rsidRDefault="007D0606" w:rsidP="007D0606">
      <w:pPr>
        <w:spacing w:line="480" w:lineRule="auto"/>
        <w:ind w:right="-720"/>
        <w:rPr>
          <w:sz w:val="12"/>
        </w:rPr>
      </w:pPr>
      <w:r w:rsidRPr="008C13C3">
        <w:rPr>
          <w:b/>
          <w:bCs/>
          <w:u w:val="single"/>
        </w:rPr>
        <w:t xml:space="preserve">As a threshold matter, </w:t>
      </w:r>
      <w:r w:rsidRPr="008C13C3">
        <w:rPr>
          <w:b/>
          <w:bCs/>
          <w:highlight w:val="yellow"/>
          <w:u w:val="single"/>
        </w:rPr>
        <w:t>state and federal statutory law provides no recourse for protecting prison strikes</w:t>
      </w:r>
      <w:r w:rsidRPr="008C13C3">
        <w:rPr>
          <w:sz w:val="12"/>
        </w:rPr>
        <w:t xml:space="preserve">. Incarcerated individuals are not included as protected “employees” in the text of federal labor laws like the Fair Labor Standards and the National Labor Relations Act, and courts have refused to extend the protections that these statutes offer to those confined within prison walls. Further, this Note is aware of no state labor laws, or for that matter any state constitutional provisions, that have been interpreted to allow prisoners to strike.  </w:t>
      </w:r>
      <w:r w:rsidRPr="008C13C3">
        <w:rPr>
          <w:b/>
          <w:bCs/>
          <w:highlight w:val="yellow"/>
          <w:u w:val="single"/>
        </w:rPr>
        <w:t>Not only are prison strikes not protected by statutory law — they also are often explicitly prohibited. State statutes and prison regulations pose the most immediate barrier to prison strike activity, as</w:t>
      </w:r>
      <w:r w:rsidRPr="008C13C3">
        <w:rPr>
          <w:b/>
          <w:bCs/>
          <w:u w:val="single"/>
        </w:rPr>
        <w:t xml:space="preserve"> states across </w:t>
      </w:r>
      <w:r w:rsidRPr="008C13C3">
        <w:rPr>
          <w:b/>
          <w:bCs/>
          <w:highlight w:val="yellow"/>
          <w:u w:val="single"/>
        </w:rPr>
        <w:t>the union appear to categorically bar prison strikes and other forms of inmate collective organizing</w:t>
      </w:r>
      <w:r w:rsidRPr="008C13C3">
        <w:rPr>
          <w:sz w:val="12"/>
        </w:rPr>
        <w:t xml:space="preserve">. For instance, Alaska’s administrative code lists “participation in an organized work stoppage” and “encouraging others to engage in a food strike” as “high-moderate infractions.” Some other states have adopted similar statutory or administrative provisions. For a related analysis of state statutes and prison regulations governing prison “protest speech,” see Andrea C. Armstrong, Racial Origins of Doctrines Limiting Prisoner Protest Speech,. The same is true at the federal level, as the Bureau of Prisons has made “[e]engaging in or encouraging a group demonstration” and “encouraging others to refuse to work, or to participate in a work stoppage” prohibited acts. Further research is certainly necessary to develop a fuller, more nuanced treatment of the various state and federal statutory schemes that impact prison strikes. Further research could reveal differences across states in the severity of punishment for prison strike activity, as well as the scope of permissible collective action by prisoners. This could, in turn, reveal possible avenues for potentially protecting prisoners’ ability to strike. See, e.g., In re Gomez, 201 Cal. Rptr. 3d 124 (Ct. App. 2016) (holding that an inmate participating in a broader hunger strike and work stoppage across California prisons did not violate a California regulation that requires inmates to “refrain from behavior that might lead to violence or disorder, or otherwise endangers the facility, outside community or other person,” . As the court held in that case, none of the accusations against the inmate regarding striking “suggested prison operations were thrown into disorder.” Id. at 137. </w:t>
      </w:r>
      <w:r w:rsidRPr="008C13C3">
        <w:rPr>
          <w:b/>
          <w:bCs/>
          <w:u w:val="single"/>
        </w:rPr>
        <w:t xml:space="preserve">But even </w:t>
      </w:r>
      <w:r w:rsidRPr="008C13C3">
        <w:rPr>
          <w:b/>
          <w:bCs/>
          <w:highlight w:val="yellow"/>
          <w:u w:val="single"/>
        </w:rPr>
        <w:t>this brief overview drives home a clear bottom line:</w:t>
      </w:r>
      <w:r w:rsidRPr="008C13C3">
        <w:rPr>
          <w:b/>
          <w:bCs/>
          <w:u w:val="single"/>
        </w:rPr>
        <w:t xml:space="preserve"> that </w:t>
      </w:r>
      <w:r w:rsidRPr="008C13C3">
        <w:rPr>
          <w:b/>
          <w:bCs/>
          <w:highlight w:val="yellow"/>
          <w:u w:val="single"/>
        </w:rPr>
        <w:t>state and federal laws,</w:t>
      </w:r>
      <w:r w:rsidRPr="008C13C3">
        <w:rPr>
          <w:b/>
          <w:bCs/>
          <w:u w:val="single"/>
        </w:rPr>
        <w:t xml:space="preserve"> in their current forms, </w:t>
      </w:r>
      <w:r w:rsidRPr="008C13C3">
        <w:rPr>
          <w:b/>
          <w:bCs/>
          <w:highlight w:val="yellow"/>
          <w:u w:val="single"/>
        </w:rPr>
        <w:t>likely offer no viable protection for prison strikes and indeed often prohibit them outright</w:t>
      </w:r>
      <w:r w:rsidRPr="008C13C3">
        <w:rPr>
          <w:b/>
          <w:bCs/>
          <w:u w:val="single"/>
        </w:rPr>
        <w:t>.</w:t>
      </w:r>
      <w:r w:rsidRPr="008C13C3">
        <w:rPr>
          <w:sz w:val="12"/>
        </w:rPr>
        <w:t xml:space="preserve"> </w:t>
      </w:r>
    </w:p>
    <w:p w14:paraId="470915D8" w14:textId="77777777" w:rsidR="007D0606" w:rsidRPr="0077506C" w:rsidRDefault="007D0606" w:rsidP="007D0606">
      <w:pPr>
        <w:pStyle w:val="Heading4"/>
        <w:spacing w:line="480" w:lineRule="auto"/>
        <w:ind w:right="-720"/>
        <w:rPr>
          <w:b w:val="0"/>
          <w:bCs w:val="0"/>
        </w:rPr>
      </w:pPr>
      <w:r>
        <w:t xml:space="preserve">[HLR 5] Further, </w:t>
      </w:r>
      <w:r>
        <w:rPr>
          <w:b w:val="0"/>
          <w:bCs w:val="0"/>
        </w:rPr>
        <w:t>strikes offer an alternative to violence and a means of collective bargaining for inmates.</w:t>
      </w:r>
    </w:p>
    <w:p w14:paraId="4297E8D1" w14:textId="77777777" w:rsidR="007D0606" w:rsidRDefault="007D0606" w:rsidP="007D0606">
      <w:pPr>
        <w:ind w:right="-720"/>
        <w:rPr>
          <w:sz w:val="16"/>
        </w:rPr>
      </w:pPr>
      <w:r>
        <w:rPr>
          <w:b/>
          <w:bCs/>
          <w:u w:val="single"/>
        </w:rPr>
        <w:t>HLR 5,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r w:rsidRPr="00EF4AB1">
        <w:rPr>
          <w:sz w:val="16"/>
        </w:rPr>
        <w:t>https://harvardlawreview.org/2019/03/striking-the-right-balance-toward-a-better-understanding-of-prison-strikes/</w:t>
      </w:r>
      <w:r w:rsidRPr="008C13C3">
        <w:rPr>
          <w:sz w:val="16"/>
        </w:rPr>
        <w:t xml:space="preserve"> JP </w:t>
      </w:r>
    </w:p>
    <w:p w14:paraId="58CB8299" w14:textId="77777777" w:rsidR="007D0606" w:rsidRPr="001267C9" w:rsidRDefault="007D0606" w:rsidP="007D0606">
      <w:pPr>
        <w:ind w:right="-720"/>
        <w:rPr>
          <w:sz w:val="16"/>
        </w:rPr>
      </w:pPr>
    </w:p>
    <w:p w14:paraId="125E1E46" w14:textId="77777777" w:rsidR="007D0606" w:rsidRPr="00CD2FC6" w:rsidRDefault="007D0606" w:rsidP="007D0606">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administrators “provide inmates with a channel for airing grievances and gaining official response . . . giv[ing] the institution a kind of safety-valve 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14:paraId="3FBC0C1E" w14:textId="77777777" w:rsidR="007D0606" w:rsidRPr="006C6F09" w:rsidRDefault="007D0606" w:rsidP="007D0606">
      <w:pPr>
        <w:pStyle w:val="Heading4"/>
        <w:spacing w:line="480" w:lineRule="auto"/>
        <w:ind w:right="-720"/>
        <w:rPr>
          <w:b w:val="0"/>
          <w:bCs w:val="0"/>
        </w:rPr>
      </w:pPr>
      <w:r>
        <w:t xml:space="preserve">[Bozelko] </w:t>
      </w:r>
      <w:r w:rsidRPr="005817BD">
        <w:t xml:space="preserve">Indeed, </w:t>
      </w:r>
      <w:r>
        <w:rPr>
          <w:b w:val="0"/>
          <w:bCs w:val="0"/>
        </w:rPr>
        <w:t xml:space="preserve">strikes empower prisoners to express their grievances – they’re key to changing the power dynamic. </w:t>
      </w:r>
    </w:p>
    <w:p w14:paraId="2C29A694" w14:textId="77777777" w:rsidR="007D0606" w:rsidRDefault="007D0606" w:rsidP="007D0606">
      <w:pPr>
        <w:ind w:right="-720"/>
        <w:rPr>
          <w:sz w:val="16"/>
        </w:rPr>
      </w:pPr>
      <w:r w:rsidRPr="000B0341">
        <w:rPr>
          <w:b/>
          <w:bCs/>
          <w:u w:val="single"/>
        </w:rPr>
        <w:t>Bozelko</w:t>
      </w:r>
      <w:r w:rsidRPr="00626C38">
        <w:rPr>
          <w:b/>
          <w:bCs/>
        </w:rPr>
        <w:t xml:space="preserve">: </w:t>
      </w:r>
      <w:r w:rsidRPr="000B0341">
        <w:rPr>
          <w:sz w:val="16"/>
        </w:rPr>
        <w:t xml:space="preserve">Bozelko, Chandra. [Writer at Reuters] “Commentary: The real reason prisoners are striking” </w:t>
      </w:r>
      <w:r w:rsidRPr="000B0341">
        <w:rPr>
          <w:i/>
          <w:iCs/>
          <w:sz w:val="16"/>
        </w:rPr>
        <w:t xml:space="preserve">Reuters, </w:t>
      </w:r>
      <w:r w:rsidRPr="000B0341">
        <w:rPr>
          <w:sz w:val="16"/>
        </w:rPr>
        <w:t xml:space="preserve">2018. JP </w:t>
      </w:r>
    </w:p>
    <w:p w14:paraId="54E840C6" w14:textId="77777777" w:rsidR="007D0606" w:rsidRPr="000B0341" w:rsidRDefault="007D0606" w:rsidP="007D0606">
      <w:pPr>
        <w:ind w:right="-720"/>
        <w:rPr>
          <w:sz w:val="16"/>
        </w:rPr>
      </w:pPr>
    </w:p>
    <w:p w14:paraId="6D09D0EE" w14:textId="77777777" w:rsidR="007D0606" w:rsidRDefault="007D0606" w:rsidP="007D0606">
      <w:pPr>
        <w:spacing w:line="480" w:lineRule="auto"/>
        <w:ind w:right="-720"/>
      </w:pPr>
      <w:r w:rsidRPr="000B0341">
        <w:rPr>
          <w:b/>
          <w:bCs/>
          <w:highlight w:val="yellow"/>
          <w:u w:val="single"/>
        </w:rPr>
        <w:t>The lack of oversight has become dangerous</w:t>
      </w:r>
      <w:r w:rsidRPr="000B0341">
        <w:rPr>
          <w:b/>
          <w:bCs/>
          <w:u w:val="single"/>
        </w:rPr>
        <w:t>. While we don’t know the numbers of prisoners who are injured at work (OSHA maintains that data on employees only), we do have stories about allegations of substandard care and dangerous working conditions</w:t>
      </w:r>
      <w:r w:rsidRPr="000B0341">
        <w:rPr>
          <w:b/>
          <w:bCs/>
          <w:highlight w:val="yellow"/>
          <w:u w:val="single"/>
        </w:rPr>
        <w:t>.</w:t>
      </w:r>
      <w:r w:rsidRPr="000B0341">
        <w:rPr>
          <w:b/>
          <w:bCs/>
          <w:u w:val="single"/>
        </w:rPr>
        <w:t xml:space="preserve">  In one case</w:t>
      </w:r>
      <w:r w:rsidRPr="000B0341">
        <w:rPr>
          <w:b/>
          <w:bCs/>
          <w:highlight w:val="yellow"/>
          <w:u w:val="single"/>
        </w:rPr>
        <w:t>, a Georgia man who lost his leg after a fall in a prison kitchen won $550,000 from the state after claiming that a prison doctor neglected his injury.</w:t>
      </w:r>
      <w:r w:rsidRPr="000B0341">
        <w:rPr>
          <w:b/>
          <w:bCs/>
          <w:u w:val="single"/>
        </w:rPr>
        <w:t xml:space="preserve"> Other inmates have lost thumbs and fingers when they were caught in machinery</w:t>
      </w:r>
      <w:r w:rsidRPr="006C6F09">
        <w:rPr>
          <w:sz w:val="16"/>
        </w:rPr>
        <w:t xml:space="preserve">. In Pueblo, Colorado, a female inmate, Kara Fuelling, was almost decapitated while working in a saw mill when a blade tore through her helmet. In California, two inmates conscripted into firefighting detail through the state Department of Corrections lost their lives. In Georgia, just this past May, a prisoner on work detail was killed by a distracted driver passing the highway work site.  </w:t>
      </w:r>
      <w:r w:rsidRPr="000B0341">
        <w:rPr>
          <w:b/>
          <w:bCs/>
          <w:highlight w:val="yellow"/>
          <w:u w:val="single"/>
        </w:rPr>
        <w:t>Although it could be argued that these injuries and deaths can happen anywhere, the difference is that workplaces outside of prison have some safety oversight and with it, a higher standard of care</w:t>
      </w:r>
      <w:r w:rsidRPr="006C6F09">
        <w:rPr>
          <w:sz w:val="16"/>
        </w:rPr>
        <w:t xml:space="preserve">. If prisons had to comply with OSHA standards, these injuries and deaths may have been prevented.  Inmate injuries are worthy of even more preventive oversight when you consider that medical care can be substandard in many correctional facilities. The Georgia inmate who lost his leg initially sustained only a dime-sized cut above his ankle, but evidence in the lawsuit indicated that a lack of care worsened his injury to the point that he had to sacrifice a limb. Kara Fuelling, the saw mill worker, wasn’t brought to an emergency room but was rather transported to the prison infirmary. According to Fuelling’s lawsuit, a doctor who examined her was concerned about possible infection because the saw blade was dirty; she went on to develop an antibiotic-resistant MRSA infection.  Many of these injuries are caused by equipment that, according to a report in the University of Pennsylvania Journal of Business and Employment Law, was known to be faulty or defective.  </w:t>
      </w:r>
      <w:r w:rsidRPr="006C6F09">
        <w:rPr>
          <w:b/>
          <w:bCs/>
          <w:highlight w:val="yellow"/>
          <w:u w:val="single"/>
        </w:rPr>
        <w:t xml:space="preserve">Even when inmates are hurt because the correctional facility is negligent, there’s </w:t>
      </w:r>
      <w:r w:rsidRPr="006C6F09">
        <w:rPr>
          <w:b/>
          <w:bCs/>
          <w:u w:val="single"/>
        </w:rPr>
        <w:t xml:space="preserve">little to </w:t>
      </w:r>
      <w:r w:rsidRPr="006C6F09">
        <w:rPr>
          <w:b/>
          <w:bCs/>
          <w:highlight w:val="yellow"/>
          <w:u w:val="single"/>
        </w:rPr>
        <w:t>no recourse for incarcerated workers</w:t>
      </w:r>
      <w:r>
        <w:rPr>
          <w:b/>
          <w:bCs/>
          <w:u w:val="single"/>
        </w:rPr>
        <w:t xml:space="preserve">. </w:t>
      </w:r>
    </w:p>
    <w:p w14:paraId="2CA134F8" w14:textId="77777777" w:rsidR="007D0606" w:rsidRPr="00F601E6" w:rsidRDefault="007D0606" w:rsidP="007D0606"/>
    <w:p w14:paraId="51E5ED2A"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D060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606"/>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81658E"/>
  <w14:defaultImageDpi w14:val="300"/>
  <w15:docId w15:val="{9CF70E5A-EF8B-5A4E-BD52-1769A06C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7D0606"/>
    <w:rPr>
      <w:rFonts w:ascii="Times New Roman" w:hAnsi="Times New Roman" w:cs="Times New Roman"/>
    </w:rPr>
  </w:style>
  <w:style w:type="paragraph" w:styleId="Heading1">
    <w:name w:val="heading 1"/>
    <w:aliases w:val="Pocket"/>
    <w:basedOn w:val="Normal"/>
    <w:next w:val="Normal"/>
    <w:link w:val="Heading1Char"/>
    <w:uiPriority w:val="9"/>
    <w:qFormat/>
    <w:rsid w:val="007D060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7D0606"/>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D060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7D060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D0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0606"/>
  </w:style>
  <w:style w:type="character" w:customStyle="1" w:styleId="Heading1Char">
    <w:name w:val="Heading 1 Char"/>
    <w:aliases w:val="Pocket Char"/>
    <w:basedOn w:val="DefaultParagraphFont"/>
    <w:link w:val="Heading1"/>
    <w:uiPriority w:val="9"/>
    <w:rsid w:val="007D0606"/>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7D0606"/>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D060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7D0606"/>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D0606"/>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7D0606"/>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7D0606"/>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D0606"/>
    <w:rPr>
      <w:color w:val="auto"/>
      <w:u w:val="none"/>
    </w:rPr>
  </w:style>
  <w:style w:type="character" w:styleId="Hyperlink">
    <w:name w:val="Hyperlink"/>
    <w:basedOn w:val="DefaultParagraphFont"/>
    <w:uiPriority w:val="99"/>
    <w:unhideWhenUsed/>
    <w:rsid w:val="007D0606"/>
    <w:rPr>
      <w:color w:val="auto"/>
      <w:u w:val="none"/>
    </w:rPr>
  </w:style>
  <w:style w:type="paragraph" w:styleId="DocumentMap">
    <w:name w:val="Document Map"/>
    <w:basedOn w:val="Normal"/>
    <w:link w:val="DocumentMapChar"/>
    <w:uiPriority w:val="99"/>
    <w:semiHidden/>
    <w:unhideWhenUsed/>
    <w:rsid w:val="007D0606"/>
    <w:rPr>
      <w:rFonts w:ascii="Lucida Grande" w:hAnsi="Lucida Grande" w:cs="Lucida Grande"/>
    </w:rPr>
  </w:style>
  <w:style w:type="character" w:customStyle="1" w:styleId="DocumentMapChar">
    <w:name w:val="Document Map Char"/>
    <w:basedOn w:val="DefaultParagraphFont"/>
    <w:link w:val="DocumentMap"/>
    <w:uiPriority w:val="99"/>
    <w:semiHidden/>
    <w:rsid w:val="007D0606"/>
    <w:rPr>
      <w:rFonts w:ascii="Lucida Grande" w:hAnsi="Lucida Grande" w:cs="Lucida Grande"/>
    </w:rPr>
  </w:style>
  <w:style w:type="paragraph" w:customStyle="1" w:styleId="textbold">
    <w:name w:val="text bold"/>
    <w:basedOn w:val="Normal"/>
    <w:link w:val="Emphasis"/>
    <w:uiPriority w:val="20"/>
    <w:qFormat/>
    <w:rsid w:val="007D0606"/>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arvardlawreview.org/2019/03/striking-the-right-balance-toward-a-better-understanding-of-prison-strikes/" TargetMode="External"/><Relationship Id="rId5" Type="http://schemas.openxmlformats.org/officeDocument/2006/relationships/numbering" Target="numbering.xml"/><Relationship Id="rId15" Type="http://schemas.openxmlformats.org/officeDocument/2006/relationships/hyperlink" Target="https://harvardlawreview.org/2019/03/striking-the-right-balance-toward-a-better-understanding-of-prison-strikes/" TargetMode="External"/><Relationship Id="rId10" Type="http://schemas.openxmlformats.org/officeDocument/2006/relationships/hyperlink" Target="https://www.theguardian.com/us-news/2021/jul/20/companies-claim-theres-a-labor-shortage-their-solution-prisoners" TargetMode="External"/><Relationship Id="rId4" Type="http://schemas.openxmlformats.org/officeDocument/2006/relationships/customXml" Target="../customXml/item4.xml"/><Relationship Id="rId9" Type="http://schemas.openxmlformats.org/officeDocument/2006/relationships/hyperlink" Target="https://www.jstor.org/stable/40338793" TargetMode="External"/><Relationship Id="rId14" Type="http://schemas.openxmlformats.org/officeDocument/2006/relationships/hyperlink" Target="https://www.epw.in/engage/article/prisoners-right-strike-protests-inmates-should-n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642713-7A08-F248-A2B1-67ECC70AF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6883</Words>
  <Characters>39235</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2021-11-23T15:25:00Z</dcterms:created>
  <dcterms:modified xsi:type="dcterms:W3CDTF">2021-11-23T15:27:00Z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