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DEC" w:rsidRDefault="006D4DEC" w:rsidP="006D4DEC">
      <w:pPr>
        <w:pStyle w:val="Heading1"/>
        <w:ind w:right="-720"/>
      </w:pPr>
      <w:r>
        <w:t>Prison Strikes AC</w:t>
      </w:r>
    </w:p>
    <w:p w:rsidR="006D4DEC" w:rsidRDefault="006D4DEC" w:rsidP="006D4DEC">
      <w:pPr>
        <w:pStyle w:val="Heading2"/>
        <w:ind w:right="-720"/>
        <w:rPr>
          <w:u w:val="single"/>
        </w:rPr>
      </w:pPr>
      <w:r>
        <w:rPr>
          <w:u w:val="single"/>
        </w:rPr>
        <w:lastRenderedPageBreak/>
        <w:t>Part 1: The Court</w:t>
      </w:r>
    </w:p>
    <w:p w:rsidR="006D4DEC" w:rsidRPr="00B429E8" w:rsidRDefault="006D4DEC" w:rsidP="006D4DEC">
      <w:pPr>
        <w:ind w:right="-720"/>
      </w:pPr>
    </w:p>
    <w:p w:rsidR="006D4DEC" w:rsidRPr="00B429E8" w:rsidRDefault="006D4DEC" w:rsidP="006D4DEC">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rsidR="006D4DEC" w:rsidRDefault="006D4DEC" w:rsidP="006D4DEC">
      <w:pPr>
        <w:ind w:right="-720"/>
        <w:rPr>
          <w:rStyle w:val="Style13ptBold"/>
          <w:b w:val="0"/>
          <w:bCs/>
        </w:rPr>
      </w:pPr>
      <w:r w:rsidRPr="00B429E8">
        <w:rPr>
          <w:rStyle w:val="Style13ptBold"/>
          <w:sz w:val="24"/>
          <w:u w:val="single"/>
        </w:rPr>
        <w:t>Guinier &amp; Torres</w:t>
      </w:r>
      <w:r w:rsidRPr="00B429E8">
        <w:rPr>
          <w:rStyle w:val="Style13ptBold"/>
          <w:sz w:val="24"/>
        </w:rPr>
        <w:t>:</w:t>
      </w:r>
      <w:r>
        <w:rPr>
          <w:rStyle w:val="Style13ptBold"/>
          <w:sz w:val="24"/>
        </w:rPr>
        <w:t xml:space="preserve"> </w:t>
      </w:r>
      <w:r w:rsidRPr="00C10DF6">
        <w:rPr>
          <w:rStyle w:val="Style13ptBold"/>
          <w:b w:val="0"/>
          <w:bCs/>
        </w:rPr>
        <w:t>Guinier, Lani [Bennett Boskey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xml:space="preserve">. </w:t>
      </w:r>
      <w:r w:rsidRPr="00EF4AB1">
        <w:rPr>
          <w:rStyle w:val="Style13ptBold"/>
          <w:b w:val="0"/>
          <w:bCs/>
        </w:rPr>
        <w:t xml:space="preserve">https://www.hup.harvard.edu/catalog.php?isbn=9780674010840 </w:t>
      </w:r>
      <w:r>
        <w:rPr>
          <w:rStyle w:val="Style13ptBold"/>
          <w:b w:val="0"/>
          <w:bCs/>
        </w:rPr>
        <w:t>CV/CH</w:t>
      </w:r>
    </w:p>
    <w:p w:rsidR="006D4DEC" w:rsidRPr="00C10DF6" w:rsidRDefault="006D4DEC" w:rsidP="006D4DEC">
      <w:pPr>
        <w:ind w:right="-720"/>
      </w:pPr>
      <w:r>
        <w:t xml:space="preserve"> </w:t>
      </w:r>
    </w:p>
    <w:p w:rsidR="006D4DEC" w:rsidRPr="00943386" w:rsidRDefault="006D4DEC" w:rsidP="006D4DEC">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 w:val="0"/>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lastRenderedPageBreak/>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rsidR="006D4DEC" w:rsidRPr="00B429E8" w:rsidRDefault="006D4DEC" w:rsidP="006D4DEC">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rsidR="006D4DEC" w:rsidRDefault="006D4DEC" w:rsidP="006D4DEC">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rsidR="006D4DEC" w:rsidRPr="00B927A9" w:rsidRDefault="006D4DEC" w:rsidP="006D4DEC">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rsidR="006D4DEC" w:rsidRPr="00B927A9" w:rsidRDefault="006D4DEC" w:rsidP="006D4DEC">
      <w:pPr>
        <w:ind w:right="-720"/>
        <w:rPr>
          <w:rStyle w:val="StyleUnderline"/>
          <w:b w:val="0"/>
          <w:bCs/>
          <w:u w:val="none"/>
        </w:rPr>
      </w:pPr>
    </w:p>
    <w:p w:rsidR="006D4DEC" w:rsidRDefault="006D4DEC" w:rsidP="006D4DEC">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w:t>
      </w:r>
      <w:r w:rsidRPr="00071BDC">
        <w:rPr>
          <w:rStyle w:val="StyleUnderline"/>
        </w:rPr>
        <w:lastRenderedPageBreak/>
        <w:t>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rsidR="006D4DEC" w:rsidRPr="00B429E8" w:rsidRDefault="006D4DEC" w:rsidP="006D4DEC">
      <w:pPr>
        <w:pStyle w:val="Heading4"/>
        <w:spacing w:line="480" w:lineRule="auto"/>
        <w:ind w:right="-720"/>
        <w:rPr>
          <w:b w:val="0"/>
          <w:bCs w:val="0"/>
        </w:rPr>
      </w:pPr>
      <w:bookmarkStart w:id="0" w:name="_GoBack"/>
      <w:bookmarkEnd w:id="0"/>
      <w:r>
        <w:lastRenderedPageBreak/>
        <w:t xml:space="preserve"> </w:t>
      </w:r>
      <w:r>
        <w:t xml:space="preserve">[ROB] The Role of the Ballot is to Endorse the Best Anti-Racist Resistance Strategy. </w:t>
      </w:r>
      <w:r>
        <w:rPr>
          <w:b w:val="0"/>
          <w:bCs w:val="0"/>
        </w:rPr>
        <w:t xml:space="preserve">That means we weigh the round based on whose advocacy better combats racism – NOT as a footnote to some big stick extinction scenario that directs the discussion elsewhere, but as a terminal impact in itself. </w:t>
      </w:r>
    </w:p>
    <w:p w:rsidR="006D4DEC" w:rsidRDefault="006D4DEC" w:rsidP="006D4DEC">
      <w:pPr>
        <w:ind w:right="-720"/>
      </w:pPr>
    </w:p>
    <w:p w:rsidR="006D4DEC" w:rsidRDefault="006D4DEC" w:rsidP="006D4DEC">
      <w:pPr>
        <w:pStyle w:val="Heading2"/>
        <w:ind w:right="-720"/>
        <w:rPr>
          <w:u w:val="single"/>
        </w:rPr>
      </w:pPr>
      <w:r>
        <w:rPr>
          <w:u w:val="single"/>
        </w:rPr>
        <w:lastRenderedPageBreak/>
        <w:t>Part 2: Behind the Wall</w:t>
      </w:r>
    </w:p>
    <w:p w:rsidR="006D4DEC" w:rsidRPr="004D1BEB" w:rsidRDefault="006D4DEC" w:rsidP="006D4DEC">
      <w:pPr>
        <w:ind w:right="-720"/>
      </w:pPr>
    </w:p>
    <w:p w:rsidR="006D4DEC" w:rsidRPr="00DB56A9" w:rsidRDefault="006D4DEC" w:rsidP="006D4DEC">
      <w:pPr>
        <w:pStyle w:val="Heading4"/>
        <w:spacing w:line="480" w:lineRule="auto"/>
        <w:ind w:right="-720"/>
        <w:rPr>
          <w:b w:val="0"/>
          <w:bCs w:val="0"/>
          <w:lang w:bidi="he-IL"/>
        </w:rPr>
      </w:pPr>
      <w:r>
        <w:rPr>
          <w:lang w:bidi="he-IL"/>
        </w:rPr>
        <w:t xml:space="preserve">[Davis et al] The prisoner industrial complex, or PIC, is a continuation of slavery – </w:t>
      </w:r>
      <w:r>
        <w:rPr>
          <w:b w:val="0"/>
          <w:bCs w:val="0"/>
          <w:lang w:bidi="he-IL"/>
        </w:rPr>
        <w:t xml:space="preserve">it’s built on notions of stripping humanity of individuals to prioritize profit. </w:t>
      </w:r>
    </w:p>
    <w:p w:rsidR="006D4DEC" w:rsidRPr="00715AEE" w:rsidRDefault="006D4DEC" w:rsidP="006D4DEC">
      <w:pPr>
        <w:ind w:right="-720"/>
        <w:rPr>
          <w:sz w:val="16"/>
          <w:szCs w:val="16"/>
          <w:lang w:bidi="he-IL"/>
        </w:rPr>
      </w:pPr>
      <w:r>
        <w:rPr>
          <w:b/>
          <w:bCs/>
          <w:u w:val="single"/>
          <w:lang w:bidi="he-IL"/>
        </w:rPr>
        <w:t>Davis et al</w:t>
      </w:r>
      <w:r>
        <w:rPr>
          <w:b/>
          <w:bCs/>
          <w:lang w:bidi="he-IL"/>
        </w:rPr>
        <w:t>:</w:t>
      </w:r>
      <w:r w:rsidRPr="00715AEE">
        <w:rPr>
          <w:sz w:val="16"/>
          <w:lang w:bidi="he-IL"/>
        </w:rPr>
        <w:t xml:space="preserve"> </w:t>
      </w:r>
      <w:r w:rsidRPr="00715AEE">
        <w:rPr>
          <w:sz w:val="16"/>
          <w:szCs w:val="16"/>
          <w:lang w:bidi="he-IL"/>
        </w:rPr>
        <w:t xml:space="preserve">Davis, Angela. [Duke University Press], Shalyor, Cassandra. [Duke University Press] “Race, Gender, and the Prison Industrial Complex: California and Beyond” </w:t>
      </w:r>
      <w:r w:rsidRPr="00715AEE">
        <w:rPr>
          <w:i/>
          <w:iCs/>
          <w:sz w:val="16"/>
          <w:szCs w:val="16"/>
          <w:lang w:bidi="he-IL"/>
        </w:rPr>
        <w:t xml:space="preserve">Duke University Press, </w:t>
      </w:r>
      <w:r w:rsidRPr="00715AEE">
        <w:rPr>
          <w:sz w:val="16"/>
          <w:szCs w:val="16"/>
          <w:lang w:bidi="he-IL"/>
        </w:rPr>
        <w:t xml:space="preserve">2001. </w:t>
      </w:r>
      <w:hyperlink r:id="rId9" w:history="1">
        <w:r w:rsidRPr="00075F95">
          <w:rPr>
            <w:rStyle w:val="Hyperlink"/>
            <w:sz w:val="16"/>
            <w:szCs w:val="16"/>
            <w:lang w:bidi="he-IL"/>
          </w:rPr>
          <w:t>https://www.jstor.org/stable/40338793</w:t>
        </w:r>
      </w:hyperlink>
      <w:r>
        <w:rPr>
          <w:sz w:val="16"/>
          <w:szCs w:val="16"/>
          <w:lang w:bidi="he-IL"/>
        </w:rPr>
        <w:t xml:space="preserve"> </w:t>
      </w:r>
      <w:r w:rsidRPr="00715AEE">
        <w:rPr>
          <w:sz w:val="16"/>
          <w:szCs w:val="16"/>
          <w:lang w:bidi="he-IL"/>
        </w:rPr>
        <w:t xml:space="preserve">JP  </w:t>
      </w:r>
    </w:p>
    <w:p w:rsidR="006D4DEC" w:rsidRPr="00C9745E" w:rsidRDefault="006D4DEC" w:rsidP="006D4DEC">
      <w:pPr>
        <w:ind w:right="-720"/>
        <w:rPr>
          <w:sz w:val="16"/>
          <w:szCs w:val="16"/>
          <w:lang w:bidi="he-IL"/>
        </w:rPr>
      </w:pPr>
    </w:p>
    <w:p w:rsidR="006D4DEC" w:rsidRPr="002F4BD1" w:rsidRDefault="006D4DEC" w:rsidP="006D4DEC">
      <w:pPr>
        <w:spacing w:line="480" w:lineRule="auto"/>
        <w:ind w:right="-720"/>
        <w:rPr>
          <w:b/>
          <w:bCs/>
          <w:sz w:val="16"/>
        </w:rPr>
      </w:pPr>
      <w:r w:rsidRPr="002F4BD1">
        <w:rPr>
          <w:rStyle w:val="StyleUnderline"/>
          <w:b w:val="0"/>
          <w:bCs/>
          <w:sz w:val="16"/>
          <w:u w:val="none"/>
        </w:rPr>
        <w:t xml:space="preserve">As prison populations have soared in the United States, the conventional assumption that increased levels of crime are the cause has been widely contested. Activists and scholars who have tried to develop more nuanced understandings of the punishment process- and especially racism's role- have deployed the concept of the "prison industrial complex" to point out that the proliferation of prisons and prisoners is more clearly linked to larger economic and political structures and ideologies than to individual criminal conduct and efforts to curb "crime." Indeed, vast numbers of corporations with global markets rely on prisons as an important source of profit and thus have acquired clandestine stakes in the continued expansion of the prison system. </w:t>
      </w:r>
      <w:r w:rsidRPr="00DB56A9">
        <w:rPr>
          <w:rStyle w:val="StyleUnderline"/>
          <w:highlight w:val="yellow"/>
        </w:rPr>
        <w:t>Because the overwhelming majority of U.S. prisoners are from racially marginalized communities, corporate stakes in an expanding</w:t>
      </w:r>
      <w:r w:rsidRPr="00FD5B5A">
        <w:rPr>
          <w:rStyle w:val="StyleUnderline"/>
        </w:rPr>
        <w:t xml:space="preserve"> apparatus of </w:t>
      </w:r>
      <w:r w:rsidRPr="00DB56A9">
        <w:rPr>
          <w:rStyle w:val="StyleUnderline"/>
          <w:highlight w:val="yellow"/>
        </w:rPr>
        <w:t xml:space="preserve">punishment </w:t>
      </w:r>
      <w:r w:rsidRPr="00FD5B5A">
        <w:rPr>
          <w:rStyle w:val="StyleUnderline"/>
        </w:rPr>
        <w:t xml:space="preserve">necessarily rely on and </w:t>
      </w:r>
      <w:r w:rsidRPr="00DB56A9">
        <w:rPr>
          <w:rStyle w:val="StyleUnderline"/>
          <w:highlight w:val="yellow"/>
        </w:rPr>
        <w:t>promote</w:t>
      </w:r>
      <w:r w:rsidRPr="00FD5B5A">
        <w:rPr>
          <w:rStyle w:val="StyleUnderline"/>
        </w:rPr>
        <w:t xml:space="preserve"> old as well as new </w:t>
      </w:r>
      <w:r w:rsidRPr="00DB56A9">
        <w:rPr>
          <w:rStyle w:val="StyleUnderline"/>
          <w:highlight w:val="yellow"/>
        </w:rPr>
        <w:t>structures of racism</w:t>
      </w:r>
      <w:r w:rsidRPr="002F4BD1">
        <w:rPr>
          <w:rStyle w:val="StyleUnderline"/>
          <w:b w:val="0"/>
          <w:bCs/>
          <w:sz w:val="16"/>
          <w:u w:val="none"/>
        </w:rPr>
        <w:t xml:space="preserve">. Women especially have been hurt by these developments. Although women comprise a relatively small percentage of the entire prison popu- lation, they constitute, nevertheless, the fastest growing segment of pris- oners. There are now more women in prison in the State of California alone than there were in the United States as a whole in 1970 (Currie 1998). </w:t>
      </w:r>
      <w:r w:rsidRPr="00DB56A9">
        <w:rPr>
          <w:rStyle w:val="StyleUnderline"/>
          <w:highlight w:val="yellow"/>
        </w:rPr>
        <w:t xml:space="preserve">Because race is a major factor in determining who goes to prison and who does not, the groups </w:t>
      </w:r>
      <w:r w:rsidRPr="00FD5B5A">
        <w:rPr>
          <w:rStyle w:val="StyleUnderline"/>
          <w:highlight w:val="yellow"/>
        </w:rPr>
        <w:t>most rapidly increasing in number are black, Latina, Asian-American, and indigenous women. Globalization of cap</w:t>
      </w:r>
      <w:r w:rsidRPr="002F4BD1">
        <w:rPr>
          <w:sz w:val="16"/>
        </w:rPr>
        <w:t xml:space="preserve">italism has </w:t>
      </w:r>
      <w:r w:rsidRPr="00FD5B5A">
        <w:rPr>
          <w:rStyle w:val="StyleUnderline"/>
          <w:highlight w:val="yellow"/>
        </w:rPr>
        <w:t>precipitated the decline of the welfare state in industrialized countries</w:t>
      </w:r>
      <w:r w:rsidRPr="00FD5B5A">
        <w:rPr>
          <w:rStyle w:val="StyleUnderline"/>
        </w:rPr>
        <w:t>, such as the U.S. and Britain, and has brought about structural adjustment in the countries of the southern region</w:t>
      </w:r>
      <w:r w:rsidRPr="00FD5B5A">
        <w:rPr>
          <w:rStyle w:val="StyleUnderline"/>
          <w:highlight w:val="yellow"/>
        </w:rPr>
        <w:t>. As social programs</w:t>
      </w:r>
      <w:r w:rsidRPr="00FD5B5A">
        <w:rPr>
          <w:rStyle w:val="StyleUnderline"/>
        </w:rPr>
        <w:t xml:space="preserve"> in the U.S. </w:t>
      </w:r>
      <w:r w:rsidRPr="00FD5B5A">
        <w:rPr>
          <w:rStyle w:val="StyleUnderline"/>
          <w:highlight w:val="yellow"/>
        </w:rPr>
        <w:t>have been drastically curtailed, imprisonment has simultaneously become the most self-evident response</w:t>
      </w:r>
      <w:r w:rsidRPr="00FD5B5A">
        <w:rPr>
          <w:rStyle w:val="StyleUnderline"/>
        </w:rPr>
        <w:t xml:space="preserve"> to many of the social problems previously addressed by insti- tutions such as Aid to Families with Dependent Children (afdc)</w:t>
      </w:r>
      <w:r w:rsidRPr="00FD5B5A">
        <w:rPr>
          <w:rStyle w:val="StyleUnderline"/>
          <w:highlight w:val="yellow"/>
        </w:rPr>
        <w:t>.</w:t>
      </w:r>
      <w:r w:rsidRPr="002F4BD1">
        <w:rPr>
          <w:rStyle w:val="StyleUnderline"/>
          <w:b w:val="0"/>
          <w:bCs/>
          <w:sz w:val="16"/>
          <w:u w:val="none"/>
        </w:rPr>
        <w:t xml:space="preserve"> In other words, in the era of the disestablishment of social programs that have historically served poor communities, and at a time when affirmative action programs are being dismantled and resources for education and health are declining, imprisonment functions as the default solution.  Especially for women of color, who are hardest hit by the withdrawing of social resources and their replacement with imprisonment, these dra- conian strategies- ever longer prison sentences for offenses that are often petty- tend to reproduce and, indeed, exacerbate the very problems they purport to solve. There is an ironic but telling similarity between the economic impact of the prison industrial complex and that of the military industrial complex, with which </w:t>
      </w:r>
      <w:r w:rsidRPr="002F4BD1">
        <w:rPr>
          <w:rStyle w:val="StyleUnderline"/>
          <w:b w:val="0"/>
          <w:bCs/>
          <w:sz w:val="16"/>
          <w:u w:val="none"/>
        </w:rPr>
        <w:lastRenderedPageBreak/>
        <w:t xml:space="preserve">it shares important structural features. Both systems simultaneously produce vast profits and social destruction. What is beneficial to the corporations, politicians, and state entities involved in these systems brings blight and death to poor and racially marginalized communities throughout the world. </w:t>
      </w:r>
      <w:r w:rsidRPr="00DB56A9">
        <w:rPr>
          <w:rStyle w:val="StyleUnderline"/>
          <w:highlight w:val="yellow"/>
        </w:rPr>
        <w:t xml:space="preserve">In the case of </w:t>
      </w:r>
      <w:r w:rsidRPr="00FD5B5A">
        <w:rPr>
          <w:rStyle w:val="StyleUnderline"/>
          <w:highlight w:val="yellow"/>
        </w:rPr>
        <w:t>the p</w:t>
      </w:r>
      <w:r w:rsidRPr="002F4BD1">
        <w:rPr>
          <w:sz w:val="16"/>
        </w:rPr>
        <w:t xml:space="preserve">rison </w:t>
      </w:r>
      <w:r w:rsidRPr="00FD5B5A">
        <w:rPr>
          <w:rStyle w:val="StyleUnderline"/>
          <w:highlight w:val="yellow"/>
        </w:rPr>
        <w:t>i</w:t>
      </w:r>
      <w:r w:rsidRPr="002F4BD1">
        <w:rPr>
          <w:sz w:val="16"/>
        </w:rPr>
        <w:t xml:space="preserve">ndustrial </w:t>
      </w:r>
      <w:r w:rsidRPr="00FD5B5A">
        <w:rPr>
          <w:rStyle w:val="StyleUnderline"/>
          <w:highlight w:val="yellow"/>
        </w:rPr>
        <w:t>c</w:t>
      </w:r>
      <w:r w:rsidRPr="002F4BD1">
        <w:rPr>
          <w:sz w:val="16"/>
        </w:rPr>
        <w:t>omplex</w:t>
      </w:r>
      <w:r w:rsidRPr="00FD5B5A">
        <w:rPr>
          <w:rStyle w:val="StyleUnderline"/>
          <w:highlight w:val="yellow"/>
        </w:rPr>
        <w:t xml:space="preserve">, the </w:t>
      </w:r>
      <w:r w:rsidRPr="00DB56A9">
        <w:rPr>
          <w:rStyle w:val="StyleUnderline"/>
          <w:highlight w:val="yellow"/>
        </w:rPr>
        <w:t>transformation of imprisoned bodies of color into consumers and/or producers</w:t>
      </w:r>
      <w:r w:rsidRPr="00DB56A9">
        <w:rPr>
          <w:rStyle w:val="StyleUnderline"/>
        </w:rPr>
        <w:t xml:space="preserve"> of an immense range of commodities </w:t>
      </w:r>
      <w:r w:rsidRPr="00DB56A9">
        <w:rPr>
          <w:rStyle w:val="StyleUnderline"/>
          <w:highlight w:val="yellow"/>
        </w:rPr>
        <w:t>effectively transforms public funds into profit</w:t>
      </w:r>
      <w:r w:rsidRPr="00DB56A9">
        <w:rPr>
          <w:rStyle w:val="StyleUnderline"/>
        </w:rPr>
        <w:t>, leaving little in the way of social assistance to bolster the efforts of women and men who want to overcome barriers erected by poverty and racism</w:t>
      </w:r>
      <w:r w:rsidRPr="00DB56A9">
        <w:rPr>
          <w:rStyle w:val="StyleUnderline"/>
          <w:highlight w:val="yellow"/>
        </w:rPr>
        <w:t>.</w:t>
      </w:r>
      <w:r w:rsidRPr="002F4BD1">
        <w:rPr>
          <w:rStyle w:val="StyleUnderline"/>
          <w:b w:val="0"/>
          <w:bCs/>
          <w:sz w:val="16"/>
          <w:u w:val="none"/>
        </w:rPr>
        <w:t xml:space="preserve"> For example, when women who spend many years in prison are released, instead of jobs, housing, health care, and education, they are offered a small amount of release money, which covers little more than a bus ride and two nights in an inexpensive hotel. </w:t>
      </w:r>
      <w:r w:rsidRPr="00FD5B5A">
        <w:rPr>
          <w:rStyle w:val="StyleUnderline"/>
        </w:rPr>
        <w:t xml:space="preserve">In </w:t>
      </w:r>
      <w:r w:rsidRPr="00FD5B5A">
        <w:rPr>
          <w:rStyle w:val="StyleUnderline"/>
          <w:highlight w:val="yellow"/>
        </w:rPr>
        <w:t xml:space="preserve">the "free </w:t>
      </w:r>
      <w:r w:rsidRPr="00DB56A9">
        <w:rPr>
          <w:rStyle w:val="StyleUnderline"/>
          <w:highlight w:val="yellow"/>
        </w:rPr>
        <w:t>world</w:t>
      </w:r>
      <w:r w:rsidRPr="00FD5B5A">
        <w:rPr>
          <w:rStyle w:val="StyleUnderline"/>
        </w:rPr>
        <w:t>,</w:t>
      </w:r>
      <w:r w:rsidRPr="00DB56A9">
        <w:rPr>
          <w:rStyle w:val="StyleUnderline"/>
          <w:highlight w:val="yellow"/>
        </w:rPr>
        <w:t xml:space="preserve">" </w:t>
      </w:r>
      <w:r w:rsidRPr="005B354C">
        <w:rPr>
          <w:rStyle w:val="StyleUnderline"/>
        </w:rPr>
        <w:t xml:space="preserve">they are haunted by the stigma of imprisonment, which </w:t>
      </w:r>
      <w:r w:rsidRPr="00FD5B5A">
        <w:rPr>
          <w:rStyle w:val="StyleUnderline"/>
          <w:highlight w:val="yellow"/>
        </w:rPr>
        <w:t xml:space="preserve">renders it </w:t>
      </w:r>
      <w:r w:rsidRPr="00DB56A9">
        <w:rPr>
          <w:rStyle w:val="StyleUnderline"/>
          <w:highlight w:val="yellow"/>
        </w:rPr>
        <w:t>extremely difficult for a "felon" to find a job.</w:t>
      </w:r>
      <w:r w:rsidRPr="00DB56A9">
        <w:rPr>
          <w:rStyle w:val="StyleUnderline"/>
        </w:rPr>
        <w:t xml:space="preserve"> Thus </w:t>
      </w:r>
      <w:r w:rsidRPr="00DB56A9">
        <w:rPr>
          <w:rStyle w:val="StyleUnderline"/>
          <w:highlight w:val="yellow"/>
        </w:rPr>
        <w:t>they are inevitably tracked back into a prison system that</w:t>
      </w:r>
      <w:r w:rsidRPr="00EA769E">
        <w:rPr>
          <w:rStyle w:val="StyleUnderline"/>
        </w:rPr>
        <w:t xml:space="preserve"> </w:t>
      </w:r>
      <w:r w:rsidRPr="005B354C">
        <w:rPr>
          <w:rStyle w:val="StyleUnderline"/>
        </w:rPr>
        <w:t xml:space="preserve">in this era of the prison industrial complex </w:t>
      </w:r>
      <w:r w:rsidRPr="00DB56A9">
        <w:rPr>
          <w:rStyle w:val="StyleUnderline"/>
          <w:highlight w:val="yellow"/>
        </w:rPr>
        <w:t>has entirely dispensed with even a semblance of rehabilitation.</w:t>
      </w:r>
      <w:r w:rsidRPr="00DB56A9">
        <w:rPr>
          <w:sz w:val="16"/>
          <w:u w:val="single"/>
        </w:rPr>
        <w:t xml:space="preserve"> </w:t>
      </w:r>
    </w:p>
    <w:p w:rsidR="006D4DEC" w:rsidRPr="007327F5" w:rsidRDefault="006D4DEC" w:rsidP="006D4DEC">
      <w:pPr>
        <w:pStyle w:val="Heading4"/>
        <w:spacing w:line="480" w:lineRule="auto"/>
        <w:ind w:right="-720"/>
        <w:rPr>
          <w:b w:val="0"/>
          <w:bCs w:val="0"/>
        </w:rPr>
      </w:pPr>
      <w:r>
        <w:t xml:space="preserve">[Sainato] </w:t>
      </w:r>
      <w:r>
        <w:rPr>
          <w:b w:val="0"/>
          <w:bCs w:val="0"/>
        </w:rPr>
        <w:t xml:space="preserve">And the current conditions prisoner workers face fuels the PIC. </w:t>
      </w:r>
    </w:p>
    <w:p w:rsidR="006D4DEC" w:rsidRDefault="006D4DEC" w:rsidP="006D4DEC">
      <w:pPr>
        <w:ind w:right="-720"/>
      </w:pPr>
      <w:r>
        <w:rPr>
          <w:b/>
          <w:bCs/>
          <w:u w:val="single"/>
        </w:rPr>
        <w:t>Sainato</w:t>
      </w:r>
      <w:r>
        <w:t xml:space="preserve">: </w:t>
      </w:r>
      <w:r w:rsidRPr="007327F5">
        <w:rPr>
          <w:sz w:val="16"/>
          <w:szCs w:val="16"/>
        </w:rPr>
        <w:t xml:space="preserve">Sainato Michael [Writer on Civil Rights issues for the Miami Times] “Companies claim there’s a labor shortage. Their solution? Prisoners.” The Guardian, 2021. </w:t>
      </w:r>
      <w:hyperlink r:id="rId10" w:history="1">
        <w:r w:rsidRPr="00075F95">
          <w:rPr>
            <w:rStyle w:val="Hyperlink"/>
            <w:sz w:val="16"/>
            <w:szCs w:val="16"/>
          </w:rPr>
          <w:t>https://www.theguardian.com/us-news/2021/jul/20/companies-claim-theres-a-labor-shortage-their-solution-prisoners</w:t>
        </w:r>
      </w:hyperlink>
      <w:r>
        <w:rPr>
          <w:sz w:val="16"/>
          <w:szCs w:val="16"/>
        </w:rPr>
        <w:t xml:space="preserve"> </w:t>
      </w:r>
      <w:r w:rsidRPr="007327F5">
        <w:rPr>
          <w:sz w:val="16"/>
          <w:szCs w:val="16"/>
        </w:rPr>
        <w:t>MB</w:t>
      </w:r>
      <w:r>
        <w:t xml:space="preserve"> </w:t>
      </w:r>
    </w:p>
    <w:p w:rsidR="006D4DEC" w:rsidRPr="007327F5" w:rsidRDefault="006D4DEC" w:rsidP="006D4DEC">
      <w:pPr>
        <w:ind w:right="-720"/>
      </w:pPr>
    </w:p>
    <w:p w:rsidR="006D4DEC" w:rsidRDefault="006D4DEC" w:rsidP="006D4DEC">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 xml:space="preserve">pursuing cheap sources of labor, such as people currently or formerly in </w:t>
      </w:r>
      <w:r w:rsidRPr="005564CA">
        <w:rPr>
          <w:rStyle w:val="StyleUnderline"/>
          <w:highlight w:val="yellow"/>
        </w:rPr>
        <w:t>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w:t>
      </w:r>
      <w:r w:rsidRPr="005564CA">
        <w:rPr>
          <w:rStyle w:val="StyleUnderline"/>
          <w:highlight w:val="yellow"/>
        </w:rPr>
        <w: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 xml:space="preserve">several prison work release programs targeted by the waste industry fail to provide decent wages and benefits in an industry where workers face significant safety risks, poor weather </w:t>
      </w:r>
      <w:r w:rsidRPr="00C6273C">
        <w:rPr>
          <w:rStyle w:val="StyleUnderline"/>
        </w:rPr>
        <w:lastRenderedPageBreak/>
        <w:t>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7327F5">
        <w:rPr>
          <w:rStyle w:val="StyleUnderline"/>
          <w:highlight w:val="yellow"/>
        </w:rPr>
        <w:t>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w:t>
      </w:r>
      <w:r w:rsidRPr="005564CA">
        <w:rPr>
          <w:sz w:val="16"/>
        </w:rPr>
        <w:t xml:space="preserve">, making $14 an hour </w:t>
      </w:r>
      <w:r w:rsidRPr="007327F5">
        <w:rPr>
          <w:rStyle w:val="StyleUnderline"/>
          <w:highlight w:val="yellow"/>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Brandilynn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xml:space="preserve">.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t>
      </w:r>
      <w:r w:rsidRPr="00C6273C">
        <w:rPr>
          <w:rStyle w:val="StyleUnderline"/>
        </w:rPr>
        <w:lastRenderedPageBreak/>
        <w:t>where people become numbers – and we need a certain amount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So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Rynkiewicz,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rsidR="006D4DEC" w:rsidRPr="001267C9" w:rsidRDefault="006D4DEC" w:rsidP="006D4DEC">
      <w:pPr>
        <w:pStyle w:val="Heading4"/>
        <w:spacing w:line="480" w:lineRule="auto"/>
        <w:ind w:right="-720"/>
        <w:rPr>
          <w:b w:val="0"/>
          <w:bCs w:val="0"/>
        </w:rPr>
      </w:pPr>
      <w:r>
        <w:t xml:space="preserve">[HLR 1] Further, </w:t>
      </w:r>
      <w:r>
        <w:rPr>
          <w:b w:val="0"/>
          <w:bCs w:val="0"/>
        </w:rPr>
        <w:t>silence surrounds this issue – the public isn’t informed of prison strikes as a result.</w:t>
      </w:r>
    </w:p>
    <w:p w:rsidR="006D4DEC" w:rsidRDefault="006D4DEC" w:rsidP="006D4DEC">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1"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rsidR="006D4DEC" w:rsidRDefault="006D4DEC" w:rsidP="006D4DEC">
      <w:pPr>
        <w:ind w:right="-720"/>
        <w:rPr>
          <w:sz w:val="16"/>
        </w:rPr>
      </w:pPr>
    </w:p>
    <w:p w:rsidR="006D4DEC" w:rsidRPr="00DE5960" w:rsidRDefault="006D4DEC" w:rsidP="006D4DEC">
      <w:pPr>
        <w:spacing w:line="480" w:lineRule="auto"/>
        <w:ind w:right="-720"/>
        <w:rPr>
          <w:sz w:val="16"/>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 xml:space="preserve">nationwide prison strike was described as “[t]he largest </w:t>
      </w:r>
      <w:r w:rsidRPr="001850F5">
        <w:rPr>
          <w:rStyle w:val="StyleUnderline"/>
          <w:highlight w:val="yellow"/>
        </w:rPr>
        <w:lastRenderedPageBreak/>
        <w:t>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system. </w:t>
      </w:r>
      <w:r w:rsidRPr="001850F5">
        <w:rPr>
          <w:rStyle w:val="StyleUnderline"/>
        </w:rPr>
        <w:t xml:space="preserve">This overview suggests that </w:t>
      </w:r>
      <w:r w:rsidRPr="001267C9">
        <w:rPr>
          <w:rStyle w:val="StyleUnderline"/>
          <w:highlight w:val="yellow"/>
        </w:rPr>
        <w:t xml:space="preserve">as the carceral state has expanded and evolved, so too have prison strikes — thus placing actions like the latest 2018 strike in a long tradition of </w:t>
      </w:r>
      <w:r w:rsidRPr="001267C9">
        <w:rPr>
          <w:rStyle w:val="StyleUnderline"/>
          <w:highlight w:val="yellow"/>
        </w:rPr>
        <w:lastRenderedPageBreak/>
        <w:t>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rsidR="006D4DEC" w:rsidRDefault="006D4DEC" w:rsidP="006D4DEC">
      <w:pPr>
        <w:spacing w:line="480" w:lineRule="auto"/>
        <w:ind w:right="-720"/>
        <w:rPr>
          <w:sz w:val="12"/>
        </w:rPr>
      </w:pPr>
    </w:p>
    <w:p w:rsidR="006D4DEC" w:rsidRDefault="006D4DEC" w:rsidP="006D4DEC">
      <w:pPr>
        <w:pStyle w:val="Heading2"/>
        <w:ind w:right="-720"/>
        <w:rPr>
          <w:u w:val="single"/>
        </w:rPr>
      </w:pPr>
      <w:r>
        <w:rPr>
          <w:u w:val="single"/>
        </w:rPr>
        <w:lastRenderedPageBreak/>
        <w:t>Thus, I affirm</w:t>
      </w:r>
      <w:r w:rsidRPr="004A4AC5">
        <w:rPr>
          <w:u w:val="none"/>
        </w:rPr>
        <w:t>:</w:t>
      </w:r>
    </w:p>
    <w:p w:rsidR="006D4DEC" w:rsidRPr="00C6273C" w:rsidRDefault="006D4DEC" w:rsidP="006D4DEC">
      <w:pPr>
        <w:ind w:right="-720"/>
      </w:pPr>
      <w:r>
        <w:t xml:space="preserve"> </w:t>
      </w:r>
    </w:p>
    <w:p w:rsidR="006D4DEC" w:rsidRPr="00441F74" w:rsidRDefault="006D4DEC" w:rsidP="006D4DEC">
      <w:pPr>
        <w:pStyle w:val="Heading4"/>
        <w:spacing w:line="480" w:lineRule="auto"/>
        <w:ind w:right="-720"/>
        <w:rPr>
          <w:b w:val="0"/>
          <w:bCs w:val="0"/>
        </w:rPr>
      </w:pPr>
      <w:r>
        <w:t xml:space="preserve">[HLR 2] </w:t>
      </w:r>
      <w:r w:rsidRPr="00EC7F1C">
        <w:t xml:space="preserve">Resolved: A just government ought to recognize </w:t>
      </w:r>
      <w:r>
        <w:t>an</w:t>
      </w:r>
      <w:r w:rsidRPr="00EC7F1C">
        <w:t xml:space="preserve"> unconditional right of prison workers to strike. </w:t>
      </w:r>
      <w:r>
        <w:rPr>
          <w:b w:val="0"/>
          <w:bCs w:val="0"/>
        </w:rPr>
        <w:t>This entails codifying a right for all inmates to engage in nonviolent collective action.</w:t>
      </w:r>
    </w:p>
    <w:p w:rsidR="006D4DEC" w:rsidRDefault="006D4DEC" w:rsidP="006D4DEC">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2"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rsidR="006D4DEC" w:rsidRDefault="006D4DEC" w:rsidP="006D4DEC">
      <w:pPr>
        <w:ind w:right="-720"/>
      </w:pPr>
    </w:p>
    <w:p w:rsidR="006D4DEC" w:rsidRPr="00186385" w:rsidRDefault="006D4DEC" w:rsidP="006D4DEC">
      <w:pPr>
        <w:spacing w:line="480" w:lineRule="auto"/>
        <w:ind w:right="-720"/>
        <w:rPr>
          <w:sz w:val="14"/>
        </w:rPr>
      </w:pPr>
      <w:r w:rsidRPr="00186385">
        <w:rPr>
          <w:sz w:val="14"/>
        </w:rPr>
        <w:t xml:space="preserve">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w:t>
      </w:r>
      <w:r w:rsidRPr="00186385">
        <w:rPr>
          <w:rStyle w:val="StyleUnderline"/>
        </w:rPr>
        <w:t xml:space="preserve">I. PRISON STRIKE BACKGROUND AND HISTORY </w:t>
      </w:r>
      <w:r w:rsidRPr="00186385">
        <w:rPr>
          <w:rStyle w:val="StyleUnderline"/>
          <w:highlight w:val="yellow"/>
        </w:rPr>
        <w:t xml:space="preserve">The term “prison strike” encompasses a range of </w:t>
      </w:r>
      <w:r w:rsidRPr="00186385">
        <w:rPr>
          <w:rStyle w:val="Emphasis"/>
          <w:highlight w:val="yellow"/>
        </w:rPr>
        <w:t>nonviolent collective actions</w:t>
      </w:r>
      <w:r w:rsidRPr="00186385">
        <w:rPr>
          <w:rStyle w:val="StyleUnderline"/>
          <w:highlight w:val="yellow"/>
        </w:rPr>
        <w:t xml:space="preserve"> by prisoners — namely work stoppages, sit-ins, spending boycotts, hunger strikes, and other forms of protest — that challenge the rule or order of prison administration and generally disrupt “business as usual” within the prison.</w:t>
      </w:r>
      <w:r w:rsidRPr="00186385">
        <w:rPr>
          <w:rStyle w:val="StyleUnderline"/>
        </w:rPr>
        <w:t xml:space="preserve"> 9. </w:t>
      </w:r>
      <w:r w:rsidRPr="00186385">
        <w:rPr>
          <w:rStyle w:val="StyleUnderline"/>
          <w:highlight w:val="yellow"/>
        </w:rPr>
        <w:t xml:space="preserve">Prison strikes differ from other forms of collective action in prisons, including prison riots and rebellions, in that </w:t>
      </w:r>
      <w:r w:rsidRPr="00186385">
        <w:rPr>
          <w:rStyle w:val="Emphasis"/>
          <w:highlight w:val="yellow"/>
        </w:rPr>
        <w:t>they are peaceful forms of resistance: they do not involve the threat or the use of force against persons or property.</w:t>
      </w:r>
      <w:r w:rsidRPr="00186385">
        <w:rPr>
          <w:rStyle w:val="StyleUnderline"/>
        </w:rPr>
        <w:t xml:space="preserve"> 10. And prison strikes differ from other forms of prison disturbances, like individual inmate protests, that are not collective in nature and therefore do not disrupt normal prison activity or obstruct prison officials’ control. 11. </w:t>
      </w:r>
      <w:r w:rsidRPr="00186385">
        <w:rPr>
          <w:sz w:val="14"/>
        </w:rPr>
        <w:t xml:space="preserve">See id. Generally speaking, prison strikes (and prisoner collective action more broadly) 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 12. Against this backdrop of scarce attention, this Part briefly considers the history of prison strikes, both to illuminate an important but overlooked aspect of prison life and to inform the legal analysis that follows. </w:t>
      </w:r>
    </w:p>
    <w:p w:rsidR="006D4DEC" w:rsidRPr="00441F74" w:rsidRDefault="006D4DEC" w:rsidP="006D4DEC"/>
    <w:p w:rsidR="006D4DEC" w:rsidRDefault="006D4DEC" w:rsidP="006D4DEC">
      <w:pPr>
        <w:ind w:right="-720"/>
        <w:rPr>
          <w:sz w:val="16"/>
        </w:rPr>
      </w:pPr>
      <w:r w:rsidRPr="009F1605">
        <w:rPr>
          <w:b/>
          <w:bCs/>
          <w:highlight w:val="yellow"/>
          <w:u w:val="single"/>
        </w:rPr>
        <w:lastRenderedPageBreak/>
        <w:t>They add</w:t>
      </w:r>
      <w:r w:rsidRPr="009F1605">
        <w:rPr>
          <w:b/>
          <w:bCs/>
          <w:highlight w:val="yellow"/>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3"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rsidR="006D4DEC" w:rsidRPr="008C13C3" w:rsidRDefault="006D4DEC" w:rsidP="006D4DEC">
      <w:pPr>
        <w:ind w:right="-720"/>
        <w:rPr>
          <w:sz w:val="16"/>
        </w:rPr>
      </w:pPr>
    </w:p>
    <w:p w:rsidR="006D4DEC" w:rsidRDefault="006D4DEC" w:rsidP="006D4DEC">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w:t>
      </w:r>
      <w:r w:rsidRPr="009F1605">
        <w:rPr>
          <w:b/>
          <w:bCs/>
          <w:u w:val="single"/>
        </w:rPr>
        <w:t xml:space="preserve">constitutional and statutory law. Drawing from the broader jurisprudence around hunger strikes, and this area of the law’s focus on the body, may present yet another avenue to consider. And more fundamentally, reconsidering incarceration — including the nature of penal punishment, the constitutional status of prisoners, the judiciary’s role in our carceral system, and the ability of social science and social movements to inform the law — may be needed to protect prison strikes and bring about the reforms that strikes have advocated for.  </w:t>
      </w:r>
      <w:r w:rsidRPr="009F1605">
        <w:rPr>
          <w:sz w:val="14"/>
        </w:rPr>
        <w:t>There</w:t>
      </w:r>
      <w:r w:rsidRPr="00E62C8F">
        <w:rPr>
          <w:sz w:val="14"/>
        </w:rPr>
        <w:t xml:space="preserv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Allowing prisoners to peacefully strike allows our criminal justice system to navigate this tension, preserving the goals of prison officials while allowing prisoners to surface critical problems in prison conditions and our criminal justice system as a whole. The strikes also</w:t>
      </w:r>
      <w:r w:rsidRPr="0064052D">
        <w:rPr>
          <w:b/>
          <w:bCs/>
          <w:u w:val="single"/>
        </w:rPr>
        <w:t xml:space="preserve"> </w:t>
      </w:r>
      <w:r w:rsidRPr="0027174C">
        <w:rPr>
          <w:b/>
          <w:bCs/>
          <w:u w:val="single"/>
        </w:rPr>
        <w:t xml:space="preserve">represent an important end unto themselves: they </w:t>
      </w:r>
      <w:r w:rsidRPr="0027174C">
        <w:rPr>
          <w:b/>
          <w:bCs/>
          <w:highlight w:val="yellow"/>
          <w:u w:val="single"/>
        </w:rPr>
        <w:t>are an important statement of prisoners’ humanity</w:t>
      </w:r>
      <w:r w:rsidRPr="005B354C">
        <w:rPr>
          <w:b/>
          <w:bCs/>
          <w:u w:val="single"/>
        </w:rPr>
        <w:t xml:space="preserve">, dignity, </w:t>
      </w:r>
      <w:r w:rsidRPr="0027174C">
        <w:rPr>
          <w:b/>
          <w:bCs/>
          <w:highlight w:val="yellow"/>
          <w:u w:val="single"/>
        </w:rPr>
        <w:t>and entitlement to a life beyond “modern slavery.”</w:t>
      </w:r>
    </w:p>
    <w:p w:rsidR="006D4DEC" w:rsidRDefault="006D4DEC" w:rsidP="006D4DEC">
      <w:pPr>
        <w:pStyle w:val="Heading2"/>
        <w:ind w:right="-720"/>
        <w:rPr>
          <w:u w:val="single"/>
        </w:rPr>
      </w:pPr>
      <w:r>
        <w:rPr>
          <w:u w:val="single"/>
        </w:rPr>
        <w:lastRenderedPageBreak/>
        <w:t>Part 3: Shining Light</w:t>
      </w:r>
    </w:p>
    <w:p w:rsidR="006D4DEC" w:rsidRPr="00333BFE" w:rsidRDefault="006D4DEC" w:rsidP="006D4DEC">
      <w:pPr>
        <w:ind w:right="-720"/>
      </w:pPr>
    </w:p>
    <w:p w:rsidR="006D4DEC" w:rsidRPr="000B0341" w:rsidRDefault="006D4DEC" w:rsidP="006D4DEC">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rsidR="006D4DEC" w:rsidRDefault="006D4DEC" w:rsidP="006D4DEC">
      <w:pPr>
        <w:ind w:right="-720"/>
        <w:rPr>
          <w:sz w:val="16"/>
        </w:rPr>
      </w:pPr>
      <w:r w:rsidRPr="000B0341">
        <w:rPr>
          <w:b/>
          <w:bCs/>
          <w:u w:val="single"/>
        </w:rPr>
        <w:t>Kaur</w:t>
      </w:r>
      <w:r w:rsidRPr="00871F35">
        <w:rPr>
          <w:b/>
          <w:bCs/>
        </w:rPr>
        <w:t xml:space="preserve">: </w:t>
      </w:r>
      <w:r w:rsidRPr="000B0341">
        <w:rPr>
          <w:sz w:val="16"/>
        </w:rPr>
        <w:t xml:space="preserve">Kaur, Baljeet. [Researcher at the Quill Foundation] “Prisoners' Right to Strike: Protests by Inmates Should Not Be Considered an Offence” </w:t>
      </w:r>
      <w:r w:rsidRPr="000B0341">
        <w:rPr>
          <w:i/>
          <w:iCs/>
          <w:sz w:val="16"/>
        </w:rPr>
        <w:t xml:space="preserve">Engage, </w:t>
      </w:r>
      <w:r w:rsidRPr="000B0341">
        <w:rPr>
          <w:sz w:val="16"/>
        </w:rPr>
        <w:t>2019.</w:t>
      </w:r>
      <w:r w:rsidRPr="00EF4AB1">
        <w:t xml:space="preserve"> </w:t>
      </w:r>
      <w:hyperlink r:id="rId14" w:history="1">
        <w:r w:rsidRPr="00075F95">
          <w:rPr>
            <w:rStyle w:val="Hyperlink"/>
            <w:sz w:val="16"/>
          </w:rPr>
          <w:t>https://www.epw.in/engage/article/prisoners-right-strike-protests-inmates-should-not</w:t>
        </w:r>
      </w:hyperlink>
      <w:r>
        <w:rPr>
          <w:sz w:val="16"/>
        </w:rPr>
        <w:t xml:space="preserve"> </w:t>
      </w:r>
      <w:r w:rsidRPr="000B0341">
        <w:rPr>
          <w:sz w:val="16"/>
        </w:rPr>
        <w:t xml:space="preserve"> JP </w:t>
      </w:r>
    </w:p>
    <w:p w:rsidR="006D4DEC" w:rsidRPr="000B0341" w:rsidRDefault="006D4DEC" w:rsidP="006D4DEC">
      <w:pPr>
        <w:ind w:right="-720"/>
        <w:rPr>
          <w:sz w:val="16"/>
        </w:rPr>
      </w:pPr>
    </w:p>
    <w:p w:rsidR="006D4DEC" w:rsidRDefault="006D4DEC" w:rsidP="006D4DEC">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Jambhale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Shetye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 xml:space="preserve">hat not only the accused prison staff were arrested and are currently being tried, but ministers and parliamentarians have visted the </w:t>
      </w:r>
      <w:r w:rsidRPr="000B0341">
        <w:rPr>
          <w:b/>
          <w:bCs/>
          <w:highlight w:val="yellow"/>
          <w:u w:val="single"/>
        </w:rPr>
        <w:lastRenderedPageBreak/>
        <w:t>prisoners</w:t>
      </w:r>
      <w:r w:rsidRPr="000B0341">
        <w:rPr>
          <w:sz w:val="16"/>
        </w:rPr>
        <w:t>. However, an first information report against the 200 women prisoners was filed for allegedly rioting, making unlawful assembly (Dalvi, 2018).</w:t>
      </w:r>
    </w:p>
    <w:p w:rsidR="006D4DEC" w:rsidRDefault="006D4DEC" w:rsidP="006D4DEC">
      <w:pPr>
        <w:pStyle w:val="Heading4"/>
        <w:spacing w:line="480" w:lineRule="auto"/>
        <w:ind w:right="-720"/>
        <w:rPr>
          <w:b w:val="0"/>
          <w:bCs w:val="0"/>
        </w:rPr>
      </w:pPr>
      <w:r>
        <w:t xml:space="preserve">[HLR 3] Next, </w:t>
      </w:r>
      <w:r>
        <w:rPr>
          <w:b w:val="0"/>
          <w:bCs w:val="0"/>
        </w:rPr>
        <w:t>prison strikes are a key way for inmates to get redress from the state – empirics prove.</w:t>
      </w:r>
    </w:p>
    <w:p w:rsidR="006D4DEC" w:rsidRDefault="006D4DEC" w:rsidP="006D4DEC">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hyperlink r:id="rId15"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 JP </w:t>
      </w:r>
    </w:p>
    <w:p w:rsidR="006D4DEC" w:rsidRDefault="006D4DEC" w:rsidP="006D4DEC">
      <w:pPr>
        <w:ind w:right="-720"/>
      </w:pPr>
    </w:p>
    <w:p w:rsidR="006D4DEC" w:rsidRPr="005817BD" w:rsidRDefault="006D4DEC" w:rsidP="006D4DEC">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w:t>
      </w:r>
      <w:r w:rsidRPr="004A4AC5">
        <w:rPr>
          <w:rStyle w:val="StyleUnderline"/>
        </w:rPr>
        <w:lastRenderedPageBreak/>
        <w:t xml:space="preserve">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 xml:space="preserve">181. As the Marshall Project states, “[s]ociety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rsidR="006D4DEC" w:rsidRDefault="006D4DEC" w:rsidP="006D4DEC">
      <w:pPr>
        <w:ind w:right="-720"/>
      </w:pPr>
    </w:p>
    <w:p w:rsidR="006D4DEC" w:rsidRPr="0077506C" w:rsidRDefault="006D4DEC" w:rsidP="006D4DEC">
      <w:pPr>
        <w:pStyle w:val="Heading4"/>
        <w:spacing w:line="480" w:lineRule="auto"/>
        <w:ind w:right="-720"/>
        <w:rPr>
          <w:b w:val="0"/>
          <w:bCs w:val="0"/>
        </w:rPr>
      </w:pPr>
      <w:r>
        <w:t xml:space="preserve">[HLR 4] And </w:t>
      </w:r>
      <w:r>
        <w:rPr>
          <w:b w:val="0"/>
          <w:bCs w:val="0"/>
        </w:rPr>
        <w:t>strikes offer an alternative to violence and a means of collective bargaining for inmates.</w:t>
      </w:r>
    </w:p>
    <w:p w:rsidR="006D4DEC" w:rsidRDefault="006D4DEC" w:rsidP="006D4DEC">
      <w:pPr>
        <w:ind w:right="-720"/>
        <w:rPr>
          <w:sz w:val="16"/>
        </w:rPr>
      </w:pPr>
      <w:r>
        <w:rPr>
          <w:b/>
          <w:bCs/>
          <w:u w:val="single"/>
        </w:rPr>
        <w:t>HLR 4,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r w:rsidRPr="00EF4AB1">
        <w:rPr>
          <w:sz w:val="16"/>
        </w:rPr>
        <w:t>https://harvardlawreview.org/2019/03/striking-the-right-balance-toward-a-better-understanding-of-prison-strikes/</w:t>
      </w:r>
      <w:r w:rsidRPr="008C13C3">
        <w:rPr>
          <w:sz w:val="16"/>
        </w:rPr>
        <w:t xml:space="preserve"> JP </w:t>
      </w:r>
    </w:p>
    <w:p w:rsidR="006D4DEC" w:rsidRPr="001267C9" w:rsidRDefault="006D4DEC" w:rsidP="006D4DEC">
      <w:pPr>
        <w:ind w:right="-720"/>
        <w:rPr>
          <w:sz w:val="16"/>
        </w:rPr>
      </w:pPr>
    </w:p>
    <w:p w:rsidR="006D4DEC" w:rsidRPr="00CD2FC6" w:rsidRDefault="006D4DEC" w:rsidP="006D4DEC">
      <w:pPr>
        <w:spacing w:line="480" w:lineRule="auto"/>
        <w:ind w:right="-720"/>
        <w:rPr>
          <w:sz w:val="16"/>
        </w:rPr>
      </w:pPr>
      <w:r w:rsidRPr="0077506C">
        <w:rPr>
          <w:sz w:val="16"/>
        </w:rPr>
        <w:lastRenderedPageBreak/>
        <w:t xml:space="preserve">The right to strike within prisons may be conceptually viewed as a composite of three separate fundamental First Amendment freedoms: the freedom to peacefully associate, the freedom of speech, and the freedom to assemble and petition for redress of grievances. 145. Each is considered in turn. 1. Association. — </w:t>
      </w:r>
      <w:r w:rsidRPr="0077506C">
        <w:rPr>
          <w:rStyle w:val="StyleUnderline"/>
          <w:highlight w:val="yellow"/>
        </w:rPr>
        <w:t>The right to peaceful association</w:t>
      </w:r>
      <w:r w:rsidRPr="0077506C">
        <w:rPr>
          <w:rStyle w:val="StyleUnderline"/>
        </w:rPr>
        <w:t xml:space="preserve"> is one that </w:t>
      </w:r>
      <w:r w:rsidRPr="0077506C">
        <w:rPr>
          <w:rStyle w:val="StyleUnderline"/>
          <w:highlight w:val="yellow"/>
        </w:rPr>
        <w:t>captures the right of individuals to commune with others for</w:t>
      </w:r>
      <w:r w:rsidRPr="0077506C">
        <w:rPr>
          <w:rStyle w:val="StyleUnderline"/>
        </w:rPr>
        <w:t xml:space="preserve"> the expression of ideas and for </w:t>
      </w:r>
      <w:r w:rsidRPr="0077506C">
        <w:rPr>
          <w:rStyle w:val="StyleUnderline"/>
          <w:highlight w:val="yellow"/>
        </w:rPr>
        <w:t>effective advocacy.</w:t>
      </w:r>
      <w:r w:rsidRPr="0077506C">
        <w:rPr>
          <w:sz w:val="16"/>
        </w:rPr>
        <w:t xml:space="preserve"> 146. Although “association” does not appear in the text of the First Amendment, the Court has long recognized the right as both implicit in and derived from the First Amendment’s other express guarantees (namely speech and assembly), and as a separate substantive due process right. </w:t>
      </w:r>
      <w:r w:rsidRPr="0077506C">
        <w:rPr>
          <w:rStyle w:val="StyleUnderline"/>
          <w:highlight w:val="yellow"/>
        </w:rPr>
        <w:t>Strikes</w:t>
      </w:r>
      <w:r w:rsidRPr="0077506C">
        <w:rPr>
          <w:rStyle w:val="StyleUnderline"/>
        </w:rPr>
        <w:t xml:space="preserve">, like prison unions, </w:t>
      </w:r>
      <w:r w:rsidRPr="0077506C">
        <w:rPr>
          <w:rStyle w:val="StyleUnderline"/>
          <w:highlight w:val="yellow"/>
        </w:rPr>
        <w:t>represent an important means of association for prisoners — allowing them to “lay claim to a social identity as ‘workers’ . . . and</w:t>
      </w:r>
      <w:r w:rsidRPr="0077506C">
        <w:rPr>
          <w:rStyle w:val="StyleUnderline"/>
        </w:rPr>
        <w:t xml:space="preserve"> in doing so </w:t>
      </w:r>
      <w:r w:rsidRPr="0077506C">
        <w:rPr>
          <w:rStyle w:val="StyleUnderline"/>
          <w:highlight w:val="yellow"/>
        </w:rPr>
        <w:t>generate claims to respect and solidarity.”</w:t>
      </w:r>
      <w:r w:rsidRPr="0077506C">
        <w:rPr>
          <w:rStyle w:val="StyleUnderline"/>
        </w:rPr>
        <w:t xml:space="preserve"> 147. </w:t>
      </w:r>
      <w:r w:rsidRPr="0077506C">
        <w:rPr>
          <w:rStyle w:val="StyleUnderline"/>
          <w:highlight w:val="yellow"/>
        </w:rPr>
        <w:t>This</w:t>
      </w:r>
      <w:r w:rsidRPr="0077506C">
        <w:rPr>
          <w:rStyle w:val="StyleUnderline"/>
        </w:rPr>
        <w:t xml:space="preserve"> identity and solidarity </w:t>
      </w:r>
      <w:r w:rsidRPr="0077506C">
        <w:rPr>
          <w:rStyle w:val="StyleUnderline"/>
          <w:highlight w:val="yellow"/>
        </w:rPr>
        <w:t>can, in turn, enable inmates to engage in productive and peaceful bargains with prison officials for better conditions, higher pay, and other reform desires.</w:t>
      </w:r>
      <w:r w:rsidRPr="0077506C">
        <w:rPr>
          <w:rStyle w:val="StyleUnderline"/>
        </w:rPr>
        <w:t xml:space="preserve"> Bargaining is, in many respects, already very common in prisons, “for the simple reason that [prison] administrators rarely have sufficient resources to gain complete conformity to all the rules.” 148. However, </w:t>
      </w:r>
      <w:r w:rsidRPr="0077506C">
        <w:rPr>
          <w:rStyle w:val="StyleUnderline"/>
          <w:highlight w:val="yellow"/>
        </w:rPr>
        <w:t>such bargaining typically happens in an informal, ongoing, private process;</w:t>
      </w:r>
      <w:r w:rsidRPr="0077506C">
        <w:rPr>
          <w:rStyle w:val="StyleUnderline"/>
        </w:rPr>
        <w:t xml:space="preserve"> 149. in their recurrent, day-to-day contact with inmates, prison </w:t>
      </w:r>
      <w:r w:rsidRPr="0077506C">
        <w:rPr>
          <w:rStyle w:val="StyleUnderline"/>
          <w:highlight w:val="yellow"/>
        </w:rPr>
        <w:t>administrators use their arsenal of tools to “negotiate” only with select inmate leaders,</w:t>
      </w:r>
      <w:r w:rsidRPr="0077506C">
        <w:rPr>
          <w:rStyle w:val="StyleUnderline"/>
        </w:rPr>
        <w:t xml:space="preserve"> 151. Id. at 738–39. </w:t>
      </w:r>
      <w:r w:rsidRPr="0077506C">
        <w:rPr>
          <w:rStyle w:val="StyleUnderline"/>
          <w:highlight w:val="yellow"/>
        </w:rPr>
        <w:t>with the</w:t>
      </w:r>
      <w:r w:rsidRPr="0077506C">
        <w:rPr>
          <w:rStyle w:val="StyleUnderline"/>
        </w:rPr>
        <w:t xml:space="preserve"> central </w:t>
      </w:r>
      <w:r w:rsidRPr="0077506C">
        <w:rPr>
          <w:rStyle w:val="StyleUnderline"/>
          <w:highlight w:val="yellow"/>
        </w:rPr>
        <w:t>goal of maintaining “short term surface order.”</w:t>
      </w:r>
      <w:r w:rsidRPr="0077506C">
        <w:rPr>
          <w:rStyle w:val="StyleUnderline"/>
        </w:rPr>
        <w:t xml:space="preserve"> 152. Id. at 729. </w:t>
      </w:r>
      <w:r w:rsidRPr="0077506C">
        <w:rPr>
          <w:sz w:val="16"/>
        </w:rPr>
        <w:t xml:space="preserve">This informal bargaining is “dysfunctional” to the long-term stability of prison institutions and “the real needs of those incarcerated within” them 153. Id. at 738. — creating hierarchical relationships 154. Id. at 739–40. that breed mistrust 155. Id. at 741–42. and leave many inmates powerless and feeling aggrieved. 156. Id. at 741–43. </w:t>
      </w:r>
      <w:r w:rsidRPr="0077506C">
        <w:rPr>
          <w:rStyle w:val="StyleUnderline"/>
          <w:highlight w:val="yellow"/>
        </w:rPr>
        <w:t>As a result, inmates often</w:t>
      </w:r>
      <w:r w:rsidRPr="0077506C">
        <w:rPr>
          <w:rStyle w:val="StyleUnderline"/>
        </w:rPr>
        <w:t xml:space="preserve"> feel that they </w:t>
      </w:r>
      <w:r w:rsidRPr="0077506C">
        <w:rPr>
          <w:rStyle w:val="StyleUnderline"/>
          <w:highlight w:val="yellow"/>
        </w:rPr>
        <w:t>have to resort to violence to protect themselves from exploitation, express</w:t>
      </w:r>
      <w:r w:rsidRPr="0077506C">
        <w:rPr>
          <w:rStyle w:val="StyleUnderline"/>
        </w:rPr>
        <w:t xml:space="preserve"> their </w:t>
      </w:r>
      <w:r w:rsidRPr="0077506C">
        <w:rPr>
          <w:rStyle w:val="StyleUnderline"/>
          <w:highlight w:val="yellow"/>
        </w:rPr>
        <w:t>dissatisfaction, and obtain redress.</w:t>
      </w:r>
      <w:r w:rsidRPr="0077506C">
        <w:rPr>
          <w:rStyle w:val="StyleUnderline"/>
        </w:rPr>
        <w:t xml:space="preserve"> 157. Alternatively, </w:t>
      </w:r>
      <w:r w:rsidRPr="0077506C">
        <w:rPr>
          <w:rStyle w:val="StyleUnderline"/>
          <w:highlight w:val="yellow"/>
        </w:rPr>
        <w:t>peaceful, collective prison strikes avoid these harmful consequences by allowing for “open” and “formal” negotiations between all inmates and prison staff.</w:t>
      </w:r>
      <w:r w:rsidRPr="0077506C">
        <w:rPr>
          <w:rStyle w:val="StyleUnderline"/>
        </w:rPr>
        <w:t xml:space="preserve"> 158. And </w:t>
      </w:r>
      <w:r w:rsidRPr="0077506C">
        <w:rPr>
          <w:rStyle w:val="StyleUnderline"/>
          <w:highlight w:val="yellow"/>
        </w:rPr>
        <w:t>by permitting</w:t>
      </w:r>
      <w:r w:rsidRPr="0077506C">
        <w:rPr>
          <w:rStyle w:val="StyleUnderline"/>
        </w:rPr>
        <w:t xml:space="preserve"> peaceful </w:t>
      </w:r>
      <w:r w:rsidRPr="0077506C">
        <w:rPr>
          <w:rStyle w:val="StyleUnderline"/>
          <w:highlight w:val="yellow"/>
        </w:rPr>
        <w:t>strikes,</w:t>
      </w:r>
      <w:r w:rsidRPr="0077506C">
        <w:rPr>
          <w:rStyle w:val="StyleUnderline"/>
        </w:rPr>
        <w:t xml:space="preserve"> prison </w:t>
      </w:r>
      <w:r w:rsidRPr="0077506C">
        <w:rPr>
          <w:rStyle w:val="StyleUnderline"/>
          <w:highlight w:val="yellow"/>
        </w:rPr>
        <w:t xml:space="preserve">administrators “provide inmates with a channel for airing grievances and gaining official response . . . giv[ing] the institution a kind of safety-valve </w:t>
      </w:r>
      <w:r w:rsidRPr="0077506C">
        <w:rPr>
          <w:rStyle w:val="StyleUnderline"/>
          <w:highlight w:val="yellow"/>
        </w:rPr>
        <w:lastRenderedPageBreak/>
        <w:t>for peaceful, rather than violent, change”</w:t>
      </w:r>
      <w:r w:rsidRPr="0077506C">
        <w:rPr>
          <w:rStyle w:val="StyleUnderline"/>
        </w:rPr>
        <w:t xml:space="preserve"> 160. </w:t>
      </w:r>
      <w:r w:rsidRPr="0077506C">
        <w:rPr>
          <w:rStyle w:val="StyleUnderline"/>
          <w:highlight w:val="yellow"/>
        </w:rPr>
        <w:t>— avoiding potentially expensive and time-consuming litigation and even helping rehabilitate inmates</w:t>
      </w:r>
      <w:r w:rsidRPr="0077506C">
        <w:rPr>
          <w:rStyle w:val="StyleUnderline"/>
        </w:rPr>
        <w:t xml:space="preserve">, 161. Note, supra note 148, at 751–52. all </w:t>
      </w:r>
      <w:r w:rsidRPr="0077506C">
        <w:rPr>
          <w:rStyle w:val="StyleUnderline"/>
          <w:highlight w:val="yellow"/>
        </w:rPr>
        <w:t>while deemphasizing hierarchical structures in prisons that harm institutional order.</w:t>
      </w:r>
      <w:r w:rsidRPr="0077506C">
        <w:rPr>
          <w:sz w:val="16"/>
        </w:rPr>
        <w:t xml:space="preserve"> 162. </w:t>
      </w:r>
    </w:p>
    <w:p w:rsidR="00DB287C" w:rsidRDefault="00DB287C" w:rsidP="00DB287C">
      <w:pPr>
        <w:pStyle w:val="Heading2"/>
        <w:rPr>
          <w:u w:val="single"/>
        </w:rPr>
      </w:pPr>
      <w:r>
        <w:rPr>
          <w:u w:val="single"/>
        </w:rPr>
        <w:lastRenderedPageBreak/>
        <w:t xml:space="preserve">Underview </w:t>
      </w:r>
    </w:p>
    <w:p w:rsidR="00DB287C" w:rsidRPr="004D6130" w:rsidRDefault="006D4DEC" w:rsidP="00DB287C">
      <w:pPr>
        <w:pStyle w:val="Heading4"/>
        <w:ind w:right="-720"/>
        <w:rPr>
          <w:b w:val="0"/>
        </w:rPr>
      </w:pPr>
      <w:r>
        <w:t xml:space="preserve"> </w:t>
      </w:r>
      <w:r w:rsidR="00DB287C">
        <w:t xml:space="preserve">[Dixon] </w:t>
      </w:r>
      <w:r w:rsidR="00DB287C">
        <w:rPr>
          <w:b w:val="0"/>
        </w:rPr>
        <w:t>Reformism is key.</w:t>
      </w:r>
    </w:p>
    <w:p w:rsidR="00DB287C" w:rsidRDefault="00DB287C" w:rsidP="00DB287C">
      <w:pPr>
        <w:ind w:right="-720"/>
        <w:rPr>
          <w:rFonts w:eastAsia="Times New Roman" w:cstheme="majorBidi"/>
          <w:b/>
          <w:bCs/>
          <w:iCs/>
        </w:rPr>
      </w:pPr>
    </w:p>
    <w:p w:rsidR="00DB287C" w:rsidRDefault="00DB287C" w:rsidP="00DB287C">
      <w:pPr>
        <w:ind w:right="-720"/>
        <w:rPr>
          <w:rFonts w:eastAsia="Calibri"/>
          <w:sz w:val="16"/>
        </w:rPr>
      </w:pPr>
      <w:r w:rsidRPr="00573F70">
        <w:rPr>
          <w:rStyle w:val="Style13ptBold"/>
          <w:sz w:val="22"/>
          <w:szCs w:val="22"/>
        </w:rPr>
        <w:t>Dixon</w:t>
      </w:r>
      <w:r w:rsidRPr="00262843">
        <w:rPr>
          <w:rStyle w:val="Style13ptBold"/>
          <w:sz w:val="22"/>
          <w:szCs w:val="22"/>
        </w:rPr>
        <w:t>:</w:t>
      </w:r>
      <w:r w:rsidRPr="00573F70">
        <w:rPr>
          <w:rFonts w:eastAsia="Calibri"/>
          <w:b/>
          <w:sz w:val="16"/>
        </w:rPr>
        <w:t xml:space="preserve"> </w:t>
      </w:r>
      <w:r w:rsidRPr="00573F70">
        <w:rPr>
          <w:rFonts w:eastAsia="Calibri"/>
          <w:sz w:val="16"/>
        </w:rPr>
        <w:t>Activist and founding member of Direct Action Network Summer, Chris, “Reflections on Privilege, Reformism, and Activism”, Online</w:t>
      </w:r>
    </w:p>
    <w:p w:rsidR="00DB287C" w:rsidRPr="00573F70" w:rsidRDefault="00DB287C" w:rsidP="00DB287C">
      <w:pPr>
        <w:ind w:right="-720"/>
        <w:rPr>
          <w:rFonts w:eastAsia="Calibri"/>
          <w:sz w:val="16"/>
        </w:rPr>
      </w:pPr>
    </w:p>
    <w:p w:rsidR="00DB287C" w:rsidRPr="0058727B" w:rsidRDefault="00DB287C" w:rsidP="00DB287C">
      <w:pPr>
        <w:spacing w:line="480" w:lineRule="auto"/>
        <w:ind w:right="-720"/>
        <w:rPr>
          <w:rStyle w:val="StyleUnderline"/>
        </w:rPr>
      </w:pPr>
      <w:r w:rsidRPr="00573F70">
        <w:rPr>
          <w:rFonts w:eastAsia="Calibri"/>
          <w:sz w:val="16"/>
        </w:rPr>
        <w:t xml:space="preserve">To bolster his critique of 'reformism,' for instance, he critically cites one of the examples in my essay: demanding authentic </w:t>
      </w:r>
      <w:r w:rsidRPr="00A07B9A">
        <w:rPr>
          <w:rFonts w:eastAsia="Calibri"/>
          <w:b/>
          <w:u w:val="single"/>
        </w:rPr>
        <w:t xml:space="preserve">we need revolutionary strategy that links diverse, everyday struggles and demands to long-term radical objectives, without sacrificing either. Of course, this isn't to say that every so-called 'progressive' ballot initiative or organizing campaign is necessarily radical or strategic. </w:t>
      </w:r>
      <w:r w:rsidRPr="00AC257B">
        <w:rPr>
          <w:rFonts w:eastAsia="Calibri"/>
          <w:b/>
          <w:highlight w:val="yellow"/>
          <w:u w:val="single"/>
        </w:rPr>
        <w:t>Reforms</w:t>
      </w:r>
      <w:r w:rsidRPr="00A07B9A">
        <w:rPr>
          <w:rFonts w:eastAsia="Calibri"/>
          <w:b/>
          <w:u w:val="single"/>
        </w:rPr>
        <w:t xml:space="preserve"> are not all created equal. But some </w:t>
      </w:r>
      <w:r w:rsidRPr="00AC257B">
        <w:rPr>
          <w:rFonts w:eastAsia="Calibri"/>
          <w:b/>
          <w:highlight w:val="yellow"/>
          <w:u w:val="single"/>
        </w:rPr>
        <w:t>can</w:t>
      </w:r>
      <w:r w:rsidRPr="00A07B9A">
        <w:rPr>
          <w:rFonts w:eastAsia="Calibri"/>
          <w:b/>
          <w:u w:val="single"/>
        </w:rPr>
        <w:t xml:space="preserve"> fundamentally </w:t>
      </w:r>
      <w:r w:rsidRPr="00AC257B">
        <w:rPr>
          <w:rFonts w:eastAsia="Calibri"/>
          <w:b/>
          <w:highlight w:val="yellow"/>
          <w:u w:val="single"/>
        </w:rPr>
        <w:t>shake systems of power, leading to</w:t>
      </w:r>
      <w:r w:rsidRPr="00A07B9A">
        <w:rPr>
          <w:rFonts w:eastAsia="Calibri"/>
          <w:b/>
          <w:u w:val="single"/>
        </w:rPr>
        <w:t xml:space="preserve"> enlarged gains and greater space for further </w:t>
      </w:r>
      <w:r w:rsidRPr="00AC257B">
        <w:rPr>
          <w:rFonts w:eastAsia="Calibri"/>
          <w:b/>
          <w:highlight w:val="yellow"/>
          <w:u w:val="single"/>
        </w:rPr>
        <w:t>advances</w:t>
      </w:r>
      <w:r w:rsidRPr="0058727B">
        <w:rPr>
          <w:rFonts w:eastAsia="Calibri"/>
          <w:b/>
          <w:u w:val="single"/>
        </w:rPr>
        <w:t>.</w:t>
      </w:r>
      <w:r w:rsidRPr="00573F70">
        <w:rPr>
          <w:rFonts w:eastAsia="Calibri"/>
          <w:sz w:val="16"/>
        </w:rPr>
        <w:t xml:space="preserve"> Andre Gorz, in his seminal book Strategy for Labor, refers to these as "non-reformist" or "structural" reforms. He contends, "a struggle for non-reformist reforms--for anti-capitalist reforms--is one which does not base its validity and its right to exist on capitalist needs, criteria, and rationales. A non-reformist reform is determined not in terms of what can be, but what should be." </w:t>
      </w:r>
      <w:r w:rsidRPr="00A07B9A">
        <w:rPr>
          <w:rFonts w:eastAsia="Calibri"/>
          <w:b/>
          <w:u w:val="single"/>
        </w:rPr>
        <w:t>Look to history for examples</w:t>
      </w:r>
      <w:r w:rsidRPr="0058727B">
        <w:rPr>
          <w:rFonts w:eastAsia="Calibri"/>
          <w:b/>
          <w:highlight w:val="yellow"/>
          <w:u w:val="single"/>
        </w:rPr>
        <w:t xml:space="preserve">: the </w:t>
      </w:r>
      <w:r w:rsidRPr="00AC257B">
        <w:rPr>
          <w:rFonts w:eastAsia="Calibri"/>
          <w:b/>
          <w:highlight w:val="yellow"/>
          <w:u w:val="single"/>
        </w:rPr>
        <w:t>end of slavery, the eight-hour workday, desegregation</w:t>
      </w:r>
      <w:r w:rsidRPr="00A07B9A">
        <w:rPr>
          <w:rFonts w:eastAsia="Calibri"/>
          <w:b/>
          <w:u w:val="single"/>
        </w:rPr>
        <w:t xml:space="preserve">. All </w:t>
      </w:r>
      <w:r w:rsidRPr="00AC257B">
        <w:rPr>
          <w:rFonts w:eastAsia="Calibri"/>
          <w:b/>
          <w:highlight w:val="yellow"/>
          <w:u w:val="single"/>
        </w:rPr>
        <w:t>were</w:t>
      </w:r>
      <w:r w:rsidRPr="00A07B9A">
        <w:rPr>
          <w:rFonts w:eastAsia="Calibri"/>
          <w:b/>
          <w:u w:val="single"/>
        </w:rPr>
        <w:t xml:space="preserve"> born </w:t>
      </w:r>
      <w:r w:rsidRPr="00AC257B">
        <w:rPr>
          <w:rFonts w:eastAsia="Calibri"/>
          <w:b/>
          <w:highlight w:val="yellow"/>
          <w:u w:val="single"/>
        </w:rPr>
        <w:t>from long, hard struggles</w:t>
      </w:r>
      <w:r w:rsidRPr="00A07B9A">
        <w:rPr>
          <w:rFonts w:eastAsia="Calibri"/>
          <w:b/>
          <w:u w:val="single"/>
        </w:rPr>
        <w:t xml:space="preserve">, and none were endpoints. </w:t>
      </w:r>
      <w:r>
        <w:rPr>
          <w:rFonts w:eastAsia="Calibri"/>
          <w:b/>
          <w:highlight w:val="yellow"/>
          <w:u w:val="single"/>
        </w:rPr>
        <w:t>y</w:t>
      </w:r>
      <w:r w:rsidRPr="00AC257B">
        <w:rPr>
          <w:rFonts w:eastAsia="Calibri"/>
          <w:b/>
          <w:highlight w:val="yellow"/>
          <w:u w:val="single"/>
        </w:rPr>
        <w:t>et</w:t>
      </w:r>
      <w:r w:rsidRPr="0058727B">
        <w:rPr>
          <w:rFonts w:eastAsia="Calibri"/>
          <w:b/>
          <w:u w:val="single"/>
        </w:rPr>
        <w:t xml:space="preserve"> they </w:t>
      </w:r>
      <w:r w:rsidRPr="00AC257B">
        <w:rPr>
          <w:rFonts w:eastAsia="Calibri"/>
          <w:b/>
          <w:highlight w:val="yellow"/>
          <w:u w:val="single"/>
        </w:rPr>
        <w:t>all struck at the foundations of power</w:t>
      </w:r>
      <w:r w:rsidRPr="00A07B9A">
        <w:rPr>
          <w:rFonts w:eastAsia="Calibri"/>
          <w:b/>
          <w:u w:val="single"/>
        </w:rPr>
        <w:t xml:space="preserve"> (in these cases, the state, white supremacy, and capitalism), </w:t>
      </w:r>
      <w:r w:rsidRPr="00AC257B">
        <w:rPr>
          <w:rFonts w:eastAsia="Calibri"/>
          <w:b/>
          <w:highlight w:val="yellow"/>
          <w:u w:val="single"/>
        </w:rPr>
        <w:t>and</w:t>
      </w:r>
      <w:r w:rsidRPr="00A07B9A">
        <w:rPr>
          <w:rFonts w:eastAsia="Calibri"/>
          <w:b/>
          <w:u w:val="single"/>
        </w:rPr>
        <w:t xml:space="preserve"> in the process, they </w:t>
      </w:r>
      <w:r w:rsidRPr="00AC257B">
        <w:rPr>
          <w:rFonts w:eastAsia="Calibri"/>
          <w:b/>
          <w:highlight w:val="yellow"/>
          <w:u w:val="single"/>
        </w:rPr>
        <w:t>created new prospects for revolutionary change.</w:t>
      </w:r>
      <w:r w:rsidRPr="00573F70">
        <w:rPr>
          <w:rFonts w:eastAsia="Calibri"/>
          <w:sz w:val="16"/>
        </w:rPr>
        <w:t xml:space="preserve"> Now consider contemporary struggles: amnesty for undocumented immigrants, socialized health care, expansive environmental protections, indigenous sovereignty. These and many more are arguably non-reformist reforms as well. </w:t>
      </w:r>
      <w:r w:rsidRPr="00AC257B">
        <w:rPr>
          <w:rFonts w:eastAsia="Calibri"/>
          <w:b/>
          <w:highlight w:val="yellow"/>
          <w:u w:val="single"/>
        </w:rPr>
        <w:t>None will single-handedly dismantle cap</w:t>
      </w:r>
      <w:r w:rsidRPr="00A07B9A">
        <w:rPr>
          <w:rFonts w:eastAsia="Calibri"/>
          <w:b/>
          <w:u w:val="single"/>
        </w:rPr>
        <w:t>italism or other systems of power</w:t>
      </w:r>
      <w:r w:rsidRPr="0058727B">
        <w:rPr>
          <w:rFonts w:eastAsia="Calibri"/>
          <w:b/>
          <w:highlight w:val="yellow"/>
          <w:u w:val="single"/>
        </w:rPr>
        <w:t xml:space="preserve">, but </w:t>
      </w:r>
      <w:r w:rsidRPr="00AC257B">
        <w:rPr>
          <w:rFonts w:eastAsia="Calibri"/>
          <w:b/>
          <w:highlight w:val="yellow"/>
          <w:u w:val="single"/>
        </w:rPr>
        <w:t>each has</w:t>
      </w:r>
      <w:r w:rsidRPr="0058727B">
        <w:rPr>
          <w:rFonts w:eastAsia="Calibri"/>
          <w:b/>
          <w:u w:val="single"/>
        </w:rPr>
        <w:t xml:space="preserve"> the </w:t>
      </w:r>
      <w:r w:rsidRPr="00AC257B">
        <w:rPr>
          <w:rFonts w:eastAsia="Calibri"/>
          <w:b/>
          <w:highlight w:val="yellow"/>
          <w:u w:val="single"/>
        </w:rPr>
        <w:t xml:space="preserve">potential to </w:t>
      </w:r>
      <w:r w:rsidRPr="0058727B">
        <w:rPr>
          <w:rFonts w:eastAsia="Calibri"/>
          <w:b/>
          <w:highlight w:val="yellow"/>
          <w:u w:val="single"/>
        </w:rPr>
        <w:t xml:space="preserve">escalate </w:t>
      </w:r>
      <w:r>
        <w:rPr>
          <w:rStyle w:val="StyleUnderline"/>
          <w:highlight w:val="yellow"/>
        </w:rPr>
        <w:t>struggles.</w:t>
      </w:r>
      <w:r w:rsidRPr="0058727B">
        <w:rPr>
          <w:rStyle w:val="StyleUnderline"/>
        </w:rPr>
        <w:t xml:space="preserve"> and sharpen social contradictions. And </w:t>
      </w:r>
      <w:r w:rsidRPr="0058727B">
        <w:rPr>
          <w:rStyle w:val="StyleUnderline"/>
          <w:highlight w:val="yellow"/>
        </w:rPr>
        <w:t>We shouldn't misinterpret these efforts as simply</w:t>
      </w:r>
      <w:r w:rsidRPr="0058727B">
        <w:rPr>
          <w:rStyle w:val="StyleUnderline"/>
        </w:rPr>
        <w:t xml:space="preserve"> meliorative incrementalism, making </w:t>
      </w:r>
      <w:r w:rsidRPr="0058727B">
        <w:rPr>
          <w:rStyle w:val="StyleUnderline"/>
          <w:highlight w:val="yellow"/>
        </w:rPr>
        <w:t>'adjustments' to a</w:t>
      </w:r>
      <w:r w:rsidRPr="0058727B">
        <w:rPr>
          <w:rStyle w:val="StyleUnderline"/>
        </w:rPr>
        <w:t xml:space="preserve"> fundamentally </w:t>
      </w:r>
      <w:r w:rsidRPr="0058727B">
        <w:rPr>
          <w:rStyle w:val="StyleUnderline"/>
          <w:highlight w:val="yellow"/>
        </w:rPr>
        <w:t>flawed system.</w:t>
      </w:r>
      <w:r w:rsidRPr="0058727B">
        <w:rPr>
          <w:rStyle w:val="StyleUnderline"/>
        </w:rPr>
        <w:t xml:space="preserve"> </w:t>
      </w:r>
    </w:p>
    <w:p w:rsidR="00DB287C" w:rsidRPr="00E75526" w:rsidRDefault="00DB287C" w:rsidP="00DB287C"/>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28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DEC"/>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87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BE49C1"/>
  <w14:defaultImageDpi w14:val="300"/>
  <w15:docId w15:val="{B9E4E2EE-D663-EF43-AB8B-D65617C15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6D4DEC"/>
    <w:rPr>
      <w:rFonts w:ascii="Times New Roman" w:hAnsi="Times New Roman" w:cs="Times New Roman"/>
    </w:rPr>
  </w:style>
  <w:style w:type="paragraph" w:styleId="Heading1">
    <w:name w:val="heading 1"/>
    <w:aliases w:val="Pocket"/>
    <w:basedOn w:val="Normal"/>
    <w:next w:val="Normal"/>
    <w:link w:val="Heading1Char"/>
    <w:uiPriority w:val="9"/>
    <w:qFormat/>
    <w:rsid w:val="006D4DE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6D4DEC"/>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6D4DE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6D4DE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6D4D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4DEC"/>
  </w:style>
  <w:style w:type="character" w:customStyle="1" w:styleId="Heading1Char">
    <w:name w:val="Heading 1 Char"/>
    <w:aliases w:val="Pocket Char"/>
    <w:basedOn w:val="DefaultParagraphFont"/>
    <w:link w:val="Heading1"/>
    <w:uiPriority w:val="9"/>
    <w:rsid w:val="006D4DEC"/>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6D4DEC"/>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6D4DE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D4DEC"/>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D4DEC"/>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6D4DEC"/>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6D4DEC"/>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6D4DE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6D4DEC"/>
    <w:rPr>
      <w:color w:val="auto"/>
      <w:u w:val="none"/>
    </w:rPr>
  </w:style>
  <w:style w:type="paragraph" w:styleId="DocumentMap">
    <w:name w:val="Document Map"/>
    <w:basedOn w:val="Normal"/>
    <w:link w:val="DocumentMapChar"/>
    <w:uiPriority w:val="99"/>
    <w:semiHidden/>
    <w:unhideWhenUsed/>
    <w:rsid w:val="006D4DEC"/>
    <w:rPr>
      <w:rFonts w:ascii="Lucida Grande" w:hAnsi="Lucida Grande" w:cs="Lucida Grande"/>
    </w:rPr>
  </w:style>
  <w:style w:type="character" w:customStyle="1" w:styleId="DocumentMapChar">
    <w:name w:val="Document Map Char"/>
    <w:basedOn w:val="DefaultParagraphFont"/>
    <w:link w:val="DocumentMap"/>
    <w:uiPriority w:val="99"/>
    <w:semiHidden/>
    <w:rsid w:val="006D4DEC"/>
    <w:rPr>
      <w:rFonts w:ascii="Lucida Grande" w:hAnsi="Lucida Grande" w:cs="Lucida Grande"/>
    </w:rPr>
  </w:style>
  <w:style w:type="paragraph" w:customStyle="1" w:styleId="textbold">
    <w:name w:val="text bold"/>
    <w:basedOn w:val="Normal"/>
    <w:link w:val="Emphasis"/>
    <w:uiPriority w:val="20"/>
    <w:qFormat/>
    <w:rsid w:val="00DB287C"/>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vardlawreview.org/2019/03/striking-the-right-balance-toward-a-better-understanding-of-prison-strik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arvardlawreview.org/2019/03/striking-the-right-balance-toward-a-better-understanding-of-prison-strik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arvardlawreview.org/2019/03/striking-the-right-balance-toward-a-better-understanding-of-prison-strikes/" TargetMode="External"/><Relationship Id="rId5" Type="http://schemas.openxmlformats.org/officeDocument/2006/relationships/numbering" Target="numbering.xml"/><Relationship Id="rId15" Type="http://schemas.openxmlformats.org/officeDocument/2006/relationships/hyperlink" Target="https://harvardlawreview.org/2019/03/striking-the-right-balance-toward-a-better-understanding-of-prison-strikes/" TargetMode="External"/><Relationship Id="rId10" Type="http://schemas.openxmlformats.org/officeDocument/2006/relationships/hyperlink" Target="https://www.theguardian.com/us-news/2021/jul/20/companies-claim-theres-a-labor-shortage-their-solution-prisoners" TargetMode="External"/><Relationship Id="rId4" Type="http://schemas.openxmlformats.org/officeDocument/2006/relationships/customXml" Target="../customXml/item4.xml"/><Relationship Id="rId9" Type="http://schemas.openxmlformats.org/officeDocument/2006/relationships/hyperlink" Target="https://www.jstor.org/stable/40338793" TargetMode="External"/><Relationship Id="rId14" Type="http://schemas.openxmlformats.org/officeDocument/2006/relationships/hyperlink" Target="https://www.epw.in/engage/article/prisoners-right-strike-protests-inmates-should-n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04C7683-BDFE-B644-8877-E1589FF1C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20</Pages>
  <Words>6358</Words>
  <Characters>36243</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42516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2</cp:revision>
  <dcterms:created xsi:type="dcterms:W3CDTF">2021-11-21T14:27:00Z</dcterms:created>
  <dcterms:modified xsi:type="dcterms:W3CDTF">2021-11-21T15:44:00Z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