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A0223" w14:textId="77777777" w:rsidR="00383D4F" w:rsidRDefault="00383D4F" w:rsidP="00383D4F">
      <w:pPr>
        <w:pStyle w:val="Heading1"/>
        <w:ind w:right="-720"/>
      </w:pPr>
      <w:r>
        <w:t>Don’t Pick the Daisies AC (FLOWERS)</w:t>
      </w:r>
    </w:p>
    <w:p w14:paraId="14B0E297" w14:textId="77777777" w:rsidR="00383D4F" w:rsidRDefault="00383D4F" w:rsidP="00383D4F">
      <w:pPr>
        <w:spacing w:line="480" w:lineRule="auto"/>
        <w:ind w:right="-720"/>
      </w:pPr>
    </w:p>
    <w:p w14:paraId="2CEB38F8" w14:textId="77777777" w:rsidR="00383D4F" w:rsidRPr="00631D53" w:rsidRDefault="00383D4F" w:rsidP="00383D4F">
      <w:pPr>
        <w:pStyle w:val="Heading2"/>
        <w:spacing w:line="480" w:lineRule="auto"/>
        <w:ind w:right="-720"/>
        <w:rPr>
          <w:u w:val="single"/>
        </w:rPr>
      </w:pPr>
      <w:r>
        <w:rPr>
          <w:u w:val="single"/>
        </w:rPr>
        <w:lastRenderedPageBreak/>
        <w:t>I affirm. Part 1: An Open Space.</w:t>
      </w:r>
    </w:p>
    <w:p w14:paraId="56F553C4" w14:textId="77777777" w:rsidR="00383D4F" w:rsidRDefault="00383D4F" w:rsidP="00383D4F">
      <w:pPr>
        <w:pStyle w:val="Heading4"/>
        <w:spacing w:line="480" w:lineRule="auto"/>
        <w:ind w:right="-720"/>
        <w:rPr>
          <w:b w:val="0"/>
        </w:rPr>
      </w:pPr>
      <w:r>
        <w:t xml:space="preserve">[Pratt et al 1] AMERICAN EDUCATION IS BUILT ON A COLONIZING LEGACY – </w:t>
      </w:r>
      <w:r>
        <w:rPr>
          <w:b w:val="0"/>
        </w:rPr>
        <w:t xml:space="preserve">schools prioritize Western knowledge production at the expense of Indigenous thought. </w:t>
      </w:r>
    </w:p>
    <w:p w14:paraId="1C9B5F98" w14:textId="77777777" w:rsidR="00383D4F" w:rsidRPr="00511C92" w:rsidRDefault="00383D4F" w:rsidP="00383D4F">
      <w:pPr>
        <w:ind w:right="-720"/>
        <w:rPr>
          <w:rStyle w:val="StyleUnderline"/>
          <w:b w:val="0"/>
          <w:sz w:val="16"/>
          <w:u w:val="none"/>
        </w:rPr>
      </w:pPr>
      <w:r>
        <w:rPr>
          <w:rStyle w:val="StyleUnderline"/>
        </w:rPr>
        <w:t>Pratt et al 1 – brackets in original text</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0FAF1872" w14:textId="77777777" w:rsidR="00383D4F" w:rsidRDefault="00383D4F" w:rsidP="00383D4F">
      <w:pPr>
        <w:ind w:right="-720"/>
        <w:rPr>
          <w:rStyle w:val="StyleUnderline"/>
          <w:b w:val="0"/>
          <w:u w:val="none"/>
        </w:rPr>
      </w:pPr>
    </w:p>
    <w:p w14:paraId="4B49992B" w14:textId="77777777" w:rsidR="00383D4F" w:rsidRPr="00802DF7" w:rsidRDefault="00383D4F" w:rsidP="00383D4F">
      <w:pPr>
        <w:spacing w:line="480" w:lineRule="auto"/>
        <w:ind w:right="-720"/>
        <w:jc w:val="both"/>
        <w:rPr>
          <w:b/>
          <w:u w:val="single"/>
        </w:rPr>
      </w:pPr>
      <w:r w:rsidRPr="00990F83">
        <w:rPr>
          <w:sz w:val="16"/>
        </w:rPr>
        <w:t xml:space="preserve">Even when explicitly assimilative </w:t>
      </w:r>
      <w:r w:rsidRPr="00FC6250">
        <w:rPr>
          <w:sz w:val="16"/>
        </w:rPr>
        <w:t>institutions no longer exist as such—as is the case with Canada’s residential schools—</w:t>
      </w:r>
      <w:r w:rsidRPr="00FC6250">
        <w:rPr>
          <w:rStyle w:val="StyleUnderline"/>
        </w:rPr>
        <w:t xml:space="preserve">colonizing dynamics can prevail </w:t>
      </w:r>
      <w:r w:rsidRPr="001E190D">
        <w:rPr>
          <w:rStyle w:val="StyleUnderline"/>
          <w:highlight w:val="yellow"/>
        </w:rPr>
        <w:t>in contemporary schooling</w:t>
      </w:r>
      <w:r w:rsidRPr="00FC6250">
        <w:rPr>
          <w:rStyle w:val="StyleUnderline"/>
        </w:rPr>
        <w:t xml:space="preserve">. </w:t>
      </w:r>
      <w:r w:rsidRPr="001E190D">
        <w:rPr>
          <w:rStyle w:val="StyleUnderline"/>
          <w:highlight w:val="yellow"/>
        </w:rPr>
        <w:t>Hegemonic</w:t>
      </w:r>
      <w:r w:rsidRPr="00802DF7">
        <w:rPr>
          <w:rStyle w:val="StyleUnderline"/>
        </w:rPr>
        <w:t xml:space="preserve"> forces such as </w:t>
      </w:r>
      <w:r w:rsidRPr="001E190D">
        <w:rPr>
          <w:rStyle w:val="StyleUnderline"/>
          <w:highlight w:val="yellow"/>
        </w:rPr>
        <w:t>Eurocentrism, paired with</w:t>
      </w:r>
      <w:r w:rsidRPr="00802DF7">
        <w:rPr>
          <w:rStyle w:val="StyleUnderline"/>
        </w:rPr>
        <w:t xml:space="preserve"> vestigial </w:t>
      </w:r>
      <w:r w:rsidRPr="001E190D">
        <w:rPr>
          <w:rStyle w:val="StyleUnderline"/>
          <w:highlight w:val="yellow"/>
        </w:rPr>
        <w:t>colonial</w:t>
      </w:r>
      <w:r w:rsidRPr="001E190D">
        <w:rPr>
          <w:rStyle w:val="StyleUnderline"/>
        </w:rPr>
        <w:t xml:space="preserve"> structures and </w:t>
      </w:r>
      <w:r w:rsidRPr="001E190D">
        <w:rPr>
          <w:rStyle w:val="StyleUnderline"/>
          <w:highlight w:val="yellow"/>
        </w:rPr>
        <w:t>policies,</w:t>
      </w:r>
      <w:r w:rsidRPr="001E190D">
        <w:rPr>
          <w:rStyle w:val="StyleUnderline"/>
        </w:rPr>
        <w:t xml:space="preserve"> can </w:t>
      </w:r>
      <w:r w:rsidRPr="00802DF7">
        <w:rPr>
          <w:rStyle w:val="StyleUnderline"/>
        </w:rPr>
        <w:t xml:space="preserve">persist in </w:t>
      </w:r>
      <w:r w:rsidRPr="001E190D">
        <w:rPr>
          <w:rStyle w:val="StyleUnderline"/>
          <w:highlight w:val="yellow"/>
        </w:rPr>
        <w:t>marginaliz</w:t>
      </w:r>
      <w:r w:rsidRPr="00802DF7">
        <w:rPr>
          <w:rStyle w:val="StyleUnderline"/>
        </w:rPr>
        <w:t xml:space="preserve">ing </w:t>
      </w:r>
      <w:r w:rsidRPr="001E190D">
        <w:rPr>
          <w:rStyle w:val="StyleUnderline"/>
          <w:highlight w:val="yellow"/>
        </w:rPr>
        <w:t>Indigenous people</w:t>
      </w:r>
      <w:r w:rsidRPr="001E190D">
        <w:rPr>
          <w:rStyle w:val="StyleUnderline"/>
        </w:rPr>
        <w:t xml:space="preserve"> and perspectives</w:t>
      </w:r>
      <w:r w:rsidRPr="001E190D">
        <w:rPr>
          <w:rStyle w:val="StyleUnderline"/>
          <w:highlight w:val="yellow"/>
        </w:rPr>
        <w:t>.</w:t>
      </w:r>
      <w:r w:rsidRPr="00990F83">
        <w:rPr>
          <w:sz w:val="16"/>
        </w:rPr>
        <w:t xml:space="preserve"> Jacob et al. (2015) assert that “[s]ome countries such as Vietnam continue to perpetuate active assimilation policies that in many ways threaten indigenous peoples’ ability to preserve their languages, cultures, and identities” (p. 7). In another example, colonial structures in postcolonial contexts in Africa have “impeded the inclusion of bearers of local, indigenous knowledges in formal, institutionalized education” (Dei, 2000, p. 44). </w:t>
      </w:r>
      <w:r w:rsidRPr="00990F83">
        <w:rPr>
          <w:rStyle w:val="StyleUnderline"/>
          <w:highlight w:val="yellow"/>
        </w:rPr>
        <w:t>Colonization in contemporary schooling</w:t>
      </w:r>
      <w:r w:rsidRPr="00990F83">
        <w:rPr>
          <w:rStyle w:val="StyleUnderline"/>
        </w:rPr>
        <w:t xml:space="preserve"> can occur at multiple levels despite an ethos of multiculturalism or other inclusive discourses:</w:t>
      </w:r>
      <w:r w:rsidRPr="00990F83">
        <w:rPr>
          <w:sz w:val="16"/>
        </w:rPr>
        <w:t xml:space="preserve"> at the epistemological level of knowledge systems, at the material level of representation, at the discursive level of curriculum, or at the human level of whose bodies are safe and whose experiences are valued</w:t>
      </w:r>
      <w:r w:rsidRPr="00990F83">
        <w:rPr>
          <w:rStyle w:val="StyleUnderline"/>
        </w:rPr>
        <w:t xml:space="preserve">. Colonization </w:t>
      </w:r>
      <w:r w:rsidRPr="00990F83">
        <w:rPr>
          <w:rStyle w:val="StyleUnderline"/>
          <w:highlight w:val="yellow"/>
        </w:rPr>
        <w:t>may occur</w:t>
      </w:r>
      <w:r w:rsidRPr="00802DF7">
        <w:rPr>
          <w:rStyle w:val="StyleUnderline"/>
        </w:rPr>
        <w:t xml:space="preserve"> in the name of integration or </w:t>
      </w:r>
      <w:r w:rsidRPr="00990F83">
        <w:rPr>
          <w:rStyle w:val="StyleUnderline"/>
          <w:highlight w:val="yellow"/>
        </w:rPr>
        <w:t>“under the disguise of equality,” but</w:t>
      </w:r>
      <w:r w:rsidRPr="00990F83">
        <w:rPr>
          <w:rStyle w:val="StyleUnderline"/>
        </w:rPr>
        <w:t xml:space="preserve"> ultimately </w:t>
      </w:r>
      <w:r w:rsidRPr="00990F83">
        <w:rPr>
          <w:rStyle w:val="StyleUnderline"/>
          <w:highlight w:val="yellow"/>
        </w:rPr>
        <w:t>works “to</w:t>
      </w:r>
      <w:r w:rsidRPr="00990F83">
        <w:rPr>
          <w:rStyle w:val="StyleUnderline"/>
        </w:rPr>
        <w:t xml:space="preserve"> suppress and </w:t>
      </w:r>
      <w:r w:rsidRPr="00990F83">
        <w:rPr>
          <w:rStyle w:val="StyleUnderline"/>
          <w:highlight w:val="yellow"/>
        </w:rPr>
        <w:t>destroy cultural identities of Indigenous students”</w:t>
      </w:r>
      <w:r w:rsidRPr="00990F83">
        <w:rPr>
          <w:rStyle w:val="StyleUnderline"/>
        </w:rPr>
        <w:t xml:space="preserve"> (Almeida, 1998, p. 7).</w:t>
      </w:r>
      <w:r w:rsidRPr="00990F83">
        <w:rPr>
          <w:sz w:val="16"/>
        </w:rPr>
        <w:t xml:space="preserve"> Hidden curriculum and the streaming of students into non-academic versus academic programming are two examples of how colonizing dynamics exist in contemporary schooling. </w:t>
      </w:r>
      <w:r w:rsidRPr="00FC6250">
        <w:rPr>
          <w:rStyle w:val="StyleUnderline"/>
        </w:rPr>
        <w:t>The curriculum in formal schooling immerses students into the assumptions and language of the dominant or colonial culture.</w:t>
      </w:r>
      <w:r w:rsidRPr="00990F83">
        <w:rPr>
          <w:sz w:val="16"/>
        </w:rPr>
        <w:t xml:space="preserve"> The “hidden curriculum” includes the “unwritten rules, regulations, standards and expectations that form part of the learning process in schools and classrooms, not specifically taught to students through the planned or open curriculum and the content” (Rahman, 2013, p. 660). </w:t>
      </w:r>
      <w:r w:rsidRPr="00990F83">
        <w:rPr>
          <w:rStyle w:val="StyleUnderline"/>
          <w:highlight w:val="yellow"/>
        </w:rPr>
        <w:t xml:space="preserve">The hidden curriculum conveyed through the colonizer’s language reflects dominant </w:t>
      </w:r>
      <w:r w:rsidRPr="00802DF7">
        <w:rPr>
          <w:rStyle w:val="StyleUnderline"/>
          <w:highlight w:val="yellow"/>
        </w:rPr>
        <w:t>worldviews,</w:t>
      </w:r>
      <w:r w:rsidRPr="00990F83">
        <w:rPr>
          <w:rStyle w:val="StyleUnderline"/>
        </w:rPr>
        <w:t xml:space="preserve"> beliefs, </w:t>
      </w:r>
      <w:r w:rsidRPr="00FC6250">
        <w:rPr>
          <w:rStyle w:val="StyleUnderline"/>
          <w:highlight w:val="yellow"/>
        </w:rPr>
        <w:t>and</w:t>
      </w:r>
      <w:r w:rsidRPr="00990F83">
        <w:rPr>
          <w:rStyle w:val="StyleUnderline"/>
        </w:rPr>
        <w:t xml:space="preserve"> value </w:t>
      </w:r>
      <w:r w:rsidRPr="00FC6250">
        <w:rPr>
          <w:rStyle w:val="StyleUnderline"/>
        </w:rPr>
        <w:t>systems and informs how the written, mandated curriculum is delivered.</w:t>
      </w:r>
      <w:r w:rsidRPr="00FC6250">
        <w:rPr>
          <w:sz w:val="16"/>
        </w:rPr>
        <w:t xml:space="preserve"> Rahman (2013) explains that </w:t>
      </w:r>
      <w:r w:rsidRPr="00FC6250">
        <w:rPr>
          <w:rStyle w:val="StyleUnderline"/>
        </w:rPr>
        <w:t>this</w:t>
      </w:r>
      <w:r w:rsidRPr="00990F83">
        <w:rPr>
          <w:rStyle w:val="StyleUnderline"/>
        </w:rPr>
        <w:t xml:space="preserve"> hidden curriculum </w:t>
      </w:r>
      <w:r w:rsidRPr="00990F83">
        <w:rPr>
          <w:rStyle w:val="StyleUnderline"/>
          <w:highlight w:val="yellow"/>
        </w:rPr>
        <w:t>forces Indigenous students to</w:t>
      </w:r>
      <w:r w:rsidRPr="00990F83">
        <w:rPr>
          <w:rStyle w:val="StyleUnderline"/>
        </w:rPr>
        <w:t xml:space="preserve"> </w:t>
      </w:r>
      <w:r w:rsidRPr="00990F83">
        <w:rPr>
          <w:rStyle w:val="StyleUnderline"/>
        </w:rPr>
        <w:lastRenderedPageBreak/>
        <w:t xml:space="preserve">negotiate, and perhaps </w:t>
      </w:r>
      <w:r w:rsidRPr="00990F83">
        <w:rPr>
          <w:rStyle w:val="StyleUnderline"/>
          <w:highlight w:val="yellow"/>
        </w:rPr>
        <w:t>abandon</w:t>
      </w:r>
      <w:r w:rsidRPr="00990F83">
        <w:rPr>
          <w:rStyle w:val="StyleUnderline"/>
        </w:rPr>
        <w:t xml:space="preserve">, </w:t>
      </w:r>
      <w:r w:rsidRPr="00990F83">
        <w:rPr>
          <w:rStyle w:val="StyleUnderline"/>
          <w:highlight w:val="yellow"/>
        </w:rPr>
        <w:t>their own cultural ways of being</w:t>
      </w:r>
      <w:r w:rsidRPr="00990F83">
        <w:rPr>
          <w:rStyle w:val="StyleUnderline"/>
        </w:rPr>
        <w:t xml:space="preserve"> and doing </w:t>
      </w:r>
      <w:r w:rsidRPr="00990F83">
        <w:rPr>
          <w:rStyle w:val="StyleUnderline"/>
          <w:highlight w:val="yellow"/>
        </w:rPr>
        <w:t>within inflexible dominant systems</w:t>
      </w:r>
      <w:r w:rsidRPr="00990F83">
        <w:rPr>
          <w:rStyle w:val="StyleUnderline"/>
        </w:rPr>
        <w:t xml:space="preserve"> in order </w:t>
      </w:r>
      <w:r w:rsidRPr="00990F83">
        <w:rPr>
          <w:rStyle w:val="StyleUnderline"/>
          <w:highlight w:val="yellow"/>
        </w:rPr>
        <w:t>to survive</w:t>
      </w:r>
      <w:r w:rsidRPr="00990F83">
        <w:rPr>
          <w:rStyle w:val="StyleUnderline"/>
        </w:rPr>
        <w:t xml:space="preserve"> in school</w:t>
      </w:r>
      <w:r w:rsidRPr="00990F83">
        <w:rPr>
          <w:rStyle w:val="StyleUnderline"/>
          <w:highlight w:val="yellow"/>
        </w:rPr>
        <w:t>.</w:t>
      </w:r>
    </w:p>
    <w:p w14:paraId="6185D299" w14:textId="77777777" w:rsidR="00383D4F" w:rsidRDefault="00383D4F" w:rsidP="00383D4F">
      <w:pPr>
        <w:pStyle w:val="Heading4"/>
        <w:spacing w:line="480" w:lineRule="auto"/>
        <w:ind w:right="-720"/>
        <w:rPr>
          <w:b w:val="0"/>
        </w:rPr>
      </w:pPr>
      <w:r w:rsidRPr="0077144B">
        <w:rPr>
          <w:rFonts w:cs="Times New Roman"/>
        </w:rPr>
        <w:t xml:space="preserve">[ROJ] </w:t>
      </w:r>
      <w:r>
        <w:rPr>
          <w:rFonts w:cs="Times New Roman"/>
        </w:rPr>
        <w:t>Th</w:t>
      </w:r>
      <w:r w:rsidRPr="0077144B">
        <w:rPr>
          <w:rFonts w:cs="Times New Roman"/>
        </w:rPr>
        <w:t xml:space="preserve">e Role of the Judge </w:t>
      </w:r>
      <w:r w:rsidRPr="000773B1">
        <w:rPr>
          <w:rFonts w:cs="Times New Roman"/>
          <w:b w:val="0"/>
        </w:rPr>
        <w:t>is to</w:t>
      </w:r>
      <w:r w:rsidRPr="0077144B">
        <w:rPr>
          <w:rFonts w:cs="Times New Roman"/>
        </w:rPr>
        <w:t xml:space="preserve"> </w:t>
      </w:r>
      <w:r>
        <w:t>Decolonize</w:t>
      </w:r>
      <w:r w:rsidRPr="00095D60">
        <w:t xml:space="preserve"> Educational Spaces</w:t>
      </w:r>
      <w:r w:rsidRPr="000773B1">
        <w:rPr>
          <w:b w:val="0"/>
        </w:rPr>
        <w:t xml:space="preserve">, which means </w:t>
      </w:r>
      <w:r>
        <w:rPr>
          <w:b w:val="0"/>
        </w:rPr>
        <w:t>keeping the space open to non-Eurocentric ways of knowing. This is key to any other framework, since we can’t test it if we arbitrarily exclude ways of knowing.</w:t>
      </w:r>
    </w:p>
    <w:p w14:paraId="65ED1876" w14:textId="77777777" w:rsidR="00383D4F" w:rsidRPr="00C938EE" w:rsidRDefault="00383D4F" w:rsidP="00383D4F">
      <w:pPr>
        <w:pStyle w:val="Heading4"/>
        <w:spacing w:line="480" w:lineRule="auto"/>
        <w:ind w:right="-720"/>
        <w:rPr>
          <w:b w:val="0"/>
        </w:rPr>
      </w:pPr>
      <w:r>
        <w:t xml:space="preserve">[Pratt et al 2] </w:t>
      </w:r>
      <w:r>
        <w:rPr>
          <w:b w:val="0"/>
        </w:rPr>
        <w:t>Successful decolonizing demands recognition of how dominant power hierarchies function, a necessity for all exploring any non-Western knowledge.</w:t>
      </w:r>
    </w:p>
    <w:p w14:paraId="53D061C0" w14:textId="77777777" w:rsidR="00383D4F" w:rsidRPr="00511C92" w:rsidRDefault="00383D4F" w:rsidP="00383D4F">
      <w:pPr>
        <w:ind w:right="-720"/>
        <w:rPr>
          <w:rStyle w:val="StyleUnderline"/>
          <w:b w:val="0"/>
          <w:sz w:val="16"/>
          <w:u w:val="none"/>
        </w:rPr>
      </w:pPr>
      <w:r>
        <w:rPr>
          <w:rStyle w:val="StyleUnderline"/>
        </w:rPr>
        <w:t>Pratt et al 2</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7C42D864" w14:textId="77777777" w:rsidR="00383D4F" w:rsidRPr="00DB68FE" w:rsidRDefault="00383D4F" w:rsidP="00383D4F">
      <w:pPr>
        <w:ind w:right="-720"/>
      </w:pPr>
    </w:p>
    <w:p w14:paraId="2B7465C5" w14:textId="77777777" w:rsidR="00383D4F" w:rsidRDefault="00383D4F" w:rsidP="00383D4F">
      <w:pPr>
        <w:spacing w:line="480" w:lineRule="auto"/>
        <w:ind w:right="-720"/>
        <w:jc w:val="both"/>
        <w:rPr>
          <w:rStyle w:val="StyleUnderline"/>
        </w:rPr>
      </w:pPr>
      <w:r w:rsidRPr="00FC6250">
        <w:rPr>
          <w:sz w:val="16"/>
        </w:rPr>
        <w:t>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in order to shape educational systems or institutions in that place is a way of Indigenizing education.</w:t>
      </w:r>
      <w:r w:rsidRPr="00FC6250">
        <w:rPr>
          <w:rStyle w:val="StyleUnderline"/>
        </w:rPr>
        <w:t xml:space="preserve"> Indigenous educators also recognize that colonialism continues to shape contemporary schooling: colonial education can exist even when explicitly assimilative systems of formal education have been closed and condemned. </w:t>
      </w:r>
      <w:r w:rsidRPr="00171436">
        <w:rPr>
          <w:rStyle w:val="StyleUnderline"/>
          <w:highlight w:val="yellow"/>
        </w:rPr>
        <w:t xml:space="preserve">Colonial dynamics in contemporary schooling are often </w:t>
      </w:r>
      <w:r w:rsidRPr="00171436">
        <w:rPr>
          <w:rStyle w:val="Emphasis"/>
          <w:highlight w:val="yellow"/>
        </w:rPr>
        <w:t>less visible</w:t>
      </w:r>
      <w:r w:rsidRPr="00171436">
        <w:rPr>
          <w:rStyle w:val="StyleUnderline"/>
          <w:highlight w:val="yellow"/>
        </w:rPr>
        <w:t xml:space="preserve"> because of how deeply</w:t>
      </w:r>
      <w:r w:rsidRPr="005B3193">
        <w:rPr>
          <w:rStyle w:val="StyleUnderline"/>
        </w:rPr>
        <w:t xml:space="preserve"> and unknowingly </w:t>
      </w:r>
      <w:r w:rsidRPr="00171436">
        <w:rPr>
          <w:rStyle w:val="StyleUnderline"/>
          <w:highlight w:val="yellow"/>
        </w:rPr>
        <w:t>educators can be entrenched in</w:t>
      </w:r>
      <w:r w:rsidRPr="005B3193">
        <w:rPr>
          <w:rStyle w:val="StyleUnderline"/>
        </w:rPr>
        <w:t xml:space="preserve"> hegemonic assumptions, arising from colonial mentalities and further entrenched by </w:t>
      </w:r>
      <w:r w:rsidRPr="005B3193">
        <w:rPr>
          <w:rStyle w:val="StyleUnderline"/>
          <w:highlight w:val="yellow"/>
        </w:rPr>
        <w:t>dominant structural systems.</w:t>
      </w:r>
      <w:r w:rsidRPr="00FC6250">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14:paraId="2B7110B5" w14:textId="77777777" w:rsidR="00383D4F" w:rsidRDefault="00383D4F" w:rsidP="00383D4F">
      <w:pPr>
        <w:spacing w:line="480" w:lineRule="auto"/>
        <w:ind w:right="-720"/>
        <w:rPr>
          <w:rStyle w:val="StyleUnderline"/>
        </w:rPr>
      </w:pPr>
    </w:p>
    <w:p w14:paraId="2B9AB6F0" w14:textId="77777777" w:rsidR="00383D4F" w:rsidRDefault="00383D4F" w:rsidP="00383D4F">
      <w:pPr>
        <w:spacing w:line="480" w:lineRule="auto"/>
        <w:ind w:right="-720"/>
        <w:rPr>
          <w:rStyle w:val="StyleUnderline"/>
          <w:u w:val="none"/>
        </w:rPr>
      </w:pPr>
      <w:r w:rsidRPr="00802DF7">
        <w:rPr>
          <w:rStyle w:val="StyleUnderline"/>
          <w:highlight w:val="yellow"/>
        </w:rPr>
        <w:lastRenderedPageBreak/>
        <w:t>They add</w:t>
      </w:r>
      <w:r w:rsidRPr="00802DF7">
        <w:rPr>
          <w:rStyle w:val="StyleUnderline"/>
          <w:highlight w:val="yellow"/>
          <w:u w:val="none"/>
        </w:rPr>
        <w:t>:</w:t>
      </w:r>
    </w:p>
    <w:p w14:paraId="6968DE17" w14:textId="77777777" w:rsidR="00383D4F" w:rsidRDefault="00383D4F" w:rsidP="00383D4F">
      <w:pPr>
        <w:spacing w:line="480" w:lineRule="auto"/>
        <w:ind w:right="-720"/>
        <w:rPr>
          <w:rStyle w:val="StyleUnderline"/>
        </w:rPr>
      </w:pPr>
    </w:p>
    <w:p w14:paraId="771D0E70" w14:textId="77777777" w:rsidR="00383D4F" w:rsidRDefault="00383D4F" w:rsidP="00383D4F">
      <w:pPr>
        <w:spacing w:line="480" w:lineRule="auto"/>
        <w:ind w:right="-720"/>
        <w:jc w:val="both"/>
        <w:rPr>
          <w:rStyle w:val="StyleUnderline"/>
        </w:rPr>
      </w:pPr>
      <w:r w:rsidRPr="00DB68FE">
        <w:rPr>
          <w:rStyle w:val="StyleUnderline"/>
        </w:rPr>
        <w:t xml:space="preserve">Colonizing is the physical and ideological domination of peoples in order to separate them from their culture and resources, while creating external and internalized assumptions of the supremacy of the colonizer. Conversely, </w:t>
      </w:r>
      <w:r w:rsidRPr="00DB68FE">
        <w:rPr>
          <w:rStyle w:val="StyleUnderline"/>
          <w:highlight w:val="yellow"/>
        </w:rPr>
        <w:t>the project of decolonizing</w:t>
      </w:r>
      <w:r w:rsidRPr="00DB68FE">
        <w:rPr>
          <w:rStyle w:val="StyleUnderline"/>
        </w:rPr>
        <w:t xml:space="preserve"> challenges and </w:t>
      </w:r>
      <w:r w:rsidRPr="00DB68FE">
        <w:rPr>
          <w:rStyle w:val="StyleUnderline"/>
          <w:highlight w:val="yellow"/>
        </w:rPr>
        <w:t>disrupts assumptions of colonial superiority.</w:t>
      </w:r>
      <w:r w:rsidRPr="00DB68FE">
        <w:rPr>
          <w:rStyle w:val="StyleUnderline"/>
        </w:rPr>
        <w:t xml:space="preserve"> For Smith (2012), </w:t>
      </w:r>
      <w:r w:rsidRPr="00DB68FE">
        <w:rPr>
          <w:rStyle w:val="StyleUnderline"/>
          <w:highlight w:val="yellow"/>
        </w:rPr>
        <w:t>decol</w:t>
      </w:r>
      <w:r w:rsidRPr="00F23C1B">
        <w:rPr>
          <w:rStyle w:val="StyleUnderline"/>
        </w:rPr>
        <w:t>onization</w:t>
      </w:r>
      <w:r w:rsidRPr="00DB68FE">
        <w:rPr>
          <w:rStyle w:val="StyleUnderline"/>
          <w:highlight w:val="yellow"/>
        </w:rPr>
        <w:t xml:space="preserve"> is the revitalization of</w:t>
      </w:r>
      <w:r w:rsidRPr="00DB68FE">
        <w:rPr>
          <w:rStyle w:val="StyleUnderline"/>
        </w:rPr>
        <w:t xml:space="preserve"> the </w:t>
      </w:r>
      <w:r w:rsidRPr="00DB68FE">
        <w:rPr>
          <w:rStyle w:val="StyleUnderline"/>
          <w:highlight w:val="yellow"/>
        </w:rPr>
        <w:t>ways of</w:t>
      </w:r>
      <w:r w:rsidRPr="00DB68FE">
        <w:rPr>
          <w:rStyle w:val="StyleUnderline"/>
        </w:rPr>
        <w:t xml:space="preserve"> being and </w:t>
      </w:r>
      <w:r w:rsidRPr="00DB68FE">
        <w:rPr>
          <w:rStyle w:val="StyleUnderline"/>
          <w:highlight w:val="yellow"/>
        </w:rPr>
        <w:t>knowing prior to colonization, while unearthing the manner in which colonization was achieved.</w:t>
      </w:r>
      <w:r w:rsidRPr="00DB68FE">
        <w:rPr>
          <w:rStyle w:val="StyleUnderline"/>
        </w:rPr>
        <w:t xml:space="preserve"> It is not enough to simply reconnect with the past; in order </w:t>
      </w:r>
      <w:r w:rsidRPr="00DB68FE">
        <w:rPr>
          <w:rStyle w:val="StyleUnderline"/>
          <w:highlight w:val="yellow"/>
        </w:rPr>
        <w:t>to pursue decol</w:t>
      </w:r>
      <w:r w:rsidRPr="00F23C1B">
        <w:rPr>
          <w:rStyle w:val="StyleUnderline"/>
        </w:rPr>
        <w:t>onization</w:t>
      </w:r>
      <w:r w:rsidRPr="00DB68FE">
        <w:rPr>
          <w:rStyle w:val="StyleUnderline"/>
          <w:highlight w:val="yellow"/>
        </w:rPr>
        <w:t>, we must</w:t>
      </w:r>
      <w:r w:rsidRPr="00DB68FE">
        <w:rPr>
          <w:rStyle w:val="StyleUnderline"/>
        </w:rPr>
        <w:t xml:space="preserve"> also </w:t>
      </w:r>
      <w:r w:rsidRPr="00DB68FE">
        <w:rPr>
          <w:rStyle w:val="StyleUnderline"/>
          <w:highlight w:val="yellow"/>
        </w:rPr>
        <w:t>untangle the complex web of internalized oppression created by colonization. Further</w:t>
      </w:r>
      <w:r w:rsidRPr="00DB68FE">
        <w:rPr>
          <w:rStyle w:val="StyleUnderline"/>
        </w:rPr>
        <w:t>more</w:t>
      </w:r>
      <w:r w:rsidRPr="00DB68FE">
        <w:rPr>
          <w:rStyle w:val="StyleUnderline"/>
          <w:highlight w:val="yellow"/>
        </w:rPr>
        <w:t>, decol</w:t>
      </w:r>
      <w:r w:rsidRPr="00590C51">
        <w:rPr>
          <w:rStyle w:val="StyleUnderline"/>
        </w:rPr>
        <w:t xml:space="preserve">onization </w:t>
      </w:r>
      <w:r w:rsidRPr="00DB68FE">
        <w:rPr>
          <w:rStyle w:val="StyleUnderline"/>
          <w:highlight w:val="yellow"/>
        </w:rPr>
        <w:t>requires</w:t>
      </w:r>
      <w:r w:rsidRPr="00DB68FE">
        <w:rPr>
          <w:rStyle w:val="StyleUnderline"/>
        </w:rPr>
        <w:t xml:space="preserve"> the </w:t>
      </w:r>
      <w:r w:rsidRPr="00DB68FE">
        <w:rPr>
          <w:rStyle w:val="Emphasis"/>
          <w:highlight w:val="yellow"/>
        </w:rPr>
        <w:t>colonizers</w:t>
      </w:r>
      <w:r w:rsidRPr="00DB68FE">
        <w:rPr>
          <w:rStyle w:val="StyleUnderline"/>
          <w:highlight w:val="yellow"/>
        </w:rPr>
        <w:t xml:space="preserve"> to</w:t>
      </w:r>
      <w:r w:rsidRPr="00DB68FE">
        <w:rPr>
          <w:rStyle w:val="StyleUnderline"/>
        </w:rPr>
        <w:t xml:space="preserve"> recognize and </w:t>
      </w:r>
      <w:r w:rsidRPr="00DB68FE">
        <w:rPr>
          <w:rStyle w:val="StyleUnderline"/>
          <w:highlight w:val="yellow"/>
        </w:rPr>
        <w:t>challenge their own</w:t>
      </w:r>
      <w:r w:rsidRPr="00DB68FE">
        <w:rPr>
          <w:rStyle w:val="StyleUnderline"/>
        </w:rPr>
        <w:t xml:space="preserve"> socialized </w:t>
      </w:r>
      <w:r w:rsidRPr="00DB68FE">
        <w:rPr>
          <w:rStyle w:val="StyleUnderline"/>
          <w:highlight w:val="yellow"/>
        </w:rPr>
        <w:t>presumptions of superiority.</w:t>
      </w:r>
    </w:p>
    <w:p w14:paraId="30BFE915" w14:textId="77777777" w:rsidR="00383D4F" w:rsidRDefault="00383D4F" w:rsidP="00383D4F">
      <w:pPr>
        <w:pStyle w:val="Heading4"/>
        <w:spacing w:line="480" w:lineRule="auto"/>
        <w:ind w:right="-720"/>
        <w:rPr>
          <w:b w:val="0"/>
        </w:rPr>
      </w:pPr>
      <w:r w:rsidRPr="00095D60">
        <w:rPr>
          <w:rFonts w:cs="Times New Roman"/>
        </w:rPr>
        <w:t xml:space="preserve">[ROB] </w:t>
      </w:r>
      <w:r w:rsidRPr="001E190D">
        <w:t xml:space="preserve">Thus, the Role of the Ballot is to Endorse the </w:t>
      </w:r>
      <w:r>
        <w:t>Better Resistance Strategy Against Colonialist Violence</w:t>
      </w:r>
      <w:r w:rsidRPr="001E190D">
        <w:t xml:space="preserve">. </w:t>
      </w:r>
      <w:r w:rsidRPr="001E190D">
        <w:rPr>
          <w:b w:val="0"/>
        </w:rPr>
        <w:t xml:space="preserve">This means </w:t>
      </w:r>
      <w:r>
        <w:rPr>
          <w:b w:val="0"/>
        </w:rPr>
        <w:t>each side offers a method of rejecting oppression as a means of promoting authentic freedom.</w:t>
      </w:r>
    </w:p>
    <w:p w14:paraId="4D5D90FC" w14:textId="77777777" w:rsidR="00383D4F" w:rsidRDefault="00383D4F" w:rsidP="00383D4F">
      <w:pPr>
        <w:ind w:right="-720"/>
      </w:pPr>
    </w:p>
    <w:p w14:paraId="199002E5" w14:textId="77777777" w:rsidR="00383D4F" w:rsidRDefault="00383D4F" w:rsidP="00383D4F">
      <w:pPr>
        <w:pStyle w:val="Heading2"/>
        <w:ind w:right="-720"/>
        <w:rPr>
          <w:u w:val="single"/>
        </w:rPr>
      </w:pPr>
      <w:r>
        <w:rPr>
          <w:u w:val="single"/>
        </w:rPr>
        <w:lastRenderedPageBreak/>
        <w:t>Part 2: Eye on the Target</w:t>
      </w:r>
    </w:p>
    <w:p w14:paraId="44CBBB85" w14:textId="77777777" w:rsidR="00383D4F" w:rsidRDefault="00383D4F" w:rsidP="00383D4F">
      <w:pPr>
        <w:ind w:right="-720"/>
      </w:pPr>
    </w:p>
    <w:p w14:paraId="56E5BD39" w14:textId="77777777" w:rsidR="00383D4F" w:rsidRDefault="00383D4F" w:rsidP="00383D4F">
      <w:pPr>
        <w:pStyle w:val="Heading4"/>
        <w:spacing w:line="480" w:lineRule="auto"/>
        <w:ind w:right="-720"/>
      </w:pPr>
      <w:r>
        <w:t xml:space="preserve">[Utrata] PRIVATE ENTITIES SPACE STATIONS ARE KICKING PEOPLE OFF THEIR LAND. </w:t>
      </w:r>
    </w:p>
    <w:p w14:paraId="469920BA" w14:textId="77777777" w:rsidR="00383D4F" w:rsidRPr="007E2EF2" w:rsidRDefault="00383D4F" w:rsidP="00383D4F">
      <w:pPr>
        <w:ind w:right="-720"/>
        <w:rPr>
          <w:rFonts w:eastAsia="Times New Roman"/>
          <w:lang w:bidi="he-IL"/>
        </w:rPr>
      </w:pPr>
      <w:r>
        <w:rPr>
          <w:b/>
          <w:bCs/>
          <w:u w:val="single"/>
        </w:rPr>
        <w:t>Utrata</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7B89646C" w14:textId="77777777" w:rsidR="00383D4F" w:rsidRDefault="00383D4F" w:rsidP="00383D4F">
      <w:pPr>
        <w:pStyle w:val="NoSpacing"/>
        <w:spacing w:line="480" w:lineRule="auto"/>
        <w:ind w:right="-720"/>
        <w:jc w:val="both"/>
        <w:rPr>
          <w:sz w:val="16"/>
        </w:rPr>
      </w:pPr>
    </w:p>
    <w:p w14:paraId="60DE6FCE" w14:textId="77777777" w:rsidR="00383D4F" w:rsidRPr="00D61611" w:rsidRDefault="00383D4F" w:rsidP="00383D4F">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w:t>
      </w:r>
      <w:r w:rsidRPr="001B5CBA">
        <w:rPr>
          <w:sz w:val="16"/>
        </w:rPr>
        <w:lastRenderedPageBreak/>
        <w:t>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4026C8">
        <w:rPr>
          <w:rStyle w:val="StyleUnderline"/>
        </w:rPr>
        <w:t xml:space="preserve">Widodo </w:t>
      </w:r>
      <w:r w:rsidRPr="001B5CBA">
        <w:rPr>
          <w:rStyle w:val="StyleUnderline"/>
          <w:highlight w:val="yellow"/>
        </w:rPr>
        <w:t>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50741351" w14:textId="77777777" w:rsidR="00383D4F" w:rsidRPr="00017C27" w:rsidRDefault="00383D4F" w:rsidP="00383D4F">
      <w:pPr>
        <w:pStyle w:val="Heading4"/>
        <w:spacing w:line="480" w:lineRule="auto"/>
        <w:rPr>
          <w:b w:val="0"/>
          <w:bCs w:val="0"/>
        </w:rPr>
      </w:pPr>
      <w:r>
        <w:t xml:space="preserve">[Haskins 1] </w:t>
      </w:r>
      <w:r>
        <w:rPr>
          <w:b w:val="0"/>
          <w:bCs w:val="0"/>
        </w:rPr>
        <w:t xml:space="preserve">The dream of space colonization is the same as the ideologies of racist cowboys in the 1400s. </w:t>
      </w:r>
    </w:p>
    <w:p w14:paraId="1015F055" w14:textId="77777777" w:rsidR="00383D4F" w:rsidRPr="005B7989" w:rsidRDefault="00383D4F" w:rsidP="00383D4F">
      <w:pPr>
        <w:rPr>
          <w:sz w:val="16"/>
        </w:rPr>
      </w:pPr>
      <w:r w:rsidRPr="003A21D0">
        <w:rPr>
          <w:b/>
          <w:bCs/>
          <w:u w:val="single"/>
        </w:rPr>
        <w:t>Haskins</w:t>
      </w:r>
      <w:r>
        <w:rPr>
          <w:b/>
          <w:bCs/>
          <w:u w:val="single"/>
        </w:rPr>
        <w:t xml:space="preserve"> 1</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34B1A18E" w14:textId="77777777" w:rsidR="00383D4F" w:rsidRPr="005B7989" w:rsidRDefault="00383D4F" w:rsidP="00383D4F"/>
    <w:p w14:paraId="1D8F92AA" w14:textId="77777777" w:rsidR="00383D4F" w:rsidRPr="003A21D0" w:rsidRDefault="00383D4F" w:rsidP="00383D4F">
      <w:pPr>
        <w:spacing w:line="480" w:lineRule="auto"/>
        <w:jc w:val="both"/>
        <w:rPr>
          <w:b/>
          <w:bCs/>
          <w:u w:val="single"/>
        </w:rPr>
      </w:pPr>
      <w:r w:rsidRPr="003A21D0">
        <w:rPr>
          <w:sz w:val="16"/>
        </w:rPr>
        <w:t xml:space="preserve">“I don’t know who it will be, and I don’t know what they will discover, or what they will accomplish,” Cruz said. “But I think it is every bit as vast and promising a frontier as the New World was some centuries ago.” </w:t>
      </w:r>
      <w:r w:rsidRPr="003A21D0">
        <w:rPr>
          <w:b/>
          <w:bCs/>
          <w:u w:val="single"/>
        </w:rPr>
        <w:t xml:space="preserve">“You could argue that </w:t>
      </w:r>
      <w:r w:rsidRPr="003A21D0">
        <w:rPr>
          <w:b/>
          <w:bCs/>
          <w:highlight w:val="yellow"/>
          <w:u w:val="single"/>
        </w:rPr>
        <w:t>the effort to colonize space is</w:t>
      </w:r>
      <w:r w:rsidRPr="003A21D0">
        <w:rPr>
          <w:b/>
          <w:bCs/>
          <w:u w:val="single"/>
        </w:rPr>
        <w:t xml:space="preserve"> </w:t>
      </w:r>
      <w:r w:rsidRPr="003A21D0">
        <w:rPr>
          <w:b/>
          <w:bCs/>
          <w:highlight w:val="yellow"/>
          <w:u w:val="single"/>
        </w:rPr>
        <w:t>likely to involve new forms of inequality</w:t>
      </w:r>
      <w:r w:rsidRPr="003A21D0">
        <w:rPr>
          <w:sz w:val="16"/>
        </w:rPr>
        <w:t>: shifts in tax revenues and administrative priorities devoted to that,” said Michael Ralph, a professor of anthropology at NYU</w:t>
      </w:r>
      <w:r w:rsidRPr="003A21D0">
        <w:rPr>
          <w:sz w:val="16"/>
          <w:highlight w:val="yellow"/>
        </w:rPr>
        <w:t>.</w:t>
      </w:r>
      <w:r w:rsidRPr="003A21D0">
        <w:rPr>
          <w:sz w:val="16"/>
        </w:rPr>
        <w:t xml:space="preserve"> “As opposed to [supporting] other social institutions that benefit people like health care, education, infrastructure.” Earning money in space is an exciting prospect for a far-right, pro-business, anti-regulation politician like Cruz, and he explicitly associated it with European countries having colonized the Americas.</w:t>
      </w:r>
      <w:r w:rsidRPr="003A21D0">
        <w:rPr>
          <w:b/>
          <w:bCs/>
          <w:u w:val="single"/>
        </w:rPr>
        <w:t xml:space="preserve"> </w:t>
      </w:r>
      <w:r w:rsidRPr="003A21D0">
        <w:rPr>
          <w:b/>
          <w:bCs/>
          <w:highlight w:val="yellow"/>
          <w:u w:val="single"/>
        </w:rPr>
        <w:t>Starting in the late 1400s,</w:t>
      </w:r>
      <w:r w:rsidRPr="003A21D0">
        <w:rPr>
          <w:b/>
          <w:bCs/>
          <w:u w:val="single"/>
        </w:rPr>
        <w:t xml:space="preserve"> Great Britain, Spain, and Portugal funded </w:t>
      </w:r>
      <w:r w:rsidRPr="003A21D0">
        <w:rPr>
          <w:b/>
          <w:bCs/>
          <w:highlight w:val="yellow"/>
          <w:u w:val="single"/>
        </w:rPr>
        <w:t>missions to the Americas in order to gather natural resources that would power</w:t>
      </w:r>
      <w:r w:rsidRPr="003A21D0">
        <w:rPr>
          <w:b/>
          <w:bCs/>
          <w:u w:val="single"/>
        </w:rPr>
        <w:t xml:space="preserve"> up </w:t>
      </w:r>
      <w:r w:rsidRPr="003A21D0">
        <w:rPr>
          <w:b/>
          <w:bCs/>
          <w:highlight w:val="yellow"/>
          <w:u w:val="single"/>
        </w:rPr>
        <w:t>their economies. By stealing the land that made this resource extraction possible, colonizers used genocide, enslavement</w:t>
      </w:r>
      <w:r w:rsidRPr="003A21D0">
        <w:rPr>
          <w:b/>
          <w:bCs/>
          <w:u w:val="single"/>
        </w:rPr>
        <w:t xml:space="preserve">, biological weaponry, </w:t>
      </w:r>
      <w:r w:rsidRPr="003A21D0">
        <w:rPr>
          <w:b/>
          <w:bCs/>
          <w:highlight w:val="yellow"/>
          <w:u w:val="single"/>
        </w:rPr>
        <w:t>and warfare and that resulted in the deaths of tens of millions of indigenous people living in the “New World.” The concept of</w:t>
      </w:r>
      <w:r w:rsidRPr="003A21D0">
        <w:rPr>
          <w:b/>
          <w:bCs/>
          <w:u w:val="single"/>
        </w:rPr>
        <w:t xml:space="preserve"> </w:t>
      </w:r>
      <w:r w:rsidRPr="003A21D0">
        <w:rPr>
          <w:b/>
          <w:bCs/>
          <w:highlight w:val="yellow"/>
          <w:u w:val="single"/>
        </w:rPr>
        <w:t>race</w:t>
      </w:r>
      <w:r w:rsidRPr="003A21D0">
        <w:rPr>
          <w:b/>
          <w:bCs/>
          <w:u w:val="single"/>
        </w:rPr>
        <w:t xml:space="preserve">, and therefore racism, </w:t>
      </w:r>
      <w:r w:rsidRPr="003A21D0">
        <w:rPr>
          <w:b/>
          <w:bCs/>
          <w:highlight w:val="yellow"/>
          <w:u w:val="single"/>
        </w:rPr>
        <w:t>was invented as a way of justifying their violence</w:t>
      </w:r>
      <w:r w:rsidRPr="003A21D0">
        <w:rPr>
          <w:b/>
          <w:bCs/>
          <w:u w:val="single"/>
        </w:rPr>
        <w:t xml:space="preserve"> and legitimizing a hierarchy of race-divided labor</w:t>
      </w:r>
      <w:r w:rsidRPr="003A21D0">
        <w:rPr>
          <w:b/>
          <w:bCs/>
          <w:highlight w:val="yellow"/>
          <w:u w:val="single"/>
        </w:rPr>
        <w:t>.</w:t>
      </w:r>
      <w:r w:rsidRPr="003A21D0">
        <w:rPr>
          <w:b/>
          <w:bCs/>
          <w:u w:val="single"/>
        </w:rPr>
        <w:t xml:space="preserve"> </w:t>
      </w:r>
      <w:r w:rsidRPr="003A21D0">
        <w:rPr>
          <w:sz w:val="16"/>
        </w:rPr>
        <w:t>Based off of what we know right now, the Moon and Mars are devoid of life, so this colonizing language is not actually putting other beings at risk.</w:t>
      </w:r>
      <w:r w:rsidRPr="003A21D0">
        <w:rPr>
          <w:b/>
          <w:bCs/>
          <w:u w:val="single"/>
        </w:rPr>
        <w:t xml:space="preserve"> But, </w:t>
      </w:r>
      <w:r w:rsidRPr="003A21D0">
        <w:rPr>
          <w:b/>
          <w:bCs/>
          <w:highlight w:val="yellow"/>
          <w:u w:val="single"/>
        </w:rPr>
        <w:t>there is the risk that the same racist mythology used to justify violence</w:t>
      </w:r>
      <w:r w:rsidRPr="003A21D0">
        <w:rPr>
          <w:b/>
          <w:bCs/>
          <w:u w:val="single"/>
        </w:rPr>
        <w:t xml:space="preserve"> </w:t>
      </w:r>
      <w:r w:rsidRPr="003A21D0">
        <w:rPr>
          <w:b/>
          <w:bCs/>
          <w:highlight w:val="yellow"/>
          <w:u w:val="single"/>
        </w:rPr>
        <w:t xml:space="preserve">and inequality on earth — such as the use of frontier, “cowboy” mythology to </w:t>
      </w:r>
      <w:r w:rsidRPr="003A21D0">
        <w:rPr>
          <w:b/>
          <w:bCs/>
          <w:u w:val="single"/>
        </w:rPr>
        <w:t xml:space="preserve">condone and </w:t>
      </w:r>
      <w:r w:rsidRPr="003A21D0">
        <w:rPr>
          <w:b/>
          <w:bCs/>
          <w:highlight w:val="yellow"/>
          <w:u w:val="single"/>
        </w:rPr>
        <w:t>promote the murder</w:t>
      </w:r>
      <w:r w:rsidRPr="003A21D0">
        <w:rPr>
          <w:b/>
          <w:bCs/>
          <w:u w:val="single"/>
        </w:rPr>
        <w:t xml:space="preserve"> and displacement </w:t>
      </w:r>
      <w:r w:rsidRPr="003A21D0">
        <w:rPr>
          <w:b/>
          <w:bCs/>
          <w:highlight w:val="yellow"/>
          <w:u w:val="single"/>
        </w:rPr>
        <w:t>of indigenous people in the American West</w:t>
      </w:r>
      <w:r w:rsidRPr="003A21D0">
        <w:rPr>
          <w:b/>
          <w:bCs/>
          <w:u w:val="single"/>
        </w:rPr>
        <w:t xml:space="preserve"> — will be used to justify missions to space</w:t>
      </w:r>
      <w:r w:rsidRPr="003A21D0">
        <w:rPr>
          <w:b/>
          <w:bCs/>
          <w:highlight w:val="yellow"/>
          <w:u w:val="single"/>
        </w:rPr>
        <w:t>.</w:t>
      </w:r>
      <w:r w:rsidRPr="003A21D0">
        <w:rPr>
          <w:b/>
          <w:bCs/>
          <w:u w:val="single"/>
        </w:rPr>
        <w:t xml:space="preserve"> </w:t>
      </w:r>
    </w:p>
    <w:p w14:paraId="27FA4193" w14:textId="77777777" w:rsidR="00383D4F" w:rsidRPr="00017C27" w:rsidRDefault="00383D4F" w:rsidP="00383D4F">
      <w:pPr>
        <w:pStyle w:val="Heading4"/>
        <w:spacing w:line="480" w:lineRule="auto"/>
        <w:rPr>
          <w:b w:val="0"/>
          <w:bCs w:val="0"/>
        </w:rPr>
      </w:pPr>
      <w:r>
        <w:t xml:space="preserve">[Haskins 2] </w:t>
      </w:r>
      <w:r>
        <w:rPr>
          <w:b w:val="0"/>
          <w:bCs w:val="0"/>
        </w:rPr>
        <w:t xml:space="preserve">Billionaire’s rhetoric of colonization as “adventures” erases the violence they used on colonization in history.    </w:t>
      </w:r>
    </w:p>
    <w:p w14:paraId="46B2789F" w14:textId="77777777" w:rsidR="00383D4F" w:rsidRDefault="00383D4F" w:rsidP="00383D4F">
      <w:pPr>
        <w:rPr>
          <w:sz w:val="16"/>
        </w:rPr>
      </w:pPr>
      <w:r w:rsidRPr="003A21D0">
        <w:rPr>
          <w:b/>
          <w:bCs/>
          <w:u w:val="single"/>
        </w:rPr>
        <w:t>Haskins</w:t>
      </w:r>
      <w:r>
        <w:rPr>
          <w:b/>
          <w:bCs/>
          <w:u w:val="single"/>
        </w:rPr>
        <w:t xml:space="preserve"> 2</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EM </w:t>
      </w:r>
    </w:p>
    <w:p w14:paraId="47CA4BE5" w14:textId="77777777" w:rsidR="00383D4F" w:rsidRPr="003A21D0" w:rsidRDefault="00383D4F" w:rsidP="00383D4F">
      <w:pPr>
        <w:spacing w:line="480" w:lineRule="auto"/>
        <w:rPr>
          <w:sz w:val="16"/>
        </w:rPr>
      </w:pPr>
    </w:p>
    <w:p w14:paraId="36CE6BC1" w14:textId="77777777" w:rsidR="00383D4F" w:rsidRDefault="00383D4F" w:rsidP="00383D4F">
      <w:pPr>
        <w:spacing w:line="480" w:lineRule="auto"/>
        <w:jc w:val="both"/>
        <w:rPr>
          <w:sz w:val="16"/>
        </w:rPr>
      </w:pPr>
      <w:r w:rsidRPr="003A21D0">
        <w:rPr>
          <w:sz w:val="16"/>
        </w:rPr>
        <w:t xml:space="preserve">In the Destination Mars subcommittee meeting, Cruz said, “At the end of the day, the commercial sector is going to be able to invest billions more in dollars in getting this job [of getting to Mars] done.” </w:t>
      </w:r>
      <w:r w:rsidRPr="003A21D0">
        <w:rPr>
          <w:b/>
          <w:bCs/>
          <w:u w:val="single"/>
        </w:rPr>
        <w:t xml:space="preserve">In his Thursday remarks regarding the </w:t>
      </w:r>
      <w:r w:rsidRPr="003A21D0">
        <w:rPr>
          <w:b/>
          <w:bCs/>
          <w:u w:val="single"/>
        </w:rPr>
        <w:lastRenderedPageBreak/>
        <w:t xml:space="preserve">Space Force, Pence also implied that </w:t>
      </w:r>
      <w:r w:rsidRPr="003A21D0">
        <w:rPr>
          <w:b/>
          <w:bCs/>
          <w:highlight w:val="yellow"/>
          <w:u w:val="single"/>
        </w:rPr>
        <w:t>celestial territories would be treated as private property</w:t>
      </w:r>
      <w:r w:rsidRPr="003A21D0">
        <w:rPr>
          <w:b/>
          <w:bCs/>
          <w:u w:val="single"/>
        </w:rPr>
        <w:t xml:space="preserve"> (even though owning private property in space is explicitly illegal per the Outer Space Treaty, which the U.S. and dozens of other nations signed in 1967)</w:t>
      </w:r>
      <w:r w:rsidRPr="003A21D0">
        <w:rPr>
          <w:b/>
          <w:bCs/>
          <w:highlight w:val="yellow"/>
          <w:u w:val="single"/>
        </w:rPr>
        <w:t>.</w:t>
      </w:r>
      <w:r w:rsidRPr="003A21D0">
        <w:rPr>
          <w:sz w:val="16"/>
        </w:rPr>
        <w:t xml:space="preserve">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 </w:t>
      </w:r>
      <w:r w:rsidRPr="003A21D0">
        <w:rPr>
          <w:b/>
          <w:bCs/>
          <w:highlight w:val="yellow"/>
          <w:u w:val="single"/>
        </w:rPr>
        <w:t>This approach to public-private partnerships directly mirrors colonist practices.</w:t>
      </w:r>
      <w:r w:rsidRPr="003A21D0">
        <w:rPr>
          <w:b/>
          <w:bCs/>
          <w:u w:val="single"/>
        </w:rPr>
        <w:t xml:space="preserve"> For instance, </w:t>
      </w:r>
      <w:r w:rsidRPr="003A21D0">
        <w:rPr>
          <w:b/>
          <w:bCs/>
          <w:highlight w:val="yellow"/>
          <w:u w:val="single"/>
        </w:rPr>
        <w:t>the</w:t>
      </w:r>
      <w:r w:rsidRPr="003A21D0">
        <w:rPr>
          <w:b/>
          <w:bCs/>
          <w:u w:val="single"/>
        </w:rPr>
        <w:t xml:space="preserve"> </w:t>
      </w:r>
      <w:r w:rsidRPr="003A21D0">
        <w:rPr>
          <w:b/>
          <w:bCs/>
          <w:highlight w:val="yellow"/>
          <w:u w:val="single"/>
        </w:rPr>
        <w:t>British East India Company violently colonized parts of India on behalf of the company, but</w:t>
      </w:r>
      <w:r w:rsidRPr="003A21D0">
        <w:rPr>
          <w:b/>
          <w:bCs/>
          <w:u w:val="single"/>
        </w:rPr>
        <w:t xml:space="preserve"> over time, </w:t>
      </w:r>
      <w:r w:rsidRPr="003A21D0">
        <w:rPr>
          <w:b/>
          <w:bCs/>
          <w:highlight w:val="yellow"/>
          <w:u w:val="single"/>
        </w:rPr>
        <w:t>ownership of the stolen land shifted to Great Britain.</w:t>
      </w:r>
      <w:r w:rsidRPr="003A21D0">
        <w:rPr>
          <w:b/>
          <w:bCs/>
          <w:u w:val="single"/>
        </w:rPr>
        <w:t xml:space="preserve"> While these risks feel a part of a far away future, in the present, </w:t>
      </w:r>
      <w:r w:rsidRPr="003A21D0">
        <w:rPr>
          <w:b/>
          <w:bCs/>
          <w:highlight w:val="yellow"/>
          <w:u w:val="single"/>
        </w:rPr>
        <w:t>idealizing colonization as a positive, replicable aspect of American</w:t>
      </w:r>
      <w:r w:rsidRPr="003A21D0">
        <w:rPr>
          <w:b/>
          <w:bCs/>
          <w:u w:val="single"/>
        </w:rPr>
        <w:t xml:space="preserve"> </w:t>
      </w:r>
      <w:r w:rsidRPr="003A21D0">
        <w:rPr>
          <w:b/>
          <w:bCs/>
          <w:highlight w:val="yellow"/>
          <w:u w:val="single"/>
        </w:rPr>
        <w:t>history speaks to an unsettling indifference from leaders about the violent history of colonization.</w:t>
      </w:r>
      <w:r w:rsidRPr="003A21D0">
        <w:rPr>
          <w:b/>
          <w:bCs/>
          <w:u w:val="single"/>
        </w:rPr>
        <w:t xml:space="preserve"> And </w:t>
      </w:r>
      <w:r w:rsidRPr="003A21D0">
        <w:rPr>
          <w:b/>
          <w:bCs/>
          <w:highlight w:val="yellow"/>
          <w:u w:val="single"/>
        </w:rPr>
        <w:t>by referencing historical events that victimized p</w:t>
      </w:r>
      <w:r w:rsidRPr="003A21D0">
        <w:rPr>
          <w:b/>
          <w:bCs/>
          <w:u w:val="single"/>
        </w:rPr>
        <w:t xml:space="preserve">eople </w:t>
      </w:r>
      <w:r w:rsidRPr="003A21D0">
        <w:rPr>
          <w:b/>
          <w:bCs/>
          <w:highlight w:val="yellow"/>
          <w:u w:val="single"/>
        </w:rPr>
        <w:t>o</w:t>
      </w:r>
      <w:r w:rsidRPr="003A21D0">
        <w:rPr>
          <w:b/>
          <w:bCs/>
          <w:u w:val="single"/>
        </w:rPr>
        <w:t xml:space="preserve">f </w:t>
      </w:r>
      <w:r w:rsidRPr="003A21D0">
        <w:rPr>
          <w:b/>
          <w:bCs/>
          <w:highlight w:val="yellow"/>
          <w:u w:val="single"/>
        </w:rPr>
        <w:t>c</w:t>
      </w:r>
      <w:r w:rsidRPr="003A21D0">
        <w:rPr>
          <w:b/>
          <w:bCs/>
          <w:u w:val="single"/>
        </w:rPr>
        <w:t>olor</w:t>
      </w:r>
      <w:r w:rsidRPr="003A21D0">
        <w:rPr>
          <w:b/>
          <w:bCs/>
          <w:highlight w:val="yellow"/>
          <w:u w:val="single"/>
        </w:rPr>
        <w:t>, leaders paint a vision of the future in which p</w:t>
      </w:r>
      <w:r w:rsidRPr="003A21D0">
        <w:rPr>
          <w:b/>
          <w:bCs/>
          <w:u w:val="single"/>
        </w:rPr>
        <w:t xml:space="preserve">eople </w:t>
      </w:r>
      <w:r w:rsidRPr="003A21D0">
        <w:rPr>
          <w:b/>
          <w:bCs/>
          <w:highlight w:val="yellow"/>
          <w:u w:val="single"/>
        </w:rPr>
        <w:t>o</w:t>
      </w:r>
      <w:r w:rsidRPr="003A21D0">
        <w:rPr>
          <w:b/>
          <w:bCs/>
          <w:u w:val="single"/>
        </w:rPr>
        <w:t xml:space="preserve">f </w:t>
      </w:r>
      <w:r w:rsidRPr="003A21D0">
        <w:rPr>
          <w:b/>
          <w:bCs/>
          <w:highlight w:val="yellow"/>
          <w:u w:val="single"/>
        </w:rPr>
        <w:t>c</w:t>
      </w:r>
      <w:r w:rsidRPr="003A21D0">
        <w:rPr>
          <w:b/>
          <w:bCs/>
          <w:u w:val="single"/>
        </w:rPr>
        <w:t>olor</w:t>
      </w:r>
      <w:r w:rsidRPr="003A21D0">
        <w:rPr>
          <w:b/>
          <w:bCs/>
          <w:highlight w:val="yellow"/>
          <w:u w:val="single"/>
        </w:rPr>
        <w:t xml:space="preserve"> continue to be excluded</w:t>
      </w:r>
      <w:r w:rsidRPr="003A21D0">
        <w:rPr>
          <w:b/>
          <w:bCs/>
          <w:u w:val="single"/>
        </w:rPr>
        <w:t>, Walkowicz said that the social and economic legacy of colonization is ignored</w:t>
      </w:r>
      <w:r w:rsidRPr="003A21D0">
        <w:rPr>
          <w:b/>
          <w:bCs/>
          <w:highlight w:val="yellow"/>
          <w:u w:val="single"/>
        </w:rPr>
        <w:t>.</w:t>
      </w:r>
      <w:r w:rsidRPr="003A21D0">
        <w:rPr>
          <w:b/>
          <w:bCs/>
          <w:u w:val="single"/>
        </w:rPr>
        <w:t xml:space="preserve"> </w:t>
      </w:r>
      <w:r w:rsidRPr="003A21D0">
        <w:rPr>
          <w:b/>
          <w:bCs/>
          <w:highlight w:val="yellow"/>
          <w:u w:val="single"/>
        </w:rPr>
        <w:t>By using narratives of adventurism and</w:t>
      </w:r>
      <w:r w:rsidRPr="003A21D0">
        <w:rPr>
          <w:b/>
          <w:bCs/>
          <w:u w:val="single"/>
        </w:rPr>
        <w:t xml:space="preserve"> </w:t>
      </w:r>
      <w:r w:rsidRPr="003A21D0">
        <w:rPr>
          <w:b/>
          <w:bCs/>
          <w:highlight w:val="yellow"/>
          <w:u w:val="single"/>
        </w:rPr>
        <w:t xml:space="preserve">heroics, white Americans were able to convince other white Americans that they were </w:t>
      </w:r>
      <w:r w:rsidRPr="003A21D0">
        <w:rPr>
          <w:b/>
          <w:bCs/>
          <w:u w:val="single"/>
        </w:rPr>
        <w:t xml:space="preserve">not only </w:t>
      </w:r>
      <w:r w:rsidRPr="003A21D0">
        <w:rPr>
          <w:b/>
          <w:bCs/>
          <w:highlight w:val="yellow"/>
          <w:u w:val="single"/>
        </w:rPr>
        <w:t xml:space="preserve">entitled to steal and conquest land and persons, </w:t>
      </w:r>
      <w:r w:rsidRPr="003A21D0">
        <w:rPr>
          <w:b/>
          <w:bCs/>
          <w:u w:val="single"/>
        </w:rPr>
        <w:t xml:space="preserve">but </w:t>
      </w:r>
      <w:r w:rsidRPr="003A21D0">
        <w:rPr>
          <w:b/>
          <w:bCs/>
          <w:highlight w:val="yellow"/>
          <w:u w:val="single"/>
        </w:rPr>
        <w:t>that it was their destiny.</w:t>
      </w:r>
      <w:r w:rsidRPr="003A21D0">
        <w:rPr>
          <w:b/>
          <w:bCs/>
          <w:u w:val="single"/>
        </w:rPr>
        <w:t xml:space="preserve"> Ralph said to The Outline that </w:t>
      </w:r>
      <w:r w:rsidRPr="003A21D0">
        <w:rPr>
          <w:b/>
          <w:bCs/>
          <w:highlight w:val="yellow"/>
          <w:u w:val="single"/>
        </w:rPr>
        <w:t xml:space="preserve">this mythology remains </w:t>
      </w:r>
      <w:r w:rsidRPr="003A21D0">
        <w:rPr>
          <w:b/>
          <w:bCs/>
          <w:u w:val="single"/>
        </w:rPr>
        <w:t>central to</w:t>
      </w:r>
      <w:r w:rsidRPr="003A21D0">
        <w:rPr>
          <w:b/>
          <w:bCs/>
          <w:highlight w:val="yellow"/>
          <w:u w:val="single"/>
        </w:rPr>
        <w:t xml:space="preserve"> the way Americans conceptualize their history and culture. “Colonization is portrayed as a heroic conquest</w:t>
      </w:r>
      <w:r w:rsidRPr="003A21D0">
        <w:rPr>
          <w:b/>
          <w:bCs/>
          <w:u w:val="single"/>
        </w:rPr>
        <w:t>,” Ralph said</w:t>
      </w:r>
      <w:r w:rsidRPr="003A21D0">
        <w:rPr>
          <w:b/>
          <w:bCs/>
          <w:highlight w:val="yellow"/>
          <w:u w:val="single"/>
        </w:rPr>
        <w:t>.</w:t>
      </w:r>
      <w:r w:rsidRPr="003A21D0">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Even when people aren’t</w:t>
      </w:r>
      <w:r w:rsidRPr="003A21D0">
        <w:rPr>
          <w:b/>
          <w:bCs/>
          <w:u w:val="single"/>
        </w:rPr>
        <w:t xml:space="preserve"> </w:t>
      </w:r>
      <w:r w:rsidRPr="003A21D0">
        <w:rPr>
          <w:b/>
          <w:bCs/>
          <w:highlight w:val="yellow"/>
          <w:u w:val="single"/>
        </w:rPr>
        <w:t>explicitly referring to settlements in space as “colonies,” they still use the rhetoric of colonizing</w:t>
      </w:r>
      <w:r w:rsidRPr="003A21D0">
        <w:rPr>
          <w:b/>
          <w:bCs/>
          <w:u w:val="single"/>
        </w:rPr>
        <w:t xml:space="preserve"> the New World and </w:t>
      </w:r>
      <w:r w:rsidRPr="003A21D0">
        <w:rPr>
          <w:b/>
          <w:bCs/>
          <w:highlight w:val="yellow"/>
          <w:u w:val="single"/>
        </w:rPr>
        <w:t>the American frontier, which erases the stories</w:t>
      </w:r>
      <w:r w:rsidRPr="003A21D0">
        <w:rPr>
          <w:b/>
          <w:bCs/>
          <w:u w:val="single"/>
        </w:rPr>
        <w:t xml:space="preserve"> of </w:t>
      </w:r>
      <w:r w:rsidRPr="003A21D0">
        <w:rPr>
          <w:b/>
          <w:bCs/>
          <w:highlight w:val="yellow"/>
          <w:u w:val="single"/>
        </w:rPr>
        <w:t xml:space="preserve">and violence against the people of color who lived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being used in </w:t>
      </w:r>
      <w:r w:rsidRPr="003A21D0">
        <w:rPr>
          <w:b/>
          <w:bCs/>
          <w:u w:val="single"/>
        </w:rPr>
        <w:lastRenderedPageBreak/>
        <w:t xml:space="preserve">the first place? Presidents have also used frontierism and colonialism to get white citizens behind their agenda. </w:t>
      </w:r>
      <w:r w:rsidRPr="00744419">
        <w:rPr>
          <w:b/>
          <w:bCs/>
          <w:u w:val="single"/>
        </w:rPr>
        <w:t>When</w:t>
      </w:r>
      <w:r w:rsidRPr="003A21D0">
        <w:rPr>
          <w:b/>
          <w:bCs/>
          <w:u w:val="single"/>
        </w:rPr>
        <w:t xml:space="preserve"> President </w:t>
      </w:r>
      <w:r w:rsidRPr="00D412C4">
        <w:rPr>
          <w:b/>
          <w:bCs/>
          <w:u w:val="single"/>
        </w:rPr>
        <w:t>John F. Kennedy announced his intention to bring Americans to the Moon in 1962, he paraphrased one of the earliest colonists on the North American continent.</w:t>
      </w:r>
      <w:r w:rsidRPr="00D412C4">
        <w:rPr>
          <w:sz w:val="16"/>
        </w:rPr>
        <w:t xml:space="preserve"> “</w:t>
      </w:r>
      <w:r w:rsidRPr="003A21D0">
        <w:rPr>
          <w:sz w:val="16"/>
        </w:rPr>
        <w:t xml:space="preserve">William Bradford, speaking in 1630 of the founding of the Plymouth Bay Colony, said that all great and honorable actions are accompanied with great difficulties, and both must be enterprised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therof to God,” Bradford wrote, “who had wrought so wonderfully for them, thus to inclose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The Moon is the next version of the New World</w:t>
      </w:r>
      <w:r w:rsidRPr="003A21D0">
        <w:rPr>
          <w:b/>
          <w:bCs/>
          <w:u w:val="single"/>
        </w:rPr>
        <w:t>, the next frontier for American conquest</w:t>
      </w:r>
      <w:r w:rsidRPr="003A21D0">
        <w:rPr>
          <w:b/>
          <w:bCs/>
          <w:highlight w:val="yellow"/>
          <w:u w:val="single"/>
        </w:rPr>
        <w:t>.</w:t>
      </w:r>
      <w:r w:rsidRPr="003A21D0">
        <w:rPr>
          <w:sz w:val="16"/>
        </w:rPr>
        <w:t xml:space="preserve"> In his speech, Kennedy continues that men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actually function. Arthur C. Clarke envisioned that “colonial” would be a dirty word in space in his 1954 book Earthflight: “And to do [enter Solar politics], one had to go to Earth; as in the days of the Caesars, there was no alternative. Those who believed otherwise or pretended to — risked being tagged with the dreaded word colonial.’” For Clarke, </w:t>
      </w:r>
      <w:r w:rsidRPr="007D0F73">
        <w:rPr>
          <w:b/>
          <w:bCs/>
          <w:highlight w:val="yellow"/>
          <w:u w:val="single"/>
        </w:rPr>
        <w:t>colonialism was equated with privilege in a space society</w:t>
      </w:r>
      <w:r w:rsidRPr="007D0F73">
        <w:rPr>
          <w:b/>
          <w:bCs/>
          <w:u w:val="single"/>
        </w:rPr>
        <w:t>,</w:t>
      </w:r>
      <w:r w:rsidRPr="003A21D0">
        <w:rPr>
          <w:sz w:val="16"/>
        </w:rPr>
        <w:t xml:space="preserve"> not because of racism and violence on Earth</w:t>
      </w:r>
      <w:r w:rsidRPr="007D0F73">
        <w:rPr>
          <w:b/>
          <w:bCs/>
          <w:highlight w:val="yellow"/>
          <w:u w:val="single"/>
        </w:rPr>
        <w:t>.</w:t>
      </w:r>
      <w:r w:rsidRPr="007D0F73">
        <w:t xml:space="preserve"> </w:t>
      </w:r>
      <w:r w:rsidRPr="003A21D0">
        <w:rPr>
          <w:sz w:val="16"/>
        </w:rPr>
        <w:t xml:space="preserve">Later in the novel, Clarke doesn’t hesitate to compare travelling between </w:t>
      </w:r>
      <w:r w:rsidRPr="003A21D0">
        <w:rPr>
          <w:sz w:val="16"/>
        </w:rPr>
        <w:lastRenderedPageBreak/>
        <w:t>planets, and the nobility of doing so, with British colonizers travelling between continents in earlier centuries. Adilifu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neighbourhoods and black folks having access to better, more upscale neighbourhoods,” Nama said. “So there is also this invasion society around racial purity, and the tensions of science fiction can be read not only as Cold War anxieties, but racial anxieties about the other.”</w:t>
      </w:r>
    </w:p>
    <w:p w14:paraId="2808A39B" w14:textId="77777777" w:rsidR="00383D4F" w:rsidRPr="00631D53" w:rsidRDefault="00383D4F" w:rsidP="00383D4F">
      <w:pPr>
        <w:pStyle w:val="Heading2"/>
        <w:spacing w:line="480" w:lineRule="auto"/>
        <w:ind w:right="-720"/>
        <w:rPr>
          <w:u w:val="none"/>
        </w:rPr>
      </w:pPr>
      <w:r>
        <w:rPr>
          <w:u w:val="single"/>
        </w:rPr>
        <w:lastRenderedPageBreak/>
        <w:t>Thus</w:t>
      </w:r>
      <w:r>
        <w:rPr>
          <w:u w:val="none"/>
        </w:rPr>
        <w:t>:</w:t>
      </w:r>
    </w:p>
    <w:p w14:paraId="6E7938A3" w14:textId="77777777" w:rsidR="00383D4F" w:rsidRDefault="00383D4F" w:rsidP="00383D4F">
      <w:pPr>
        <w:pStyle w:val="Heading4"/>
        <w:spacing w:line="480" w:lineRule="auto"/>
        <w:ind w:right="-720"/>
        <w:rPr>
          <w:rFonts w:cs="Times New Roman"/>
        </w:rPr>
      </w:pPr>
      <w:r>
        <w:t xml:space="preserve">[Flowers 1] </w:t>
      </w:r>
      <w:r w:rsidRPr="00095D60">
        <w:rPr>
          <w:rFonts w:cs="Times New Roman"/>
        </w:rPr>
        <w:t>I affirm the statement, “</w:t>
      </w:r>
      <w:r>
        <w:t>the appropriation of outer space by private entities is unjust</w:t>
      </w:r>
      <w:r w:rsidRPr="00095D60">
        <w:rPr>
          <w:rFonts w:cs="Times New Roman"/>
        </w:rPr>
        <w:t>,” as a performative act of</w:t>
      </w:r>
      <w:r>
        <w:rPr>
          <w:rFonts w:cs="Times New Roman"/>
        </w:rPr>
        <w:t xml:space="preserve"> Indigenous refusal politics through settler opposition to violence against Indigenous people. This directly rejects private entities’ actions while respecting Indigenous protest movements. </w:t>
      </w:r>
    </w:p>
    <w:p w14:paraId="3B7EC26C" w14:textId="77777777" w:rsidR="00383D4F" w:rsidRPr="00C21FDD" w:rsidRDefault="00383D4F" w:rsidP="00383D4F"/>
    <w:p w14:paraId="08F570CB" w14:textId="77777777" w:rsidR="00383D4F" w:rsidRPr="00C21FDD" w:rsidRDefault="00383D4F" w:rsidP="00383D4F">
      <w:pPr>
        <w:ind w:right="-720"/>
        <w:rPr>
          <w:sz w:val="16"/>
          <w:szCs w:val="16"/>
        </w:rPr>
      </w:pPr>
      <w:r>
        <w:rPr>
          <w:b/>
          <w:u w:val="single"/>
        </w:rPr>
        <w:t>Indigenous woman Rachel Flowers 1</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4AF4E121" w14:textId="77777777" w:rsidR="00383D4F" w:rsidRPr="00F40409" w:rsidRDefault="00383D4F" w:rsidP="00383D4F">
      <w:pPr>
        <w:spacing w:before="100" w:beforeAutospacing="1" w:after="100" w:afterAutospacing="1" w:line="480" w:lineRule="auto"/>
        <w:ind w:right="-720"/>
        <w:jc w:val="both"/>
        <w:rPr>
          <w:rFonts w:ascii="TimesNewRomanPSMT" w:eastAsia="Times New Roman" w:hAnsi="TimesNewRomanPSMT" w:cs="TimesNewRomanPSMT"/>
          <w:sz w:val="16"/>
        </w:rPr>
      </w:pPr>
      <w:r w:rsidRPr="001B2511">
        <w:rPr>
          <w:rFonts w:ascii="TimesNewRomanPSMT" w:eastAsia="Times New Roman" w:hAnsi="TimesNewRomanPSMT" w:cs="TimesNewRomanPSMT"/>
          <w:b/>
          <w:u w:val="single"/>
        </w:rPr>
        <w:t xml:space="preserve">In our struggles of freedom </w:t>
      </w:r>
      <w:r w:rsidRPr="00256BBF">
        <w:rPr>
          <w:rFonts w:ascii="TimesNewRomanPSMT" w:eastAsia="Times New Roman" w:hAnsi="TimesNewRomanPSMT" w:cs="TimesNewRomanPSMT"/>
          <w:b/>
          <w:highlight w:val="yellow"/>
          <w:u w:val="single"/>
        </w:rPr>
        <w:t>it</w:t>
      </w:r>
      <w:r w:rsidRPr="00F40409">
        <w:rPr>
          <w:sz w:val="16"/>
        </w:rPr>
        <w:t xml:space="preserve"> i</w:t>
      </w:r>
      <w:r w:rsidRPr="00256BBF">
        <w:rPr>
          <w:rFonts w:ascii="TimesNewRomanPSMT" w:eastAsia="Times New Roman" w:hAnsi="TimesNewRomanPSMT" w:cs="TimesNewRomanPSMT"/>
          <w:b/>
          <w:highlight w:val="yellow"/>
          <w:u w:val="single"/>
        </w:rPr>
        <w:t xml:space="preserve">s essential that we maintain a treaty-like relationship wherein Indigenous peoples and settlers are </w:t>
      </w:r>
      <w:r w:rsidRPr="001B2511">
        <w:rPr>
          <w:rStyle w:val="Emphasis"/>
          <w:highlight w:val="yellow"/>
        </w:rPr>
        <w:t>linked together</w:t>
      </w:r>
      <w:r w:rsidRPr="00256BBF">
        <w:rPr>
          <w:rFonts w:ascii="TimesNewRomanPSMT" w:eastAsia="Times New Roman" w:hAnsi="TimesNewRomanPSMT" w:cs="TimesNewRomanPSMT"/>
          <w:b/>
          <w:highlight w:val="yellow"/>
          <w:u w:val="single"/>
        </w:rPr>
        <w:t xml:space="preserve"> but neither interferes in the matters of the other. When the state interferes in our business,</w:t>
      </w:r>
      <w:r w:rsidRPr="001B2511">
        <w:rPr>
          <w:rFonts w:ascii="TimesNewRomanPSMT" w:eastAsia="Times New Roman" w:hAnsi="TimesNewRomanPSMT" w:cs="TimesNewRomanPSMT"/>
          <w:b/>
          <w:u w:val="single"/>
        </w:rPr>
        <w:t xml:space="preserve"> then </w:t>
      </w:r>
      <w:r w:rsidRPr="00256BBF">
        <w:rPr>
          <w:rFonts w:ascii="TimesNewRomanPSMT" w:eastAsia="Times New Roman" w:hAnsi="TimesNewRomanPSMT" w:cs="TimesNewRomanPSMT"/>
          <w:b/>
          <w:highlight w:val="yellow"/>
          <w:u w:val="single"/>
        </w:rPr>
        <w:t>it</w:t>
      </w:r>
      <w:r w:rsidRPr="00F40409">
        <w:rPr>
          <w:sz w:val="16"/>
        </w:rPr>
        <w:t xml:space="preserve"> i</w:t>
      </w:r>
      <w:r w:rsidRPr="00256BBF">
        <w:rPr>
          <w:rFonts w:ascii="TimesNewRomanPSMT" w:eastAsia="Times New Roman" w:hAnsi="TimesNewRomanPSMT" w:cs="TimesNewRomanPSMT"/>
          <w:b/>
          <w:highlight w:val="yellow"/>
          <w:u w:val="single"/>
        </w:rPr>
        <w:t>s the obligation of settler</w:t>
      </w:r>
      <w:r w:rsidRPr="00F40409">
        <w:rPr>
          <w:sz w:val="16"/>
        </w:rPr>
        <w:t xml:space="preserve"> subject</w:t>
      </w:r>
      <w:r w:rsidRPr="00256BBF">
        <w:rPr>
          <w:rFonts w:ascii="TimesNewRomanPSMT" w:eastAsia="Times New Roman" w:hAnsi="TimesNewRomanPSMT" w:cs="TimesNewRomanPSMT"/>
          <w:b/>
          <w:highlight w:val="yellow"/>
          <w:u w:val="single"/>
        </w:rPr>
        <w:t>s to oppose</w:t>
      </w:r>
      <w:r w:rsidRPr="001B2511">
        <w:rPr>
          <w:rFonts w:ascii="TimesNewRomanPSMT" w:eastAsia="Times New Roman" w:hAnsi="TimesNewRomanPSMT" w:cs="TimesNewRomanPSMT"/>
          <w:b/>
          <w:u w:val="single"/>
        </w:rPr>
        <w:t xml:space="preserve"> the misconduct of </w:t>
      </w:r>
      <w:r w:rsidRPr="00256BBF">
        <w:rPr>
          <w:rFonts w:ascii="TimesNewRomanPSMT" w:eastAsia="Times New Roman" w:hAnsi="TimesNewRomanPSMT" w:cs="TimesNewRomanPSMT"/>
          <w:b/>
          <w:highlight w:val="yellow"/>
          <w:u w:val="single"/>
        </w:rPr>
        <w:t>their government.</w:t>
      </w:r>
      <w:r w:rsidRPr="00256BBF">
        <w:rPr>
          <w:rFonts w:ascii="TimesNewRomanPSMT" w:eastAsia="Times New Roman" w:hAnsi="TimesNewRomanPSMT" w:cs="TimesNewRomanPSMT"/>
          <w:b/>
          <w:u w:val="single"/>
        </w:rPr>
        <w:t xml:space="preserve"> Not for </w:t>
      </w:r>
      <w:r w:rsidRPr="00256BBF">
        <w:rPr>
          <w:rFonts w:ascii="TimesNewRomanPS" w:eastAsia="Times New Roman" w:hAnsi="TimesNewRomanPS"/>
          <w:b/>
          <w:i/>
          <w:iCs/>
          <w:u w:val="single"/>
        </w:rPr>
        <w:t xml:space="preserve">our </w:t>
      </w:r>
      <w:r w:rsidRPr="00256BBF">
        <w:rPr>
          <w:rFonts w:ascii="TimesNewRomanPSMT" w:eastAsia="Times New Roman" w:hAnsi="TimesNewRomanPSMT" w:cs="TimesNewRomanPSMT"/>
          <w:b/>
          <w:u w:val="single"/>
        </w:rPr>
        <w:t xml:space="preserve">benefit, but because that is what it means to live lawfully in a treaty relationship. </w:t>
      </w:r>
      <w:r w:rsidRPr="00F72B2A">
        <w:rPr>
          <w:rFonts w:ascii="TimesNewRomanPSMT" w:eastAsia="Times New Roman" w:hAnsi="TimesNewRomanPSMT" w:cs="TimesNewRomanPSMT"/>
          <w:b/>
          <w:u w:val="single"/>
        </w:rPr>
        <w:t xml:space="preserve">In this way, </w:t>
      </w:r>
      <w:r w:rsidRPr="00256BBF">
        <w:rPr>
          <w:rFonts w:ascii="TimesNewRomanPSMT" w:eastAsia="Times New Roman" w:hAnsi="TimesNewRomanPSMT" w:cs="TimesNewRomanPSMT"/>
          <w:b/>
          <w:highlight w:val="yellow"/>
          <w:u w:val="single"/>
        </w:rPr>
        <w:t>settlers are n</w:t>
      </w:r>
      <w:r w:rsidRPr="00F40409">
        <w:rPr>
          <w:sz w:val="16"/>
        </w:rPr>
        <w:t>o</w:t>
      </w:r>
      <w:r w:rsidRPr="00256BBF">
        <w:rPr>
          <w:rFonts w:ascii="TimesNewRomanPSMT" w:eastAsia="Times New Roman" w:hAnsi="TimesNewRomanPSMT" w:cs="TimesNewRomanPSMT"/>
          <w:b/>
          <w:highlight w:val="yellow"/>
          <w:u w:val="single"/>
        </w:rPr>
        <w:t>t obliged to “co-resist” with Indigenous peoples, but</w:t>
      </w:r>
      <w:r w:rsidRPr="001B2511">
        <w:rPr>
          <w:rFonts w:ascii="TimesNewRomanPSMT" w:eastAsia="Times New Roman" w:hAnsi="TimesNewRomanPSMT" w:cs="TimesNewRomanPSMT"/>
          <w:b/>
          <w:u w:val="single"/>
        </w:rPr>
        <w:t xml:space="preserve"> rather, </w:t>
      </w:r>
      <w:r w:rsidRPr="00256BBF">
        <w:rPr>
          <w:rFonts w:ascii="TimesNewRomanPSMT" w:eastAsia="Times New Roman" w:hAnsi="TimesNewRomanPSMT" w:cs="TimesNewRomanPSMT"/>
          <w:b/>
          <w:highlight w:val="yellow"/>
          <w:u w:val="single"/>
        </w:rPr>
        <w:t>to uphold</w:t>
      </w:r>
      <w:r w:rsidRPr="00F72B2A">
        <w:rPr>
          <w:rFonts w:ascii="TimesNewRomanPSMT" w:eastAsia="Times New Roman" w:hAnsi="TimesNewRomanPSMT" w:cs="TimesNewRomanPSMT"/>
          <w:b/>
          <w:u w:val="single"/>
        </w:rPr>
        <w:t xml:space="preserve"> the integrity of </w:t>
      </w:r>
      <w:r w:rsidRPr="00256BBF">
        <w:rPr>
          <w:rFonts w:ascii="TimesNewRomanPSMT" w:eastAsia="Times New Roman" w:hAnsi="TimesNewRomanPSMT" w:cs="TimesNewRomanPSMT"/>
          <w:b/>
          <w:highlight w:val="yellow"/>
          <w:u w:val="single"/>
        </w:rPr>
        <w:t>a nation-to-nation relationship. Until the settler can imagine alternatives to relations of domination-subordination</w:t>
      </w:r>
      <w:r w:rsidRPr="00C03ED3">
        <w:rPr>
          <w:rFonts w:ascii="TimesNewRomanPSMT" w:eastAsia="Times New Roman" w:hAnsi="TimesNewRomanPSMT" w:cs="TimesNewRomanPSMT"/>
          <w:b/>
          <w:u w:val="single"/>
        </w:rPr>
        <w:t xml:space="preserve"> framed as “co- existence”</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put those changes into practice and sustain them, </w:t>
      </w:r>
      <w:r w:rsidRPr="00256BBF">
        <w:rPr>
          <w:rFonts w:ascii="TimesNewRomanPSMT" w:eastAsia="Times New Roman" w:hAnsi="TimesNewRomanPSMT" w:cs="TimesNewRomanPSMT"/>
          <w:b/>
          <w:highlight w:val="yellow"/>
          <w:u w:val="single"/>
        </w:rPr>
        <w:t>Indigenous peoples need not entertain</w:t>
      </w:r>
      <w:r w:rsidRPr="00256BBF">
        <w:rPr>
          <w:rFonts w:ascii="TimesNewRomanPSMT" w:eastAsia="Times New Roman" w:hAnsi="TimesNewRomanPSMT" w:cs="TimesNewRomanPSMT"/>
          <w:b/>
          <w:u w:val="single"/>
        </w:rPr>
        <w:t xml:space="preserve"> their </w:t>
      </w:r>
      <w:r w:rsidRPr="00256BBF">
        <w:rPr>
          <w:rFonts w:ascii="TimesNewRomanPSMT" w:eastAsia="Times New Roman" w:hAnsi="TimesNewRomanPSMT" w:cs="TimesNewRomanPSMT"/>
          <w:b/>
          <w:highlight w:val="yellow"/>
          <w:u w:val="single"/>
        </w:rPr>
        <w:t>fantasies</w:t>
      </w:r>
      <w:r w:rsidRPr="00256BBF">
        <w:rPr>
          <w:rFonts w:ascii="TimesNewRomanPSMT" w:eastAsia="Times New Roman" w:hAnsi="TimesNewRomanPSMT" w:cs="TimesNewRomanPSMT"/>
          <w:b/>
          <w:u w:val="single"/>
        </w:rPr>
        <w:t xml:space="preserve"> or sympathies</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w:t>
      </w:r>
      <w:r w:rsidRPr="00F40409">
        <w:rPr>
          <w:rFonts w:ascii="TimesNewRomanPSMT" w:eastAsia="Times New Roman" w:hAnsi="TimesNewRomanPSMT" w:cs="TimesNewRomanPSMT"/>
          <w:sz w:val="16"/>
        </w:rPr>
        <w:t xml:space="preserve">Are settlers willing to relinquish their privilege? Certainly some settlers oppose their own government and its colonial policy because they can recognize it as such. The politics of recognition is predominantly attentive to the desire of the master (colonizer) to gain recognition as an essential “being-for-itself” but is only recognized by the dependent and unessential consciousness of the slave (colonized), which isn’t really recognition at all (Coulthard, 2014). As Coulthard (2014) notes, in settler colonial contexts such as Canada, the state (master) does not need or desire the recognition of the colonized (slave) but rather our lands, resources, and labor (p. 39). How does this understanding of the politics of recognition shift if we conceive of settlers as colonial subjects who do desire recognition by the colonized? </w:t>
      </w:r>
    </w:p>
    <w:p w14:paraId="2F6D9079" w14:textId="77777777" w:rsidR="00383D4F" w:rsidRDefault="00383D4F" w:rsidP="00383D4F">
      <w:pPr>
        <w:spacing w:line="480" w:lineRule="auto"/>
        <w:ind w:right="-720"/>
        <w:rPr>
          <w:rStyle w:val="StyleUnderline"/>
          <w:u w:val="none"/>
        </w:rPr>
      </w:pPr>
      <w:r w:rsidRPr="001B2511">
        <w:rPr>
          <w:rStyle w:val="StyleUnderline"/>
          <w:highlight w:val="yellow"/>
        </w:rPr>
        <w:t>She adds</w:t>
      </w:r>
      <w:r w:rsidRPr="001B2511">
        <w:rPr>
          <w:rStyle w:val="StyleUnderline"/>
          <w:highlight w:val="yellow"/>
          <w:u w:val="none"/>
        </w:rPr>
        <w:t>:</w:t>
      </w:r>
    </w:p>
    <w:p w14:paraId="194C3180" w14:textId="77777777" w:rsidR="00383D4F" w:rsidRDefault="00383D4F" w:rsidP="00383D4F">
      <w:pPr>
        <w:spacing w:line="480" w:lineRule="auto"/>
        <w:ind w:right="-720"/>
        <w:jc w:val="both"/>
        <w:rPr>
          <w:rStyle w:val="StyleUnderline"/>
        </w:rPr>
      </w:pPr>
      <w:r w:rsidRPr="00AE1127">
        <w:rPr>
          <w:rFonts w:ascii="TimesNewRomanPSMT" w:eastAsia="Times New Roman" w:hAnsi="TimesNewRomanPSMT" w:cs="TimesNewRomanPSMT"/>
          <w:sz w:val="16"/>
        </w:rPr>
        <w:lastRenderedPageBreak/>
        <w:t xml:space="preserve">As Fanon (1968) would have it, There is no conciliation possible [between the native world and the colonial world], one of them is superfluous... To dislocate the colonial world does not mean that once the borders have been eliminated there will be a right of way between the two sectors. </w:t>
      </w:r>
      <w:r w:rsidRPr="00256BBF">
        <w:rPr>
          <w:rFonts w:ascii="TimesNewRomanPSMT" w:eastAsia="Times New Roman" w:hAnsi="TimesNewRomanPSMT" w:cs="TimesNewRomanPSMT"/>
          <w:b/>
          <w:highlight w:val="yellow"/>
          <w:u w:val="single"/>
        </w:rPr>
        <w:t xml:space="preserve">To destroy the colonial world means nothing less than </w:t>
      </w:r>
      <w:r w:rsidRPr="00FE6B37">
        <w:rPr>
          <w:rStyle w:val="Emphasis"/>
          <w:highlight w:val="yellow"/>
        </w:rPr>
        <w:t>demolishing the colonist’s sector</w:t>
      </w:r>
      <w:r w:rsidRPr="00256BBF">
        <w:rPr>
          <w:rFonts w:ascii="TimesNewRomanPSMT" w:eastAsia="Times New Roman" w:hAnsi="TimesNewRomanPSMT" w:cs="TimesNewRomanPSMT"/>
          <w:b/>
          <w:u w:val="single"/>
        </w:rPr>
        <w:t xml:space="preserve">, </w:t>
      </w:r>
      <w:r w:rsidRPr="00F72B2A">
        <w:rPr>
          <w:rFonts w:ascii="TimesNewRomanPSMT" w:eastAsia="Times New Roman" w:hAnsi="TimesNewRomanPSMT" w:cs="TimesNewRomanPSMT"/>
          <w:b/>
          <w:u w:val="single"/>
        </w:rPr>
        <w:t>burying it deep within the earth or banishing it from the territory (pp. 4-6).</w:t>
      </w:r>
      <w:r w:rsidRPr="00AE1127">
        <w:rPr>
          <w:rStyle w:val="StyleUnderline"/>
          <w:sz w:val="16"/>
          <w:u w:val="none"/>
        </w:rPr>
        <w:t xml:space="preserve"> </w:t>
      </w:r>
      <w:r w:rsidRPr="00AE1127">
        <w:rPr>
          <w:rStyle w:val="StyleUnderline"/>
          <w:b w:val="0"/>
          <w:sz w:val="16"/>
          <w:u w:val="none"/>
        </w:rPr>
        <w:t xml:space="preserve">All this is to say that, </w:t>
      </w:r>
      <w:r w:rsidRPr="00F72B2A">
        <w:rPr>
          <w:rStyle w:val="StyleUnderline"/>
        </w:rPr>
        <w:t>through an analysis of power relations and their historical formation, the “conditions that are necessary to transform some or to abolish others” are revealed and open a field of possibilities for struggle and strategies of resistance (Foucault, 1982, p. 343</w:t>
      </w:r>
      <w:r w:rsidRPr="001B2511">
        <w:rPr>
          <w:rStyle w:val="StyleUnderline"/>
        </w:rPr>
        <w:t>)</w:t>
      </w:r>
      <w:r w:rsidRPr="001B2511">
        <w:rPr>
          <w:rStyle w:val="StyleUnderline"/>
          <w:highlight w:val="yellow"/>
        </w:rPr>
        <w:t>. This</w:t>
      </w:r>
      <w:r w:rsidRPr="00AE1127">
        <w:rPr>
          <w:sz w:val="16"/>
        </w:rPr>
        <w:t xml:space="preserve"> resistance </w:t>
      </w:r>
      <w:r w:rsidRPr="00F72B2A">
        <w:rPr>
          <w:rStyle w:val="StyleUnderline"/>
          <w:highlight w:val="yellow"/>
        </w:rPr>
        <w:t>is</w:t>
      </w:r>
      <w:r w:rsidRPr="00AE1127">
        <w:rPr>
          <w:sz w:val="16"/>
        </w:rPr>
        <w:t xml:space="preserve"> not only </w:t>
      </w:r>
      <w:r w:rsidRPr="00F72B2A">
        <w:rPr>
          <w:rStyle w:val="StyleUnderline"/>
          <w:highlight w:val="yellow"/>
        </w:rPr>
        <w:t>about refusing</w:t>
      </w:r>
      <w:r w:rsidRPr="00AE1127">
        <w:rPr>
          <w:rStyle w:val="StyleUnderline"/>
          <w:sz w:val="16"/>
          <w:u w:val="none"/>
        </w:rPr>
        <w:t xml:space="preserve"> </w:t>
      </w:r>
      <w:r w:rsidRPr="00AE1127">
        <w:rPr>
          <w:sz w:val="16"/>
        </w:rPr>
        <w:t>or disobeying unjust law or power; it also concerns an unwillingness</w:t>
      </w:r>
      <w:r w:rsidRPr="00AE1127">
        <w:rPr>
          <w:rStyle w:val="StyleUnderline"/>
          <w:sz w:val="16"/>
          <w:u w:val="none"/>
        </w:rPr>
        <w:t xml:space="preserve"> </w:t>
      </w:r>
      <w:r w:rsidRPr="001B2511">
        <w:rPr>
          <w:rStyle w:val="StyleUnderline"/>
          <w:highlight w:val="yellow"/>
        </w:rPr>
        <w:t>to</w:t>
      </w:r>
      <w:r w:rsidRPr="001B2511">
        <w:rPr>
          <w:rStyle w:val="StyleUnderline"/>
        </w:rPr>
        <w:t xml:space="preserve"> give </w:t>
      </w:r>
      <w:r w:rsidRPr="001B2511">
        <w:rPr>
          <w:rStyle w:val="StyleUnderline"/>
          <w:highlight w:val="yellow"/>
        </w:rPr>
        <w:t>assist</w:t>
      </w:r>
      <w:r w:rsidRPr="00AE1127">
        <w:rPr>
          <w:sz w:val="16"/>
        </w:rPr>
        <w:t xml:space="preserve">ance to those </w:t>
      </w:r>
      <w:r w:rsidRPr="001B2511">
        <w:rPr>
          <w:rStyle w:val="StyleUnderline"/>
          <w:highlight w:val="yellow"/>
        </w:rPr>
        <w:t>individuals who administer</w:t>
      </w:r>
      <w:r w:rsidRPr="001B2511">
        <w:rPr>
          <w:rStyle w:val="StyleUnderline"/>
        </w:rPr>
        <w:t xml:space="preserve"> such laws or </w:t>
      </w:r>
      <w:r w:rsidRPr="001B2511">
        <w:rPr>
          <w:rStyle w:val="StyleUnderline"/>
          <w:highlight w:val="yellow"/>
        </w:rPr>
        <w:t>the regime</w:t>
      </w:r>
      <w:r w:rsidRPr="00AE1127">
        <w:rPr>
          <w:sz w:val="16"/>
        </w:rPr>
        <w:t xml:space="preserve"> (of knowledge or power) itself: “To will this change is at the same time not to be willing to bear or reproduce the present</w:t>
      </w:r>
      <w:r w:rsidRPr="00F72B2A">
        <w:rPr>
          <w:rStyle w:val="StyleUnderline"/>
        </w:rPr>
        <w:t>; the project of willing thus began with, but exceeds, negation: to oppose the old directives is to will what follows” (Ahmed, 2014, p. 141</w:t>
      </w:r>
      <w:r w:rsidRPr="001B2511">
        <w:rPr>
          <w:rStyle w:val="StyleUnderline"/>
        </w:rPr>
        <w:t>)</w:t>
      </w:r>
      <w:r w:rsidRPr="008E7CDD">
        <w:rPr>
          <w:rStyle w:val="StyleUnderline"/>
          <w:highlight w:val="yellow"/>
        </w:rPr>
        <w:t>. For Indigenous peoples’ struggles, the unified “no” is</w:t>
      </w:r>
      <w:r w:rsidRPr="00F72B2A">
        <w:rPr>
          <w:rStyle w:val="StyleUnderline"/>
        </w:rPr>
        <w:t xml:space="preserve"> also </w:t>
      </w:r>
      <w:r w:rsidRPr="008E7CDD">
        <w:rPr>
          <w:rStyle w:val="StyleUnderline"/>
          <w:highlight w:val="yellow"/>
        </w:rPr>
        <w:t>a</w:t>
      </w:r>
      <w:r w:rsidRPr="00F72B2A">
        <w:rPr>
          <w:rStyle w:val="StyleUnderline"/>
        </w:rPr>
        <w:t xml:space="preserve"> resounding </w:t>
      </w:r>
      <w:r w:rsidRPr="008E7CDD">
        <w:rPr>
          <w:rStyle w:val="StyleUnderline"/>
          <w:highlight w:val="yellow"/>
        </w:rPr>
        <w:t>“yes” to something different</w:t>
      </w:r>
      <w:r w:rsidRPr="001B2511">
        <w:rPr>
          <w:rStyle w:val="StyleUnderline"/>
        </w:rPr>
        <w:t xml:space="preserve">, yes </w:t>
      </w:r>
      <w:r w:rsidRPr="00F72B2A">
        <w:rPr>
          <w:rStyle w:val="StyleUnderline"/>
        </w:rPr>
        <w:t xml:space="preserve">to </w:t>
      </w:r>
      <w:r w:rsidRPr="008E7CDD">
        <w:rPr>
          <w:rStyle w:val="StyleUnderline"/>
          <w:highlight w:val="yellow"/>
        </w:rPr>
        <w:t>a reality</w:t>
      </w:r>
      <w:r w:rsidRPr="00AE1127">
        <w:rPr>
          <w:sz w:val="16"/>
        </w:rPr>
        <w:t xml:space="preserve"> “to come”. Any conciliation possible is displaced into the future and is </w:t>
      </w:r>
      <w:r w:rsidRPr="008E7CDD">
        <w:rPr>
          <w:rStyle w:val="StyleUnderline"/>
          <w:highlight w:val="yellow"/>
        </w:rPr>
        <w:t>contingent on the progress of anticolonial struggle.</w:t>
      </w:r>
    </w:p>
    <w:p w14:paraId="1B13B02D" w14:textId="77777777" w:rsidR="00383D4F" w:rsidRDefault="00383D4F" w:rsidP="00383D4F">
      <w:pPr>
        <w:spacing w:line="480" w:lineRule="auto"/>
        <w:ind w:right="-720"/>
        <w:rPr>
          <w:rStyle w:val="StyleUnderline"/>
          <w:b w:val="0"/>
          <w:u w:val="none"/>
        </w:rPr>
      </w:pPr>
    </w:p>
    <w:p w14:paraId="5D5A7C6C" w14:textId="77777777" w:rsidR="00383D4F" w:rsidRPr="002A6BC9" w:rsidRDefault="00383D4F" w:rsidP="00383D4F">
      <w:pPr>
        <w:spacing w:line="480" w:lineRule="auto"/>
        <w:ind w:right="-720"/>
        <w:rPr>
          <w:rStyle w:val="StyleUnderline"/>
          <w:u w:val="none"/>
        </w:rPr>
      </w:pPr>
      <w:r>
        <w:rPr>
          <w:rStyle w:val="StyleUnderline"/>
          <w:u w:val="none"/>
        </w:rPr>
        <w:t>To clarify, the aff is a performative form of settler solidarity – it doesn’t commodify the ballot, but communicates an Indigenous message. Voting aff means LISTENING TO AND SPREADING Indigenous scholarship – it endorses Flowers’s method of rupturing colonial oppression, and puts Indigenous people in the driver’s seat.</w:t>
      </w:r>
    </w:p>
    <w:p w14:paraId="73641F69" w14:textId="77777777" w:rsidR="00383D4F" w:rsidRPr="00631D53" w:rsidRDefault="00383D4F" w:rsidP="00383D4F">
      <w:pPr>
        <w:pStyle w:val="Heading2"/>
        <w:spacing w:line="480" w:lineRule="auto"/>
        <w:ind w:right="-720"/>
        <w:rPr>
          <w:u w:val="single"/>
        </w:rPr>
      </w:pPr>
      <w:r>
        <w:rPr>
          <w:u w:val="single"/>
        </w:rPr>
        <w:lastRenderedPageBreak/>
        <w:t>Part 3: New Relations</w:t>
      </w:r>
    </w:p>
    <w:p w14:paraId="6315F9BA" w14:textId="77777777" w:rsidR="00383D4F" w:rsidRPr="004C70A4" w:rsidRDefault="00383D4F" w:rsidP="00383D4F">
      <w:pPr>
        <w:pStyle w:val="Heading4"/>
        <w:spacing w:line="480" w:lineRule="auto"/>
        <w:ind w:right="-720"/>
        <w:rPr>
          <w:b w:val="0"/>
        </w:rPr>
      </w:pPr>
      <w:r>
        <w:t xml:space="preserve">[Flowers 2] </w:t>
      </w:r>
      <w:r>
        <w:rPr>
          <w:b w:val="0"/>
          <w:bCs w:val="0"/>
        </w:rPr>
        <w:t>Indigenous groups are</w:t>
      </w:r>
      <w:r>
        <w:t xml:space="preserve"> </w:t>
      </w:r>
      <w:r>
        <w:rPr>
          <w:b w:val="0"/>
        </w:rPr>
        <w:t>DEMANDING that settlers transform their relationship to colonized people by aligning with them.</w:t>
      </w:r>
    </w:p>
    <w:p w14:paraId="5D1A34B4" w14:textId="77777777" w:rsidR="00383D4F" w:rsidRDefault="00383D4F" w:rsidP="00383D4F">
      <w:pPr>
        <w:ind w:right="-720"/>
        <w:rPr>
          <w:sz w:val="16"/>
          <w:szCs w:val="16"/>
        </w:rPr>
      </w:pPr>
      <w:r>
        <w:rPr>
          <w:b/>
          <w:u w:val="single"/>
        </w:rPr>
        <w:t>Flowers 2</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5164B8F4" w14:textId="77777777" w:rsidR="00383D4F" w:rsidRPr="00F1104B" w:rsidRDefault="00383D4F" w:rsidP="00383D4F">
      <w:pPr>
        <w:ind w:right="-720"/>
        <w:rPr>
          <w:b/>
          <w:i/>
        </w:rPr>
      </w:pPr>
    </w:p>
    <w:p w14:paraId="20184122" w14:textId="77777777" w:rsidR="00383D4F" w:rsidRPr="00B55913" w:rsidRDefault="00383D4F" w:rsidP="00383D4F">
      <w:pPr>
        <w:spacing w:before="100" w:beforeAutospacing="1" w:after="100" w:afterAutospacing="1" w:line="480" w:lineRule="auto"/>
        <w:ind w:right="-720"/>
        <w:rPr>
          <w:rFonts w:ascii="TimesNewRomanPSMT" w:eastAsia="Times New Roman" w:hAnsi="TimesNewRomanPSMT" w:cs="TimesNewRomanPSMT"/>
          <w:sz w:val="16"/>
          <w:szCs w:val="16"/>
        </w:rPr>
      </w:pPr>
      <w:r w:rsidRPr="00B55913">
        <w:rPr>
          <w:sz w:val="16"/>
        </w:rPr>
        <w:t xml:space="preserve">In both Indigenous studies and direct action there is momentum to turn away from settler institutions and re-center Indigenous law thereby opening a space </w:t>
      </w:r>
      <w:r w:rsidRPr="00F1104B">
        <w:rPr>
          <w:rFonts w:ascii="TimesNewRomanPSMT" w:eastAsia="Times New Roman" w:hAnsi="TimesNewRomanPSMT" w:cs="TimesNewRomanPSMT"/>
          <w:b/>
          <w:highlight w:val="yellow"/>
          <w:u w:val="single"/>
        </w:rPr>
        <w:t>to transform Indigenous-settler relations</w:t>
      </w:r>
      <w:r w:rsidRPr="00B55913">
        <w:rPr>
          <w:sz w:val="16"/>
        </w:rPr>
        <w:t>. Moreover</w:t>
      </w:r>
      <w:r w:rsidRPr="00F1104B">
        <w:rPr>
          <w:rFonts w:ascii="TimesNewRomanPSMT" w:eastAsia="Times New Roman" w:hAnsi="TimesNewRomanPSMT" w:cs="TimesNewRomanPSMT"/>
          <w:b/>
          <w:highlight w:val="yellow"/>
          <w:u w:val="single"/>
        </w:rPr>
        <w:t xml:space="preserve">, Indigenous </w:t>
      </w:r>
      <w:r w:rsidRPr="00256BBF">
        <w:rPr>
          <w:rFonts w:ascii="TimesNewRomanPSMT" w:eastAsia="Times New Roman" w:hAnsi="TimesNewRomanPSMT" w:cs="TimesNewRomanPSMT"/>
          <w:b/>
          <w:highlight w:val="yellow"/>
          <w:u w:val="single"/>
        </w:rPr>
        <w:t xml:space="preserve">peoples are increasingly </w:t>
      </w:r>
      <w:r w:rsidRPr="00F1104B">
        <w:rPr>
          <w:rStyle w:val="Emphasis"/>
          <w:highlight w:val="yellow"/>
        </w:rPr>
        <w:t>calling for solidarity from settlers</w:t>
      </w:r>
      <w:r w:rsidRPr="00256BBF">
        <w:rPr>
          <w:rFonts w:ascii="TimesNewRomanPSMT" w:eastAsia="Times New Roman" w:hAnsi="TimesNewRomanPSMT" w:cs="TimesNewRomanPSMT"/>
          <w:b/>
          <w:highlight w:val="yellow"/>
          <w:u w:val="single"/>
        </w:rPr>
        <w:t xml:space="preserve"> to stand with us</w:t>
      </w:r>
      <w:r w:rsidRPr="00256BBF">
        <w:rPr>
          <w:rFonts w:ascii="TimesNewRomanPSMT" w:eastAsia="Times New Roman" w:hAnsi="TimesNewRomanPSMT" w:cs="TimesNewRomanPSMT"/>
          <w:b/>
          <w:u w:val="single"/>
        </w:rPr>
        <w:t xml:space="preserve"> at a wide range of demonstrations </w:t>
      </w:r>
      <w:r w:rsidRPr="00256BBF">
        <w:rPr>
          <w:rFonts w:ascii="TimesNewRomanPSMT" w:eastAsia="Times New Roman" w:hAnsi="TimesNewRomanPSMT" w:cs="TimesNewRomanPSMT"/>
          <w:b/>
          <w:highlight w:val="yellow"/>
          <w:u w:val="single"/>
        </w:rPr>
        <w:t>in</w:t>
      </w:r>
      <w:r w:rsidRPr="00F1104B">
        <w:rPr>
          <w:rFonts w:ascii="TimesNewRomanPSMT" w:eastAsia="Times New Roman" w:hAnsi="TimesNewRomanPSMT" w:cs="TimesNewRomanPSMT"/>
          <w:b/>
          <w:u w:val="single"/>
        </w:rPr>
        <w:t xml:space="preserve"> a </w:t>
      </w:r>
      <w:r w:rsidRPr="00256BBF">
        <w:rPr>
          <w:rFonts w:ascii="TimesNewRomanPSMT" w:eastAsia="Times New Roman" w:hAnsi="TimesNewRomanPSMT" w:cs="TimesNewRomanPSMT"/>
          <w:b/>
          <w:highlight w:val="yellow"/>
          <w:u w:val="single"/>
        </w:rPr>
        <w:t>shared anti-colonial resistance</w:t>
      </w:r>
      <w:r w:rsidRPr="00026353">
        <w:rPr>
          <w:rFonts w:ascii="TimesNewRomanPSMT" w:eastAsia="Times New Roman" w:hAnsi="TimesNewRomanPSMT" w:cs="TimesNewRomanPSMT"/>
          <w:b/>
          <w:u w:val="single"/>
        </w:rPr>
        <w:t>, particularly in ongoing advocacy for missing and murdered Indigenous women</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position w:val="12"/>
          <w:sz w:val="16"/>
          <w:szCs w:val="16"/>
          <w:u w:val="single"/>
        </w:rPr>
        <w:t xml:space="preserve">3 </w:t>
      </w:r>
      <w:r w:rsidRPr="00F1104B">
        <w:rPr>
          <w:rFonts w:ascii="TimesNewRomanPSMT" w:eastAsia="Times New Roman" w:hAnsi="TimesNewRomanPSMT" w:cs="TimesNewRomanPSMT"/>
          <w:b/>
          <w:u w:val="single"/>
        </w:rPr>
        <w:t>Theorists of Indigenous resurgence have clearly articulated that settlers have an opportunity to listen, learn, and act in relation to colonial difference alongside assertions of Indigenous sovereignty</w:t>
      </w:r>
      <w:r w:rsidRPr="00B55913">
        <w:rPr>
          <w:sz w:val="16"/>
        </w:rPr>
        <w:t xml:space="preserve"> and nationhood (Arvin, Tuck &amp; Morrill, 2013; Coulthard, 2013; Simpson, 2008; 2011)</w:t>
      </w:r>
      <w:r w:rsidRPr="00F1104B">
        <w:rPr>
          <w:rFonts w:ascii="TimesNewRomanPSMT" w:eastAsia="Times New Roman" w:hAnsi="TimesNewRomanPSMT" w:cs="TimesNewRomanPSMT"/>
          <w:b/>
          <w:u w:val="single"/>
        </w:rPr>
        <w:t>.</w:t>
      </w:r>
      <w:r w:rsidRPr="00256BBF">
        <w:rPr>
          <w:rFonts w:ascii="TimesNewRomanPSMT" w:eastAsia="Times New Roman" w:hAnsi="TimesNewRomanPSMT" w:cs="TimesNewRomanPSMT"/>
          <w:b/>
          <w:u w:val="single"/>
        </w:rPr>
        <w:t xml:space="preserve"> </w:t>
      </w:r>
      <w:r w:rsidRPr="00B55913">
        <w:rPr>
          <w:sz w:val="16"/>
        </w:rPr>
        <w:t>Moreover, Indigenous feminist theories, “offer new and reclaimed ways of thinking through not only how settler colonialism has impacted Indigenous and settler communities, but also how feminist theories can imagine and realize different modes of nationalism and alliances in the future” (Arvin, Tuck &amp; Morrill, 2013, p. 9).</w:t>
      </w:r>
      <w:r w:rsidRPr="00B55913">
        <w:rPr>
          <w:rFonts w:ascii="TimesNewRomanPSMT" w:eastAsia="Times New Roman" w:hAnsi="TimesNewRomanPSMT" w:cs="TimesNewRomanPSMT"/>
          <w:b/>
          <w:sz w:val="16"/>
        </w:rPr>
        <w:t xml:space="preserve"> </w:t>
      </w:r>
      <w:r w:rsidRPr="00256BBF">
        <w:rPr>
          <w:rFonts w:ascii="TimesNewRomanPSMT" w:eastAsia="Times New Roman" w:hAnsi="TimesNewRomanPSMT" w:cs="TimesNewRomanPSMT"/>
          <w:b/>
          <w:highlight w:val="yellow"/>
          <w:u w:val="single"/>
        </w:rPr>
        <w:t>There</w:t>
      </w:r>
      <w:r w:rsidRPr="00256BBF">
        <w:rPr>
          <w:rFonts w:ascii="TimesNewRomanPSMT" w:eastAsia="Times New Roman" w:hAnsi="TimesNewRomanPSMT" w:cs="TimesNewRomanPSMT"/>
          <w:b/>
          <w:u w:val="single"/>
        </w:rPr>
        <w:t xml:space="preserve"> has and </w:t>
      </w:r>
      <w:r w:rsidRPr="00256BBF">
        <w:rPr>
          <w:rFonts w:ascii="TimesNewRomanPSMT" w:eastAsia="Times New Roman" w:hAnsi="TimesNewRomanPSMT" w:cs="TimesNewRomanPSMT"/>
          <w:b/>
          <w:highlight w:val="yellow"/>
          <w:u w:val="single"/>
        </w:rPr>
        <w:t xml:space="preserve">continues to be space offered by Indigenous peoples for settlers to align themselves with our struggles to support </w:t>
      </w:r>
      <w:r w:rsidRPr="00F1104B">
        <w:rPr>
          <w:rStyle w:val="Emphasis"/>
          <w:highlight w:val="yellow"/>
        </w:rPr>
        <w:t>the transformation of the colonial relationship</w:t>
      </w:r>
      <w:r w:rsidRPr="00B55913">
        <w:rPr>
          <w:sz w:val="16"/>
        </w:rPr>
        <w:t xml:space="preserve"> and constructing alternatives to it, or put differently, to move forward in a shared future</w:t>
      </w:r>
      <w:r w:rsidRPr="00B55913">
        <w:rPr>
          <w:rFonts w:ascii="TimesNewRomanPSMT" w:eastAsia="Times New Roman" w:hAnsi="TimesNewRomanPSMT" w:cs="TimesNewRomanPSMT"/>
          <w:b/>
          <w:highlight w:val="yellow"/>
          <w:u w:val="single"/>
        </w:rPr>
        <w:t xml:space="preserve">. The </w:t>
      </w:r>
      <w:r w:rsidRPr="00256BBF">
        <w:rPr>
          <w:rFonts w:ascii="TimesNewRomanPSMT" w:eastAsia="Times New Roman" w:hAnsi="TimesNewRomanPSMT" w:cs="TimesNewRomanPSMT"/>
          <w:b/>
          <w:highlight w:val="yellow"/>
          <w:u w:val="single"/>
        </w:rPr>
        <w:t xml:space="preserve">emphasis from Indigenous peoples on </w:t>
      </w:r>
      <w:r w:rsidRPr="00256BBF">
        <w:rPr>
          <w:rFonts w:ascii="TimesNewRomanPS" w:eastAsia="Times New Roman" w:hAnsi="TimesNewRomanPS"/>
          <w:b/>
          <w:i/>
          <w:iCs/>
          <w:highlight w:val="yellow"/>
          <w:u w:val="single"/>
        </w:rPr>
        <w:t xml:space="preserve">sharing </w:t>
      </w:r>
      <w:r w:rsidRPr="00256BBF">
        <w:rPr>
          <w:rFonts w:ascii="TimesNewRomanPSMT" w:eastAsia="Times New Roman" w:hAnsi="TimesNewRomanPSMT" w:cs="TimesNewRomanPSMT"/>
          <w:b/>
          <w:highlight w:val="yellow"/>
          <w:u w:val="single"/>
        </w:rPr>
        <w:t xml:space="preserve">and </w:t>
      </w:r>
      <w:r w:rsidRPr="00256BBF">
        <w:rPr>
          <w:rFonts w:ascii="TimesNewRomanPS" w:eastAsia="Times New Roman" w:hAnsi="TimesNewRomanPS"/>
          <w:b/>
          <w:i/>
          <w:iCs/>
          <w:highlight w:val="yellow"/>
          <w:u w:val="single"/>
        </w:rPr>
        <w:t xml:space="preserve">co-existing </w:t>
      </w:r>
      <w:r w:rsidRPr="00256BBF">
        <w:rPr>
          <w:rFonts w:ascii="TimesNewRomanPSMT" w:eastAsia="Times New Roman" w:hAnsi="TimesNewRomanPSMT" w:cs="TimesNewRomanPSMT"/>
          <w:b/>
          <w:highlight w:val="yellow"/>
          <w:u w:val="single"/>
        </w:rPr>
        <w:t xml:space="preserve">is essential to our ontologies </w:t>
      </w:r>
      <w:r w:rsidRPr="00B113AC">
        <w:rPr>
          <w:rFonts w:ascii="TimesNewRomanPSMT" w:eastAsia="Times New Roman" w:hAnsi="TimesNewRomanPSMT" w:cs="TimesNewRomanPSMT"/>
          <w:b/>
          <w:u w:val="single"/>
        </w:rPr>
        <w:t xml:space="preserve">and governance systems </w:t>
      </w:r>
      <w:r w:rsidRPr="00256BBF">
        <w:rPr>
          <w:rFonts w:ascii="TimesNewRomanPSMT" w:eastAsia="Times New Roman" w:hAnsi="TimesNewRomanPSMT" w:cs="TimesNewRomanPSMT"/>
          <w:b/>
          <w:highlight w:val="yellow"/>
          <w:u w:val="single"/>
        </w:rPr>
        <w:t>since these concepts are predicated on interrelatedness</w:t>
      </w:r>
      <w:r w:rsidRPr="00256BBF">
        <w:rPr>
          <w:rFonts w:ascii="TimesNewRomanPSMT" w:eastAsia="Times New Roman" w:hAnsi="TimesNewRomanPSMT" w:cs="TimesNewRomanPSMT"/>
          <w:b/>
          <w:u w:val="single"/>
        </w:rPr>
        <w:t>, and therefore, create a constellation of responsibilities to both the human and non-human world</w:t>
      </w:r>
      <w:r w:rsidRPr="00256BBF">
        <w:rPr>
          <w:rFonts w:ascii="TimesNewRomanPSMT" w:eastAsia="Times New Roman" w:hAnsi="TimesNewRomanPSMT" w:cs="TimesNewRomanPSMT"/>
          <w:b/>
          <w:highlight w:val="yellow"/>
          <w:u w:val="single"/>
        </w:rPr>
        <w:t>.</w:t>
      </w:r>
      <w:r w:rsidRPr="00B55913">
        <w:rPr>
          <w:rFonts w:ascii="TimesNewRomanPSMT" w:eastAsia="Times New Roman" w:hAnsi="TimesNewRomanPSMT" w:cs="TimesNewRomanPSMT"/>
          <w:sz w:val="16"/>
        </w:rPr>
        <w:t xml:space="preserve"> </w:t>
      </w:r>
      <w:r w:rsidRPr="00B55913">
        <w:rPr>
          <w:rFonts w:ascii="TimesNewRomanPSMT" w:eastAsia="Times New Roman" w:hAnsi="TimesNewRomanPSMT" w:cs="TimesNewRomanPSMT"/>
          <w:sz w:val="16"/>
          <w:szCs w:val="16"/>
        </w:rPr>
        <w:t>There is an invitation to reimagine the future in common terms, “when we do not presume that [settler colonial states] should or will always continue to exist, we create the space to reflect on what might be more just forms of governance, not only for Native peoples, but for the rest of the world” (Smith, 2005, p. 311). Leanne Simpson (</w:t>
      </w:r>
      <w:r w:rsidRPr="00B55913">
        <w:rPr>
          <w:rFonts w:ascii="TimesNewRomanPSMT" w:eastAsia="Times New Roman" w:hAnsi="TimesNewRomanPSMT" w:cs="TimesNewRomanPSMT"/>
          <w:color w:val="0000FF"/>
          <w:sz w:val="16"/>
          <w:szCs w:val="16"/>
        </w:rPr>
        <w:t>2014</w:t>
      </w:r>
      <w:r w:rsidRPr="00B55913">
        <w:rPr>
          <w:rFonts w:ascii="TimesNewRomanPSMT" w:eastAsia="Times New Roman" w:hAnsi="TimesNewRomanPSMT" w:cs="TimesNewRomanPSMT"/>
          <w:sz w:val="16"/>
          <w:szCs w:val="16"/>
        </w:rPr>
        <w:t xml:space="preserve">) strikingly explains how one person is capable of </w:t>
      </w:r>
      <w:r w:rsidRPr="00B55913">
        <w:rPr>
          <w:rFonts w:ascii="TimesNewRomanPSMT" w:eastAsia="Times New Roman" w:hAnsi="TimesNewRomanPSMT" w:cs="TimesNewRomanPSMT"/>
          <w:sz w:val="16"/>
          <w:szCs w:val="16"/>
        </w:rPr>
        <w:lastRenderedPageBreak/>
        <w:t xml:space="preserve">“propelling us to rebel against the permanence of settler colonial reality and not just ‘dream alternative realities’ but to create them, on the ground in the physical world, in spite of being occupied. If we accept colonial permanence, then our rebellion can only take place within settler colonial thought and reality; we become too willing to sacrifice the context that creates and produces cultural workers like Kwezens” (p. 8). </w:t>
      </w:r>
    </w:p>
    <w:p w14:paraId="5D877CAF" w14:textId="77777777" w:rsidR="00383D4F" w:rsidRPr="00F1104B" w:rsidRDefault="00383D4F" w:rsidP="00383D4F">
      <w:pPr>
        <w:pStyle w:val="Heading4"/>
        <w:spacing w:line="480" w:lineRule="auto"/>
        <w:ind w:right="-720"/>
        <w:rPr>
          <w:b w:val="0"/>
        </w:rPr>
      </w:pPr>
      <w:r>
        <w:t xml:space="preserve">[Flowers 3] Further, </w:t>
      </w:r>
      <w:r>
        <w:rPr>
          <w:b w:val="0"/>
        </w:rPr>
        <w:t>the aff’s form of Indigenous refusal politics flips the set col script – it’s a way for Indigenous people to take the lead and put the burden on settlers to follow.</w:t>
      </w:r>
    </w:p>
    <w:p w14:paraId="31C71C6B" w14:textId="77777777" w:rsidR="00383D4F" w:rsidRPr="009C13B0" w:rsidRDefault="00383D4F" w:rsidP="00383D4F">
      <w:pPr>
        <w:ind w:right="-720"/>
        <w:rPr>
          <w:sz w:val="16"/>
          <w:szCs w:val="16"/>
        </w:rPr>
      </w:pPr>
      <w:r>
        <w:rPr>
          <w:b/>
          <w:u w:val="single"/>
        </w:rPr>
        <w:t>Flowers 3</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3E99FC5A" w14:textId="77777777" w:rsidR="00383D4F" w:rsidRDefault="00383D4F" w:rsidP="00383D4F">
      <w:pPr>
        <w:spacing w:before="100" w:beforeAutospacing="1" w:after="100" w:afterAutospacing="1" w:line="480" w:lineRule="auto"/>
        <w:ind w:right="-720"/>
        <w:rPr>
          <w:rFonts w:ascii="TimesNewRomanPSMT" w:eastAsia="Times New Roman" w:hAnsi="TimesNewRomanPSMT" w:cs="TimesNewRomanPSMT"/>
          <w:b/>
          <w:u w:val="single"/>
        </w:rPr>
      </w:pPr>
      <w:r w:rsidRPr="002F3B2E">
        <w:rPr>
          <w:rFonts w:ascii="TimesNewRomanPSMT" w:eastAsia="Times New Roman" w:hAnsi="TimesNewRomanPSMT" w:cs="TimesNewRomanPSMT"/>
          <w:sz w:val="16"/>
        </w:rPr>
        <w:t>Irlbacher-Fox (</w:t>
      </w:r>
      <w:r w:rsidRPr="002F3B2E">
        <w:rPr>
          <w:rFonts w:ascii="TimesNewRomanPSMT" w:eastAsia="Times New Roman" w:hAnsi="TimesNewRomanPSMT" w:cs="TimesNewRomanPSMT"/>
          <w:color w:val="0000FF"/>
          <w:sz w:val="16"/>
        </w:rPr>
        <w:t>2012</w:t>
      </w:r>
      <w:r w:rsidRPr="002F3B2E">
        <w:rPr>
          <w:rFonts w:ascii="TimesNewRomanPSMT" w:eastAsia="Times New Roman" w:hAnsi="TimesNewRomanPSMT" w:cs="TimesNewRomanPSMT"/>
          <w:sz w:val="16"/>
        </w:rPr>
        <w:t xml:space="preserve">) makes an important contribution to guide how we might think through settler solidarity. She writes, </w:t>
      </w:r>
      <w:r w:rsidRPr="00256BBF">
        <w:rPr>
          <w:rFonts w:ascii="TimesNewRomanPSMT" w:eastAsia="Times New Roman" w:hAnsi="TimesNewRomanPSMT" w:cs="TimesNewRomanPSMT"/>
          <w:b/>
          <w:highlight w:val="yellow"/>
          <w:u w:val="single"/>
        </w:rPr>
        <w:t xml:space="preserve">“Co-existence through co-resistance is the responsibility of </w:t>
      </w:r>
      <w:r w:rsidRPr="00F1104B">
        <w:rPr>
          <w:rStyle w:val="Emphasis"/>
          <w:highlight w:val="yellow"/>
        </w:rPr>
        <w:t>all</w:t>
      </w:r>
      <w:r w:rsidRPr="00256BBF">
        <w:rPr>
          <w:rFonts w:ascii="TimesNewRomanPSMT" w:eastAsia="Times New Roman" w:hAnsi="TimesNewRomanPSMT" w:cs="TimesNewRomanPSMT"/>
          <w:b/>
          <w:highlight w:val="yellow"/>
          <w:u w:val="single"/>
        </w:rPr>
        <w:t xml:space="preserve"> settlers, and we achieve it</w:t>
      </w:r>
      <w:r w:rsidRPr="00F1104B">
        <w:rPr>
          <w:rFonts w:ascii="TimesNewRomanPSMT" w:eastAsia="Times New Roman" w:hAnsi="TimesNewRomanPSMT" w:cs="TimesNewRomanPSMT"/>
          <w:b/>
          <w:u w:val="single"/>
        </w:rPr>
        <w:t xml:space="preserve"> in part </w:t>
      </w:r>
      <w:r w:rsidRPr="00256BBF">
        <w:rPr>
          <w:rFonts w:ascii="TimesNewRomanPSMT" w:eastAsia="Times New Roman" w:hAnsi="TimesNewRomanPSMT" w:cs="TimesNewRomanPSMT"/>
          <w:b/>
          <w:highlight w:val="yellow"/>
          <w:u w:val="single"/>
        </w:rPr>
        <w:t xml:space="preserve">by </w:t>
      </w:r>
      <w:r w:rsidRPr="002F3B2E">
        <w:rPr>
          <w:rFonts w:ascii="TimesNewRomanPSMT" w:eastAsia="Times New Roman" w:hAnsi="TimesNewRomanPSMT" w:cs="TimesNewRomanPSMT"/>
          <w:b/>
          <w:u w:val="single"/>
        </w:rPr>
        <w:t xml:space="preserve">making change in our own systems and among other settlers, </w:t>
      </w:r>
      <w:r w:rsidRPr="00256BBF">
        <w:rPr>
          <w:rFonts w:ascii="TimesNewRomanPSMT" w:eastAsia="Times New Roman" w:hAnsi="TimesNewRomanPSMT" w:cs="TimesNewRomanPSMT"/>
          <w:b/>
          <w:highlight w:val="yellow"/>
          <w:u w:val="single"/>
        </w:rPr>
        <w:t xml:space="preserve">taking our cue from Indigenous action </w:t>
      </w:r>
      <w:r w:rsidRPr="002F3B2E">
        <w:rPr>
          <w:rFonts w:ascii="TimesNewRomanPSMT" w:eastAsia="Times New Roman" w:hAnsi="TimesNewRomanPSMT" w:cs="TimesNewRomanPSMT"/>
          <w:b/>
          <w:u w:val="single"/>
        </w:rPr>
        <w:t>and direction</w:t>
      </w:r>
      <w:r w:rsidRPr="00297DE2">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She asserts that </w:t>
      </w:r>
      <w:r w:rsidRPr="002F3B2E">
        <w:rPr>
          <w:rFonts w:ascii="TimesNewRomanPSMT" w:eastAsia="Times New Roman" w:hAnsi="TimesNewRomanPSMT" w:cs="TimesNewRomanPSMT"/>
          <w:b/>
          <w:u w:val="single"/>
        </w:rPr>
        <w:t xml:space="preserve">co-existence means </w:t>
      </w:r>
      <w:r w:rsidRPr="00256BBF">
        <w:rPr>
          <w:rFonts w:ascii="TimesNewRomanPSMT" w:eastAsia="Times New Roman" w:hAnsi="TimesNewRomanPSMT" w:cs="TimesNewRomanPSMT"/>
          <w:b/>
          <w:highlight w:val="yellow"/>
          <w:u w:val="single"/>
        </w:rPr>
        <w:t>co-resistance</w:t>
      </w:r>
      <w:r w:rsidRPr="002F3B2E">
        <w:rPr>
          <w:rFonts w:ascii="TimesNewRomanPSMT" w:eastAsia="Times New Roman" w:hAnsi="TimesNewRomanPSMT" w:cs="TimesNewRomanPSMT"/>
          <w:b/>
          <w:u w:val="single"/>
        </w:rPr>
        <w:t xml:space="preserve">, which productively </w:t>
      </w:r>
      <w:r w:rsidRPr="00256BBF">
        <w:rPr>
          <w:rFonts w:ascii="TimesNewRomanPSMT" w:eastAsia="Times New Roman" w:hAnsi="TimesNewRomanPSMT" w:cs="TimesNewRomanPSMT"/>
          <w:b/>
          <w:highlight w:val="yellow"/>
          <w:u w:val="single"/>
        </w:rPr>
        <w:t>identifies the role of</w:t>
      </w:r>
      <w:r w:rsidRPr="002F3B2E">
        <w:rPr>
          <w:rFonts w:ascii="TimesNewRomanPSMT" w:eastAsia="Times New Roman" w:hAnsi="TimesNewRomanPSMT" w:cs="TimesNewRomanPSMT"/>
          <w:b/>
          <w:u w:val="single"/>
        </w:rPr>
        <w:t xml:space="preserve"> the </w:t>
      </w:r>
      <w:r w:rsidRPr="00256BBF">
        <w:rPr>
          <w:rFonts w:ascii="TimesNewRomanPSMT" w:eastAsia="Times New Roman" w:hAnsi="TimesNewRomanPSMT" w:cs="TimesNewRomanPSMT"/>
          <w:b/>
          <w:highlight w:val="yellow"/>
          <w:u w:val="single"/>
        </w:rPr>
        <w:t xml:space="preserve">settlers in </w:t>
      </w:r>
      <w:r w:rsidRPr="002F3B2E">
        <w:rPr>
          <w:rStyle w:val="Emphasis"/>
          <w:highlight w:val="yellow"/>
        </w:rPr>
        <w:t>dismantling their own systems of exploitation</w:t>
      </w:r>
      <w:r w:rsidRPr="002F3B2E">
        <w:rPr>
          <w:rFonts w:ascii="TimesNewRomanPSMT" w:eastAsia="Times New Roman" w:hAnsi="TimesNewRomanPSMT" w:cs="TimesNewRomanPSMT"/>
          <w:b/>
          <w:u w:val="single"/>
        </w:rPr>
        <w:t xml:space="preserve"> and extraction</w:t>
      </w:r>
      <w:r w:rsidRPr="00256BBF">
        <w:rPr>
          <w:rFonts w:ascii="TimesNewRomanPSMT" w:eastAsia="Times New Roman" w:hAnsi="TimesNewRomanPSMT" w:cs="TimesNewRomanPSMT"/>
          <w:b/>
          <w:highlight w:val="yellow"/>
          <w:u w:val="single"/>
        </w:rPr>
        <w:t>. This</w:t>
      </w:r>
      <w:r w:rsidRPr="00256BBF">
        <w:rPr>
          <w:rFonts w:ascii="TimesNewRomanPSMT" w:eastAsia="Times New Roman" w:hAnsi="TimesNewRomanPSMT" w:cs="TimesNewRomanPSMT"/>
          <w:b/>
          <w:u w:val="single"/>
        </w:rPr>
        <w:t xml:space="preserve"> relationship </w:t>
      </w:r>
      <w:r w:rsidRPr="00256BBF">
        <w:rPr>
          <w:rFonts w:ascii="TimesNewRomanPSMT" w:eastAsia="Times New Roman" w:hAnsi="TimesNewRomanPSMT" w:cs="TimesNewRomanPSMT"/>
          <w:b/>
          <w:highlight w:val="yellow"/>
          <w:u w:val="single"/>
        </w:rPr>
        <w:t>requires the settler to refuse “to collaborate in maintaining injustice as the basis of the relationship between the state and Indigenous peoples”</w:t>
      </w:r>
      <w:r w:rsidRPr="009621E9">
        <w:rPr>
          <w:rFonts w:ascii="TimesNewRomanPSMT" w:eastAsia="Times New Roman" w:hAnsi="TimesNewRomanPSMT" w:cs="TimesNewRomanPSMT"/>
          <w:b/>
          <w:highlight w:val="yellow"/>
          <w:u w:val="single"/>
        </w:rPr>
        <w:t>s</w:t>
      </w:r>
      <w:r w:rsidRPr="00256BBF">
        <w:rPr>
          <w:rFonts w:ascii="TimesNewRomanPSMT" w:eastAsia="Times New Roman" w:hAnsi="TimesNewRomanPSMT" w:cs="TimesNewRomanPSMT"/>
          <w:b/>
          <w:u w:val="single"/>
        </w:rPr>
        <w:t xml:space="preserve"> (Irlbacher-Fox, </w:t>
      </w:r>
      <w:r w:rsidRPr="00256BBF">
        <w:rPr>
          <w:rFonts w:ascii="TimesNewRomanPSMT" w:eastAsia="Times New Roman" w:hAnsi="TimesNewRomanPSMT" w:cs="TimesNewRomanPSMT"/>
          <w:b/>
          <w:color w:val="0000FF"/>
          <w:u w:val="single"/>
        </w:rPr>
        <w:t>2014</w:t>
      </w:r>
      <w:r w:rsidRPr="00256BBF">
        <w:rPr>
          <w:rFonts w:ascii="TimesNewRomanPSMT" w:eastAsia="Times New Roman" w:hAnsi="TimesNewRomanPSMT" w:cs="TimesNewRomanPSMT"/>
          <w:b/>
          <w:u w:val="single"/>
        </w:rPr>
        <w:t>, p. 156)</w:t>
      </w:r>
      <w:r w:rsidRPr="00256BBF">
        <w:rPr>
          <w:rFonts w:ascii="TimesNewRomanPSMT" w:eastAsia="Times New Roman" w:hAnsi="TimesNewRomanPSMT" w:cs="TimesNewRomanPSMT"/>
          <w:b/>
          <w:highlight w:val="yellow"/>
          <w:u w:val="single"/>
        </w:rPr>
        <w:t>.</w:t>
      </w:r>
      <w:r w:rsidRPr="002F3B2E">
        <w:rPr>
          <w:sz w:val="16"/>
        </w:rPr>
        <w:t xml:space="preserve"> However, there is, to my mind, an insidious move in this that disavows the settler by focusing on individual actions, falsely separating them from the state and suggesting that settler subjectivity is not co-constituted through the colonial state. The state is invested in the production of colonized subjects to replicate its governance. Indeed, settler subjectivity itself directly and covertly engages with and mimics colonial institutional structures. Unjust forms of state-sanctioned violence are mechanisms that are put into operation designed to “ensure its own preservation” by reproducing power relations of domination (Foucault, 1982, p. 336). In thinking through these relations it is crucial to interrogate the </w:t>
      </w:r>
      <w:r w:rsidRPr="002F3B2E">
        <w:rPr>
          <w:rFonts w:ascii="TimesNewRomanPSMT" w:eastAsia="Times New Roman" w:hAnsi="TimesNewRomanPSMT" w:cs="TimesNewRomanPSMT"/>
          <w:sz w:val="16"/>
        </w:rPr>
        <w:t xml:space="preserve">relationship between power and political will and how it functions in creating new forms of subjectivity. A settler political will should be willful, that is, willing to disobey a general will and always working toward an alternative future. Revolution is only possible when subjects violate the directives of commanding bodies, a willing willfulness to create the world anew by opposing the old orders (Foucault, 1982, p. 336). The will to change is simultaneously a negation and an affirmation. It is, as Foucault (1982) writes, </w:t>
      </w:r>
      <w:r w:rsidRPr="00256BBF">
        <w:rPr>
          <w:rFonts w:ascii="TimesNewRomanPSMT" w:eastAsia="Times New Roman" w:hAnsi="TimesNewRomanPSMT" w:cs="TimesNewRomanPSMT"/>
          <w:b/>
          <w:highlight w:val="yellow"/>
          <w:u w:val="single"/>
        </w:rPr>
        <w:t>“through the refusal</w:t>
      </w:r>
      <w:r w:rsidRPr="00297DE2">
        <w:rPr>
          <w:rFonts w:ascii="TimesNewRomanPSMT" w:eastAsia="Times New Roman" w:hAnsi="TimesNewRomanPSMT" w:cs="TimesNewRomanPSMT"/>
          <w:b/>
          <w:u w:val="single"/>
        </w:rPr>
        <w:t xml:space="preserve"> of this kind of individuality that has been imposed on us” that</w:t>
      </w:r>
      <w:r w:rsidRPr="00256BBF">
        <w:rPr>
          <w:rFonts w:ascii="TimesNewRomanPSMT" w:eastAsia="Times New Roman" w:hAnsi="TimesNewRomanPSMT" w:cs="TimesNewRomanPSMT"/>
          <w:b/>
          <w:u w:val="single"/>
        </w:rPr>
        <w:t xml:space="preserve"> </w:t>
      </w:r>
      <w:r w:rsidRPr="00256BBF">
        <w:rPr>
          <w:rFonts w:ascii="TimesNewRomanPSMT" w:eastAsia="Times New Roman" w:hAnsi="TimesNewRomanPSMT" w:cs="TimesNewRomanPSMT"/>
          <w:b/>
          <w:highlight w:val="yellow"/>
          <w:u w:val="single"/>
        </w:rPr>
        <w:t>new forms of subjectivity emerge</w:t>
      </w:r>
      <w:r w:rsidRPr="00256BBF">
        <w:rPr>
          <w:rFonts w:ascii="TimesNewRomanPSMT" w:eastAsia="Times New Roman" w:hAnsi="TimesNewRomanPSMT" w:cs="TimesNewRomanPSMT"/>
          <w:b/>
          <w:u w:val="single"/>
        </w:rPr>
        <w:t xml:space="preserve"> (p. 336)</w:t>
      </w:r>
      <w:r w:rsidRPr="002F3B2E">
        <w:rPr>
          <w:rFonts w:ascii="TimesNewRomanPSMT" w:eastAsia="Times New Roman" w:hAnsi="TimesNewRomanPSMT" w:cs="TimesNewRomanPSMT"/>
          <w:b/>
          <w:highlight w:val="yellow"/>
          <w:u w:val="single"/>
        </w:rPr>
        <w:t xml:space="preserve">. The political </w:t>
      </w:r>
      <w:r w:rsidRPr="00256BBF">
        <w:rPr>
          <w:rFonts w:ascii="TimesNewRomanPSMT" w:eastAsia="Times New Roman" w:hAnsi="TimesNewRomanPSMT" w:cs="TimesNewRomanPSMT"/>
          <w:b/>
          <w:highlight w:val="yellow"/>
          <w:u w:val="single"/>
        </w:rPr>
        <w:t>will of decol</w:t>
      </w:r>
      <w:r w:rsidRPr="00DF4435">
        <w:rPr>
          <w:rFonts w:ascii="TimesNewRomanPSMT" w:eastAsia="Times New Roman" w:hAnsi="TimesNewRomanPSMT" w:cs="TimesNewRomanPSMT"/>
          <w:b/>
          <w:u w:val="single"/>
        </w:rPr>
        <w:t>onization</w:t>
      </w:r>
      <w:r w:rsidRPr="00256BBF">
        <w:rPr>
          <w:rFonts w:ascii="TimesNewRomanPSMT" w:eastAsia="Times New Roman" w:hAnsi="TimesNewRomanPSMT" w:cs="TimesNewRomanPSMT"/>
          <w:b/>
          <w:highlight w:val="yellow"/>
          <w:u w:val="single"/>
        </w:rPr>
        <w:t xml:space="preserve"> refuses to reproduce the present and affirms alternative futures.</w:t>
      </w:r>
      <w:r w:rsidRPr="00256BBF">
        <w:rPr>
          <w:rFonts w:ascii="TimesNewRomanPSMT" w:eastAsia="Times New Roman" w:hAnsi="TimesNewRomanPSMT" w:cs="TimesNewRomanPSMT"/>
          <w:b/>
          <w:u w:val="single"/>
        </w:rPr>
        <w:t xml:space="preserve"> </w:t>
      </w:r>
    </w:p>
    <w:p w14:paraId="3472ED7A" w14:textId="77777777" w:rsidR="00383D4F" w:rsidRPr="00557658" w:rsidRDefault="00383D4F" w:rsidP="00383D4F">
      <w:pPr>
        <w:pStyle w:val="Heading4"/>
        <w:spacing w:line="480" w:lineRule="auto"/>
        <w:ind w:right="-720"/>
        <w:rPr>
          <w:b w:val="0"/>
        </w:rPr>
      </w:pPr>
      <w:r>
        <w:lastRenderedPageBreak/>
        <w:t xml:space="preserve">[Flowers 4] Next, </w:t>
      </w:r>
      <w:r>
        <w:rPr>
          <w:b w:val="0"/>
        </w:rPr>
        <w:t xml:space="preserve">the aff is key to </w:t>
      </w:r>
      <w:r>
        <w:t xml:space="preserve">ENDING THE CYCLE OF SET COL </w:t>
      </w:r>
      <w:r>
        <w:rPr>
          <w:b w:val="0"/>
        </w:rPr>
        <w:t>– it replaces the politics of forgiveness with settler accountability.</w:t>
      </w:r>
    </w:p>
    <w:p w14:paraId="380D2090" w14:textId="77777777" w:rsidR="00383D4F" w:rsidRPr="00051D5C" w:rsidRDefault="00383D4F" w:rsidP="00383D4F">
      <w:pPr>
        <w:ind w:right="-720"/>
        <w:rPr>
          <w:sz w:val="16"/>
          <w:szCs w:val="16"/>
        </w:rPr>
      </w:pPr>
      <w:r>
        <w:rPr>
          <w:b/>
          <w:u w:val="single"/>
        </w:rPr>
        <w:t>Flowers 4</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6AA6F37A" w14:textId="77777777" w:rsidR="00383D4F" w:rsidRPr="00297DE2" w:rsidRDefault="00383D4F" w:rsidP="00383D4F">
      <w:pPr>
        <w:spacing w:before="100" w:beforeAutospacing="1" w:after="100" w:afterAutospacing="1" w:line="480" w:lineRule="auto"/>
        <w:ind w:right="-720"/>
        <w:rPr>
          <w:rFonts w:ascii="TimesNewRomanPSMT" w:eastAsia="Times New Roman" w:hAnsi="TimesNewRomanPSMT" w:cs="TimesNewRomanPSMT"/>
          <w:sz w:val="16"/>
        </w:rPr>
      </w:pPr>
      <w:r w:rsidRPr="00297DE2">
        <w:rPr>
          <w:rFonts w:ascii="TimesNewRomanPSMT" w:eastAsia="Times New Roman" w:hAnsi="TimesNewRomanPSMT" w:cs="TimesNewRomanPSMT"/>
          <w:sz w:val="16"/>
        </w:rPr>
        <w:t xml:space="preserve">State violence continues to constitute the regulative norm of colonial dispossession directed at Indigenous women. </w:t>
      </w:r>
      <w:r w:rsidRPr="00557658">
        <w:rPr>
          <w:rFonts w:ascii="TimesNewRomanPSMT" w:eastAsia="Times New Roman" w:hAnsi="TimesNewRomanPSMT" w:cs="TimesNewRomanPSMT"/>
          <w:b/>
          <w:u w:val="single"/>
        </w:rPr>
        <w:t xml:space="preserve">Even though </w:t>
      </w:r>
      <w:r w:rsidRPr="00256BBF">
        <w:rPr>
          <w:rFonts w:ascii="TimesNewRomanPSMT" w:eastAsia="Times New Roman" w:hAnsi="TimesNewRomanPSMT" w:cs="TimesNewRomanPSMT"/>
          <w:b/>
          <w:highlight w:val="yellow"/>
          <w:u w:val="single"/>
        </w:rPr>
        <w:t>the settler polity</w:t>
      </w:r>
      <w:r w:rsidRPr="00297DE2">
        <w:rPr>
          <w:sz w:val="16"/>
        </w:rPr>
        <w:t xml:space="preserve"> is ostensibly </w:t>
      </w:r>
      <w:r w:rsidRPr="00256BBF">
        <w:rPr>
          <w:rFonts w:ascii="TimesNewRomanPSMT" w:eastAsia="Times New Roman" w:hAnsi="TimesNewRomanPSMT" w:cs="TimesNewRomanPSMT"/>
          <w:b/>
          <w:highlight w:val="yellow"/>
          <w:u w:val="single"/>
        </w:rPr>
        <w:t>dedicated to</w:t>
      </w:r>
      <w:r w:rsidRPr="00297DE2">
        <w:rPr>
          <w:sz w:val="16"/>
        </w:rPr>
        <w:t xml:space="preserve"> a new relationship and</w:t>
      </w:r>
      <w:r w:rsidRPr="00297DE2">
        <w:rPr>
          <w:rFonts w:ascii="TimesNewRomanPSMT" w:eastAsia="Times New Roman" w:hAnsi="TimesNewRomanPSMT" w:cs="TimesNewRomanPSMT"/>
          <w:b/>
          <w:sz w:val="16"/>
        </w:rPr>
        <w:t xml:space="preserve"> </w:t>
      </w:r>
      <w:r w:rsidRPr="00256BBF">
        <w:rPr>
          <w:rFonts w:ascii="TimesNewRomanPSMT" w:eastAsia="Times New Roman" w:hAnsi="TimesNewRomanPSMT" w:cs="TimesNewRomanPSMT"/>
          <w:b/>
          <w:highlight w:val="yellow"/>
          <w:u w:val="single"/>
        </w:rPr>
        <w:t>reconciliation</w:t>
      </w:r>
      <w:r w:rsidRPr="00297DE2">
        <w:rPr>
          <w:sz w:val="16"/>
        </w:rPr>
        <w:t>, it</w:t>
      </w:r>
      <w:r w:rsidRPr="00557658">
        <w:rPr>
          <w:rFonts w:ascii="TimesNewRomanPSMT" w:eastAsia="Times New Roman" w:hAnsi="TimesNewRomanPSMT" w:cs="TimesNewRomanPSMT"/>
          <w:b/>
          <w:u w:val="single"/>
        </w:rPr>
        <w:t xml:space="preserve"> </w:t>
      </w:r>
      <w:r w:rsidRPr="00256BBF">
        <w:rPr>
          <w:rFonts w:ascii="TimesNewRomanPSMT" w:eastAsia="Times New Roman" w:hAnsi="TimesNewRomanPSMT" w:cs="TimesNewRomanPSMT"/>
          <w:b/>
          <w:highlight w:val="yellow"/>
          <w:u w:val="single"/>
        </w:rPr>
        <w:t xml:space="preserve">is predicated on the disappearance of </w:t>
      </w:r>
      <w:r w:rsidRPr="00026353">
        <w:rPr>
          <w:rFonts w:ascii="TimesNewRomanPSMT" w:eastAsia="Times New Roman" w:hAnsi="TimesNewRomanPSMT" w:cs="TimesNewRomanPSMT"/>
          <w:b/>
          <w:highlight w:val="yellow"/>
          <w:u w:val="single"/>
        </w:rPr>
        <w:t>Indigenous peoples</w:t>
      </w:r>
      <w:r w:rsidRPr="00256BBF">
        <w:rPr>
          <w:rFonts w:ascii="TimesNewRomanPSMT" w:eastAsia="Times New Roman" w:hAnsi="TimesNewRomanPSMT" w:cs="TimesNewRomanPSMT"/>
          <w:b/>
          <w:u w:val="single"/>
        </w:rPr>
        <w:t xml:space="preserve">, </w:t>
      </w:r>
      <w:r w:rsidRPr="00026353">
        <w:rPr>
          <w:rFonts w:ascii="TimesNewRomanPSMT" w:eastAsia="Times New Roman" w:hAnsi="TimesNewRomanPSMT" w:cs="TimesNewRomanPSMT"/>
          <w:b/>
          <w:u w:val="single"/>
        </w:rPr>
        <w:t>women in particular</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w:t>
      </w:r>
      <w:r w:rsidRPr="00297DE2">
        <w:rPr>
          <w:rFonts w:ascii="TimesNewRomanPSMT" w:eastAsia="Times New Roman" w:hAnsi="TimesNewRomanPSMT" w:cs="TimesNewRomanPSMT"/>
          <w:sz w:val="16"/>
        </w:rPr>
        <w:t xml:space="preserve">The story of the settler colony is founded on disappearing peoples, from </w:t>
      </w:r>
      <w:r w:rsidRPr="00297DE2">
        <w:rPr>
          <w:rFonts w:ascii="TimesNewRomanPS" w:eastAsia="Times New Roman" w:hAnsi="TimesNewRomanPS"/>
          <w:i/>
          <w:iCs/>
          <w:sz w:val="16"/>
        </w:rPr>
        <w:t xml:space="preserve">terra nullius </w:t>
      </w:r>
      <w:r w:rsidRPr="00297DE2">
        <w:rPr>
          <w:rFonts w:ascii="TimesNewRomanPSMT" w:eastAsia="Times New Roman" w:hAnsi="TimesNewRomanPSMT" w:cs="TimesNewRomanPSMT"/>
          <w:sz w:val="16"/>
        </w:rPr>
        <w:t xml:space="preserve">to missing and murdered Indigenous women. </w:t>
      </w:r>
      <w:r w:rsidRPr="00557658">
        <w:rPr>
          <w:rStyle w:val="StyleUnderline"/>
          <w:highlight w:val="yellow"/>
        </w:rPr>
        <w:t>Colonialism operates as a form of structured dispossession and the current relationship between Indigenous peoples and the state is part of that continuum.</w:t>
      </w:r>
      <w:r w:rsidRPr="00557658">
        <w:rPr>
          <w:rStyle w:val="StyleUnderline"/>
        </w:rPr>
        <w:t xml:space="preserve"> Ongoing</w:t>
      </w:r>
      <w:r w:rsidRPr="00557658">
        <w:rPr>
          <w:rFonts w:ascii="TimesNewRomanPSMT" w:eastAsia="Times New Roman" w:hAnsi="TimesNewRomanPSMT" w:cs="TimesNewRomanPSMT"/>
          <w:b/>
          <w:u w:val="single"/>
        </w:rPr>
        <w:t xml:space="preserve"> extractionist politics continue to inform our place-based arts of resistance and critiques in our struggles not only </w:t>
      </w:r>
      <w:r w:rsidRPr="00557658">
        <w:rPr>
          <w:rFonts w:ascii="TimesNewRomanPS" w:eastAsia="Times New Roman" w:hAnsi="TimesNewRomanPS"/>
          <w:b/>
          <w:i/>
          <w:iCs/>
          <w:u w:val="single"/>
        </w:rPr>
        <w:t xml:space="preserve">for </w:t>
      </w:r>
      <w:r w:rsidRPr="00557658">
        <w:rPr>
          <w:rFonts w:ascii="TimesNewRomanPSMT" w:eastAsia="Times New Roman" w:hAnsi="TimesNewRomanPSMT" w:cs="TimesNewRomanPSMT"/>
          <w:b/>
          <w:u w:val="single"/>
        </w:rPr>
        <w:t xml:space="preserve">land but also informed </w:t>
      </w:r>
      <w:r w:rsidRPr="00557658">
        <w:rPr>
          <w:rFonts w:ascii="TimesNewRomanPS" w:eastAsia="Times New Roman" w:hAnsi="TimesNewRomanPS"/>
          <w:b/>
          <w:i/>
          <w:iCs/>
          <w:u w:val="single"/>
        </w:rPr>
        <w:t xml:space="preserve">by </w:t>
      </w:r>
      <w:r w:rsidRPr="00557658">
        <w:rPr>
          <w:rFonts w:ascii="TimesNewRomanPSMT" w:eastAsia="Times New Roman" w:hAnsi="TimesNewRomanPSMT" w:cs="TimesNewRomanPSMT"/>
          <w:b/>
          <w:u w:val="single"/>
        </w:rPr>
        <w:t>the land.</w:t>
      </w:r>
      <w:r w:rsidRPr="00256BBF">
        <w:rPr>
          <w:rFonts w:ascii="TimesNewRomanPSMT" w:eastAsia="Times New Roman" w:hAnsi="TimesNewRomanPSMT" w:cs="TimesNewRomanPSMT"/>
          <w:b/>
          <w:u w:val="single"/>
        </w:rPr>
        <w:t xml:space="preserve"> </w:t>
      </w:r>
      <w:r w:rsidRPr="00256BBF">
        <w:rPr>
          <w:rFonts w:ascii="TimesNewRomanPSMT" w:eastAsia="Times New Roman" w:hAnsi="TimesNewRomanPSMT" w:cs="TimesNewRomanPSMT"/>
          <w:b/>
          <w:highlight w:val="yellow"/>
          <w:u w:val="single"/>
        </w:rPr>
        <w:t>Indigenous peoples’ resistance to</w:t>
      </w:r>
      <w:r w:rsidRPr="00557658">
        <w:rPr>
          <w:rFonts w:ascii="TimesNewRomanPSMT" w:eastAsia="Times New Roman" w:hAnsi="TimesNewRomanPSMT" w:cs="TimesNewRomanPSMT"/>
          <w:b/>
          <w:u w:val="single"/>
        </w:rPr>
        <w:t xml:space="preserve"> the </w:t>
      </w:r>
      <w:r w:rsidRPr="00256BBF">
        <w:rPr>
          <w:rFonts w:ascii="TimesNewRomanPSMT" w:eastAsia="Times New Roman" w:hAnsi="TimesNewRomanPSMT" w:cs="TimesNewRomanPSMT"/>
          <w:b/>
          <w:highlight w:val="yellow"/>
          <w:u w:val="single"/>
        </w:rPr>
        <w:t>calls for forgiveness is a</w:t>
      </w:r>
      <w:r w:rsidRPr="00557658">
        <w:rPr>
          <w:rFonts w:ascii="TimesNewRomanPSMT" w:eastAsia="Times New Roman" w:hAnsi="TimesNewRomanPSMT" w:cs="TimesNewRomanPSMT"/>
          <w:b/>
          <w:u w:val="single"/>
        </w:rPr>
        <w:t xml:space="preserve"> legitimate </w:t>
      </w:r>
      <w:r w:rsidRPr="00256BBF">
        <w:rPr>
          <w:rFonts w:ascii="TimesNewRomanPSMT" w:eastAsia="Times New Roman" w:hAnsi="TimesNewRomanPSMT" w:cs="TimesNewRomanPSMT"/>
          <w:b/>
          <w:highlight w:val="yellow"/>
          <w:u w:val="single"/>
        </w:rPr>
        <w:t>rejection of a new relationship that is</w:t>
      </w:r>
      <w:r w:rsidRPr="00256BBF">
        <w:rPr>
          <w:rFonts w:ascii="TimesNewRomanPSMT" w:eastAsia="Times New Roman" w:hAnsi="TimesNewRomanPSMT" w:cs="TimesNewRomanPSMT"/>
          <w:b/>
          <w:u w:val="single"/>
        </w:rPr>
        <w:t xml:space="preserve"> simply </w:t>
      </w:r>
      <w:r w:rsidRPr="00256BBF">
        <w:rPr>
          <w:rFonts w:ascii="TimesNewRomanPSMT" w:eastAsia="Times New Roman" w:hAnsi="TimesNewRomanPSMT" w:cs="TimesNewRomanPSMT"/>
          <w:b/>
          <w:highlight w:val="yellow"/>
          <w:u w:val="single"/>
        </w:rPr>
        <w:t>the old relationship with new clothes.</w:t>
      </w:r>
      <w:r w:rsidRPr="00297DE2">
        <w:rPr>
          <w:rFonts w:ascii="TimesNewRomanPSMT" w:eastAsia="Times New Roman" w:hAnsi="TimesNewRomanPSMT" w:cs="TimesNewRomanPSMT"/>
          <w:sz w:val="16"/>
        </w:rPr>
        <w:t xml:space="preserve"> In our hwulmuhw snuw’uy’ulh</w:t>
      </w:r>
      <w:r w:rsidRPr="00297DE2">
        <w:rPr>
          <w:rFonts w:ascii="TimesNewRomanPSMT" w:eastAsia="Times New Roman" w:hAnsi="TimesNewRomanPSMT" w:cs="TimesNewRomanPSMT"/>
          <w:position w:val="12"/>
          <w:sz w:val="16"/>
          <w:szCs w:val="16"/>
        </w:rPr>
        <w:t>6</w:t>
      </w:r>
      <w:r w:rsidRPr="00297DE2">
        <w:rPr>
          <w:rFonts w:ascii="TimesNewRomanPSMT" w:eastAsia="Times New Roman" w:hAnsi="TimesNewRomanPSMT" w:cs="TimesNewRomanPSMT"/>
          <w:sz w:val="16"/>
        </w:rPr>
        <w:t xml:space="preserve">, we have stories and dances that demonstrate that some beings are duplicitous and must be approached with caution or outsmarted in order to stop them from causing any further harm to the people or the village; suspicion, anger and resentment cannot be disqualified. </w:t>
      </w:r>
      <w:r w:rsidRPr="00557658">
        <w:rPr>
          <w:rStyle w:val="StyleUnderline"/>
          <w:highlight w:val="yellow"/>
        </w:rPr>
        <w:t>To disregard anger</w:t>
      </w:r>
      <w:r w:rsidRPr="00557658">
        <w:rPr>
          <w:rStyle w:val="StyleUnderline"/>
        </w:rPr>
        <w:t xml:space="preserve"> and resentment as destructive emotions </w:t>
      </w:r>
      <w:r w:rsidRPr="00557658">
        <w:rPr>
          <w:rStyle w:val="StyleUnderline"/>
          <w:highlight w:val="yellow"/>
        </w:rPr>
        <w:t>is an uncritical move to absolve the unforgiven, where</w:t>
      </w:r>
      <w:r w:rsidRPr="00297DE2">
        <w:rPr>
          <w:rStyle w:val="StyleUnderline"/>
        </w:rPr>
        <w:t>by</w:t>
      </w:r>
      <w:r w:rsidRPr="00557658">
        <w:rPr>
          <w:rStyle w:val="StyleUnderline"/>
          <w:highlight w:val="yellow"/>
        </w:rPr>
        <w:t xml:space="preserve"> blame is place</w:t>
      </w:r>
      <w:r>
        <w:rPr>
          <w:rStyle w:val="StyleUnderline"/>
          <w:highlight w:val="yellow"/>
        </w:rPr>
        <w:t>d</w:t>
      </w:r>
      <w:r w:rsidRPr="00557658">
        <w:rPr>
          <w:rStyle w:val="StyleUnderline"/>
          <w:highlight w:val="yellow"/>
        </w:rPr>
        <w:t xml:space="preserve"> on the injured party</w:t>
      </w:r>
      <w:r w:rsidRPr="00557658">
        <w:rPr>
          <w:rStyle w:val="StyleUnderline"/>
        </w:rPr>
        <w:t xml:space="preserve">, who is seen as an irrational ‘blockade’ blinded by their rage compared to the ‘reasonable’ </w:t>
      </w:r>
      <w:r w:rsidRPr="00F46C58">
        <w:rPr>
          <w:rStyle w:val="StyleUnderline"/>
        </w:rPr>
        <w:t>apologist</w:t>
      </w:r>
      <w:r w:rsidRPr="00F46C58">
        <w:rPr>
          <w:rStyle w:val="StyleUnderline"/>
          <w:highlight w:val="yellow"/>
        </w:rPr>
        <w:t>.</w:t>
      </w:r>
      <w:r w:rsidRPr="00F46C58">
        <w:rPr>
          <w:rStyle w:val="StyleUnderline"/>
        </w:rPr>
        <w:t xml:space="preserve"> Moreover, </w:t>
      </w:r>
      <w:r w:rsidRPr="00F46C58">
        <w:rPr>
          <w:rStyle w:val="StyleUnderline"/>
          <w:highlight w:val="yellow"/>
        </w:rPr>
        <w:t>when apologies offered</w:t>
      </w:r>
      <w:r w:rsidRPr="00F46C58">
        <w:rPr>
          <w:rStyle w:val="StyleUnderline"/>
        </w:rPr>
        <w:t xml:space="preserve"> (</w:t>
      </w:r>
      <w:r w:rsidRPr="00F46C58">
        <w:rPr>
          <w:rStyle w:val="StyleUnderline"/>
          <w:highlight w:val="yellow"/>
        </w:rPr>
        <w:t>by the state</w:t>
      </w:r>
      <w:r w:rsidRPr="00F46C58">
        <w:rPr>
          <w:rStyle w:val="StyleUnderline"/>
        </w:rPr>
        <w:t xml:space="preserve"> and individuals) </w:t>
      </w:r>
      <w:r w:rsidRPr="00F46C58">
        <w:rPr>
          <w:rStyle w:val="StyleUnderline"/>
          <w:highlight w:val="yellow"/>
        </w:rPr>
        <w:t>can be understood as displays of virtuousness, as</w:t>
      </w:r>
      <w:r w:rsidRPr="00F46C58">
        <w:rPr>
          <w:rStyle w:val="StyleUnderline"/>
        </w:rPr>
        <w:t xml:space="preserve"> spoken </w:t>
      </w:r>
      <w:r w:rsidRPr="00F46C58">
        <w:rPr>
          <w:rStyle w:val="StyleUnderline"/>
          <w:highlight w:val="yellow"/>
        </w:rPr>
        <w:t>desires to forget the past</w:t>
      </w:r>
      <w:r w:rsidRPr="00F46C58">
        <w:rPr>
          <w:rStyle w:val="StyleUnderline"/>
        </w:rPr>
        <w:t xml:space="preserve"> and to move forward in a shared future</w:t>
      </w:r>
      <w:r w:rsidRPr="00F46C58">
        <w:rPr>
          <w:rStyle w:val="StyleUnderline"/>
          <w:highlight w:val="yellow"/>
        </w:rPr>
        <w:t>, how can forgiveness be expected?</w:t>
      </w:r>
      <w:r w:rsidRPr="00297DE2">
        <w:rPr>
          <w:rFonts w:ascii="TimesNewRomanPSMT" w:eastAsia="Times New Roman" w:hAnsi="TimesNewRomanPSMT" w:cs="TimesNewRomanPSMT"/>
          <w:sz w:val="16"/>
        </w:rPr>
        <w:t xml:space="preserve"> These apologies are events that express regret and ask forgiveness for an event in the past, they are not commitments to structural change that acknowledge and identify the processes and structures that permit atrocities to occur and which continue to dispossess and dominate Indigenous peoples. For example, the Canadian state’s 2008 apology for the residential school system revealed the country’s escapist forgetfulness. Many elders and residential school survivors believe that the apology lacked substance, but it still provided a necessary piece of their healing. I have a sense that the apology contributed to a process of desubjectification for many residential school survivors. </w:t>
      </w:r>
      <w:r w:rsidRPr="00557658">
        <w:rPr>
          <w:rStyle w:val="StyleUnderline"/>
        </w:rPr>
        <w:t xml:space="preserve">Here, </w:t>
      </w:r>
      <w:r w:rsidRPr="00557658">
        <w:rPr>
          <w:rStyle w:val="StyleUnderline"/>
          <w:highlight w:val="yellow"/>
        </w:rPr>
        <w:t>desubjectification</w:t>
      </w:r>
      <w:r w:rsidRPr="00557658">
        <w:rPr>
          <w:rStyle w:val="StyleUnderline"/>
        </w:rPr>
        <w:t xml:space="preserve"> is a process of breaking free </w:t>
      </w:r>
      <w:r w:rsidRPr="00557658">
        <w:rPr>
          <w:rStyle w:val="StyleUnderline"/>
        </w:rPr>
        <w:lastRenderedPageBreak/>
        <w:t xml:space="preserve">from one’s subject position. This </w:t>
      </w:r>
      <w:r w:rsidRPr="00557658">
        <w:rPr>
          <w:rStyle w:val="StyleUnderline"/>
          <w:highlight w:val="yellow"/>
        </w:rPr>
        <w:t>involves</w:t>
      </w:r>
      <w:r w:rsidRPr="00557658">
        <w:rPr>
          <w:rStyle w:val="StyleUnderline"/>
        </w:rPr>
        <w:t xml:space="preserve"> adopting a critical attitude toward, or </w:t>
      </w:r>
      <w:r w:rsidRPr="00557658">
        <w:rPr>
          <w:rStyle w:val="StyleUnderline"/>
          <w:highlight w:val="yellow"/>
        </w:rPr>
        <w:t>destroying</w:t>
      </w:r>
      <w:r w:rsidRPr="00557658">
        <w:rPr>
          <w:rStyle w:val="StyleUnderline"/>
        </w:rPr>
        <w:t xml:space="preserve">, the discourses and </w:t>
      </w:r>
      <w:r w:rsidRPr="00557658">
        <w:rPr>
          <w:rStyle w:val="StyleUnderline"/>
          <w:highlight w:val="yellow"/>
        </w:rPr>
        <w:t>norms by which one is made</w:t>
      </w:r>
      <w:r w:rsidRPr="00557658">
        <w:rPr>
          <w:rStyle w:val="StyleUnderline"/>
        </w:rPr>
        <w:t xml:space="preserve"> a subject, namely, </w:t>
      </w:r>
      <w:r w:rsidRPr="00557658">
        <w:rPr>
          <w:rStyle w:val="StyleUnderline"/>
          <w:highlight w:val="yellow"/>
        </w:rPr>
        <w:t>a colonized subject.</w:t>
      </w:r>
      <w:r w:rsidRPr="00297DE2">
        <w:rPr>
          <w:rStyle w:val="StyleUnderline"/>
          <w:sz w:val="16"/>
          <w:u w:val="none"/>
        </w:rPr>
        <w:t xml:space="preserve"> </w:t>
      </w:r>
      <w:r w:rsidRPr="00297DE2">
        <w:rPr>
          <w:rFonts w:ascii="TimesNewRomanPSMT" w:eastAsia="Times New Roman" w:hAnsi="TimesNewRomanPSMT" w:cs="TimesNewRomanPSMT"/>
          <w:sz w:val="16"/>
        </w:rPr>
        <w:t xml:space="preserve">In Foucauldian terms, through a process of desubjectification, individuals stop comparing themselves with the ‘legitimate’ norms and ethics imposed by power/knowledge and stop changing themselves/their behavior in order to align with structural and institutionally ordered power/knowledge. Residential schools were a fundamental overseer of discipline and subjectification yet there is little to no acknowledgement that the violence of the residential school system is connected to the forms of violence that Indigenous women continue to experience throughout their lives. Advocacy for forgiveness is steeped in promises of peace and healing; it is not surprising that forgiveness is desired and tempting because of its seemingly redemptive quality and appeals to basic Indigenous principles of harmony. </w:t>
      </w:r>
      <w:r w:rsidRPr="00256BBF">
        <w:rPr>
          <w:rFonts w:ascii="TimesNewRomanPSMT" w:eastAsia="Times New Roman" w:hAnsi="TimesNewRomanPSMT" w:cs="TimesNewRomanPSMT"/>
          <w:b/>
          <w:highlight w:val="yellow"/>
          <w:u w:val="single"/>
        </w:rPr>
        <w:t>Refusal to forgive</w:t>
      </w:r>
      <w:r w:rsidRPr="00557658">
        <w:rPr>
          <w:rFonts w:ascii="TimesNewRomanPSMT" w:eastAsia="Times New Roman" w:hAnsi="TimesNewRomanPSMT" w:cs="TimesNewRomanPSMT"/>
          <w:b/>
          <w:u w:val="single"/>
        </w:rPr>
        <w:t xml:space="preserve">, </w:t>
      </w:r>
      <w:r w:rsidRPr="00297DE2">
        <w:rPr>
          <w:rFonts w:ascii="TimesNewRomanPSMT" w:eastAsia="Times New Roman" w:hAnsi="TimesNewRomanPSMT" w:cs="TimesNewRomanPSMT"/>
          <w:b/>
          <w:u w:val="single"/>
        </w:rPr>
        <w:t xml:space="preserve">then, must be understood as not only negation, but also affirmation. In refusing </w:t>
      </w:r>
      <w:r w:rsidRPr="00256BBF">
        <w:rPr>
          <w:rFonts w:ascii="TimesNewRomanPSMT" w:eastAsia="Times New Roman" w:hAnsi="TimesNewRomanPSMT" w:cs="TimesNewRomanPSMT"/>
          <w:b/>
          <w:highlight w:val="yellow"/>
          <w:u w:val="single"/>
        </w:rPr>
        <w:t>the ongoing violence of the colonial state</w:t>
      </w:r>
      <w:r w:rsidRPr="00297DE2">
        <w:rPr>
          <w:rFonts w:ascii="TimesNewRomanPSMT" w:eastAsia="Times New Roman" w:hAnsi="TimesNewRomanPSMT" w:cs="TimesNewRomanPSMT"/>
          <w:b/>
          <w:u w:val="single"/>
        </w:rPr>
        <w:t xml:space="preserve">, it </w:t>
      </w:r>
      <w:r w:rsidRPr="00256BBF">
        <w:rPr>
          <w:rFonts w:ascii="TimesNewRomanPSMT" w:eastAsia="Times New Roman" w:hAnsi="TimesNewRomanPSMT" w:cs="TimesNewRomanPSMT"/>
          <w:b/>
          <w:highlight w:val="yellow"/>
          <w:u w:val="single"/>
        </w:rPr>
        <w:t>demonstrates a commitment to affirm my</w:t>
      </w:r>
      <w:r w:rsidRPr="00256BBF">
        <w:rPr>
          <w:rFonts w:ascii="TimesNewRomanPSMT" w:eastAsia="Times New Roman" w:hAnsi="TimesNewRomanPSMT" w:cs="TimesNewRomanPSMT"/>
          <w:b/>
          <w:u w:val="single"/>
        </w:rPr>
        <w:t xml:space="preserve"> hwulmuhw </w:t>
      </w:r>
      <w:r w:rsidRPr="00256BBF">
        <w:rPr>
          <w:rFonts w:ascii="TimesNewRomanPSMT" w:eastAsia="Times New Roman" w:hAnsi="TimesNewRomanPSMT" w:cs="TimesNewRomanPSMT"/>
          <w:b/>
          <w:highlight w:val="yellow"/>
          <w:u w:val="single"/>
        </w:rPr>
        <w:t>teachings as a</w:t>
      </w:r>
      <w:r w:rsidRPr="00256BBF">
        <w:rPr>
          <w:rFonts w:ascii="TimesNewRomanPSMT" w:eastAsia="Times New Roman" w:hAnsi="TimesNewRomanPSMT" w:cs="TimesNewRomanPSMT"/>
          <w:b/>
          <w:u w:val="single"/>
        </w:rPr>
        <w:t xml:space="preserve"> Leey’qsun </w:t>
      </w:r>
      <w:r w:rsidRPr="00256BBF">
        <w:rPr>
          <w:rFonts w:ascii="TimesNewRomanPSMT" w:eastAsia="Times New Roman" w:hAnsi="TimesNewRomanPSMT" w:cs="TimesNewRomanPSMT"/>
          <w:b/>
          <w:highlight w:val="yellow"/>
          <w:u w:val="single"/>
        </w:rPr>
        <w:t>wom</w:t>
      </w:r>
      <w:r>
        <w:rPr>
          <w:rFonts w:ascii="TimesNewRomanPSMT" w:eastAsia="Times New Roman" w:hAnsi="TimesNewRomanPSMT" w:cs="TimesNewRomanPSMT"/>
          <w:b/>
          <w:highlight w:val="yellow"/>
          <w:u w:val="single"/>
        </w:rPr>
        <w:t>[o]</w:t>
      </w:r>
      <w:r w:rsidRPr="00256BBF">
        <w:rPr>
          <w:rFonts w:ascii="TimesNewRomanPSMT" w:eastAsia="Times New Roman" w:hAnsi="TimesNewRomanPSMT" w:cs="TimesNewRomanPSMT"/>
          <w:b/>
          <w:highlight w:val="yellow"/>
          <w:u w:val="single"/>
        </w:rPr>
        <w:t xml:space="preserve">n and direct my love </w:t>
      </w:r>
      <w:r w:rsidRPr="00256BBF">
        <w:rPr>
          <w:rFonts w:ascii="TimesNewRomanPS" w:eastAsia="Times New Roman" w:hAnsi="TimesNewRomanPS"/>
          <w:b/>
          <w:i/>
          <w:iCs/>
          <w:highlight w:val="yellow"/>
          <w:u w:val="single"/>
        </w:rPr>
        <w:t>inward</w:t>
      </w:r>
      <w:r w:rsidRPr="00256BBF">
        <w:rPr>
          <w:rFonts w:ascii="TimesNewRomanPSMT" w:eastAsia="Times New Roman" w:hAnsi="TimesNewRomanPSMT" w:cs="TimesNewRomanPSMT"/>
          <w:b/>
          <w:highlight w:val="yellow"/>
          <w:u w:val="single"/>
        </w:rPr>
        <w:t>.</w:t>
      </w:r>
      <w:r w:rsidRPr="00297DE2">
        <w:rPr>
          <w:rFonts w:ascii="TimesNewRomanPSMT" w:eastAsia="Times New Roman" w:hAnsi="TimesNewRomanPSMT" w:cs="TimesNewRomanPSMT"/>
          <w:b/>
          <w:u w:val="single"/>
        </w:rPr>
        <w:t xml:space="preserve"> One of the ways </w:t>
      </w:r>
      <w:r w:rsidRPr="00256BBF">
        <w:rPr>
          <w:rFonts w:ascii="TimesNewRomanPSMT" w:eastAsia="Times New Roman" w:hAnsi="TimesNewRomanPSMT" w:cs="TimesNewRomanPSMT"/>
          <w:b/>
          <w:highlight w:val="yellow"/>
          <w:u w:val="single"/>
        </w:rPr>
        <w:t xml:space="preserve">we accomplish this is by giving authority to </w:t>
      </w:r>
      <w:r w:rsidRPr="00557658">
        <w:rPr>
          <w:rStyle w:val="Emphasis"/>
          <w:highlight w:val="yellow"/>
        </w:rPr>
        <w:t>our own</w:t>
      </w:r>
      <w:r w:rsidRPr="00256BBF">
        <w:rPr>
          <w:rFonts w:ascii="TimesNewRomanPSMT" w:eastAsia="Times New Roman" w:hAnsi="TimesNewRomanPSMT" w:cs="TimesNewRomanPSMT"/>
          <w:b/>
          <w:highlight w:val="yellow"/>
          <w:u w:val="single"/>
        </w:rPr>
        <w:t xml:space="preserve"> laws and governance.</w:t>
      </w:r>
      <w:r w:rsidRPr="00297DE2">
        <w:rPr>
          <w:rFonts w:ascii="TimesNewRomanPSMT" w:eastAsia="Times New Roman" w:hAnsi="TimesNewRomanPSMT" w:cs="TimesNewRomanPSMT"/>
          <w:sz w:val="16"/>
        </w:rPr>
        <w:t xml:space="preserve"> It is essential that the revival of our laws and practices is not undertaken in the spirit of competition. By this I am referring to ways in which claims of authenticity or cultural authority are used by some to assert power over others; this is not resurgence. One of the first laws we learn is to be kind and help one another, to conduct oneself with kindness. Treating each other with kindness instead of lateral violence is one simple gesture that should go without saying, and makes our communities stronger and healthier. Our laws also provide our original responsibility to love and care for the lands, the waters, the sky, and all its beings. The law to be of good mind and heart is a law of the everyday. A good mind and a good heart, or ‘uy shqwaluwun’, is the core of our way of being. We must affirm our love for one another through our laws and re-vitalize them in our daily lives and in our minds, to share our ‘uy shqwaluwun’ inward. Simpson (2015) reminds us, “Although individuals have the responsibility to self-actualize within this system, intelligence in this context is not an individual’s property to own; once an individual has carried a particular teaching around to the point where they can easily embody that teaching, they, then, also become responsible for sharing it according to the ethics and protocols of the system. This is primarily done by modeling the teaching.” The same is true for the kind of love that we learn from the conduct of our old people. They understand and embody love and share it with us, so that we might learn to embody it and share it according to our ethics and protocols. </w:t>
      </w:r>
    </w:p>
    <w:p w14:paraId="47EFAB9F" w14:textId="19B94549" w:rsidR="00E42E4C" w:rsidRPr="00F601E6" w:rsidRDefault="00383D4F" w:rsidP="00383D4F">
      <w:pPr>
        <w:spacing w:line="480" w:lineRule="auto"/>
        <w:ind w:right="-720"/>
      </w:pPr>
      <w:r>
        <w:rPr>
          <w:rStyle w:val="StyleUnderline"/>
          <w:b w:val="0"/>
          <w:u w:val="none"/>
        </w:rPr>
        <w:t>Since rejecting appropriation is the only way to put that refusal into practice, I affirm</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pitch w:val="variable"/>
    <w:sig w:usb0="E0002AEF" w:usb1="C0007841" w:usb2="00000009" w:usb3="00000000" w:csb0="000001FF" w:csb1="00000000"/>
  </w:font>
  <w:font w:name="TimesNewRomanP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84E5E"/>
    <w:multiLevelType w:val="hybridMultilevel"/>
    <w:tmpl w:val="0BF4C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3D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3D4F"/>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D40"/>
    <w:rsid w:val="00BE6472"/>
    <w:rsid w:val="00BF29B8"/>
    <w:rsid w:val="00BF46EA"/>
    <w:rsid w:val="00C07769"/>
    <w:rsid w:val="00C07D05"/>
    <w:rsid w:val="00C10856"/>
    <w:rsid w:val="00C203FA"/>
    <w:rsid w:val="00C244F5"/>
    <w:rsid w:val="00C24D4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48339"/>
  <w14:defaultImageDpi w14:val="300"/>
  <w15:docId w15:val="{B37C91E2-34FC-E949-B6A8-2E91DC84E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4D4E"/>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C24D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4D4E"/>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C24D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C24D4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24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D4E"/>
  </w:style>
  <w:style w:type="character" w:customStyle="1" w:styleId="Heading1Char">
    <w:name w:val="Heading 1 Char"/>
    <w:aliases w:val="Pocket Char"/>
    <w:basedOn w:val="DefaultParagraphFont"/>
    <w:link w:val="Heading1"/>
    <w:uiPriority w:val="9"/>
    <w:rsid w:val="00C24D4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24D4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C24D4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C24D4E"/>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4D4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C24D4E"/>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C24D4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C24D4E"/>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C24D4E"/>
    <w:rPr>
      <w:color w:val="auto"/>
      <w:u w:val="none"/>
    </w:rPr>
  </w:style>
  <w:style w:type="paragraph" w:styleId="DocumentMap">
    <w:name w:val="Document Map"/>
    <w:basedOn w:val="Normal"/>
    <w:link w:val="DocumentMapChar"/>
    <w:uiPriority w:val="99"/>
    <w:semiHidden/>
    <w:unhideWhenUsed/>
    <w:rsid w:val="00C24D4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C24D4E"/>
    <w:rPr>
      <w:rFonts w:ascii="Lucida Grande" w:hAnsi="Lucida Grande" w:cs="Lucida Grande"/>
    </w:rPr>
  </w:style>
  <w:style w:type="paragraph" w:customStyle="1" w:styleId="textbold">
    <w:name w:val="text bold"/>
    <w:basedOn w:val="Normal"/>
    <w:link w:val="Emphasis"/>
    <w:uiPriority w:val="20"/>
    <w:qFormat/>
    <w:rsid w:val="00383D4F"/>
    <w:pPr>
      <w:ind w:left="720"/>
    </w:pPr>
    <w:rPr>
      <w:b/>
      <w:iCs/>
      <w:u w:val="single"/>
      <w:bdr w:val="single" w:sz="18" w:space="0" w:color="auto"/>
    </w:rPr>
  </w:style>
  <w:style w:type="paragraph" w:styleId="ListParagraph">
    <w:name w:val="List Paragraph"/>
    <w:basedOn w:val="Normal"/>
    <w:uiPriority w:val="34"/>
    <w:qFormat/>
    <w:rsid w:val="00383D4F"/>
    <w:pPr>
      <w:ind w:left="720"/>
      <w:contextualSpacing/>
    </w:pPr>
  </w:style>
  <w:style w:type="paragraph" w:styleId="NoSpacing">
    <w:name w:val="No Spacing"/>
    <w:uiPriority w:val="1"/>
    <w:qFormat/>
    <w:rsid w:val="00383D4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16</Pages>
  <Words>5594</Words>
  <Characters>31886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3</cp:revision>
  <dcterms:created xsi:type="dcterms:W3CDTF">2022-02-04T21:28:00Z</dcterms:created>
  <dcterms:modified xsi:type="dcterms:W3CDTF">2022-02-05T01:26:00Z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