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D25BD" w14:textId="77777777" w:rsidR="00470B38" w:rsidRDefault="00470B38" w:rsidP="00470B38">
      <w:pPr>
        <w:pStyle w:val="Heading2"/>
        <w:rPr>
          <w:u w:val="single"/>
        </w:rPr>
      </w:pPr>
      <w:r w:rsidRPr="00D93A93">
        <w:rPr>
          <w:u w:val="single"/>
        </w:rPr>
        <w:t>1</w:t>
      </w:r>
      <w:r w:rsidRPr="00D93A93">
        <w:rPr>
          <w:u w:val="single"/>
          <w:vertAlign w:val="superscript"/>
        </w:rPr>
        <w:t>st</w:t>
      </w:r>
      <w:r w:rsidRPr="00D93A93">
        <w:rPr>
          <w:u w:val="single"/>
        </w:rPr>
        <w:t xml:space="preserve"> off – T  </w:t>
      </w:r>
    </w:p>
    <w:p w14:paraId="2B9D78C9" w14:textId="77777777" w:rsidR="00470B38" w:rsidRDefault="00470B38" w:rsidP="00470B38">
      <w:pPr>
        <w:pStyle w:val="Heading2"/>
        <w:ind w:right="-720"/>
        <w:rPr>
          <w:u w:val="single"/>
        </w:rPr>
      </w:pPr>
      <w:r>
        <w:rPr>
          <w:u w:val="single"/>
        </w:rPr>
        <w:t>A. Interpretation</w:t>
      </w:r>
    </w:p>
    <w:p w14:paraId="532F888A" w14:textId="77777777" w:rsidR="00470B38" w:rsidRDefault="00470B38" w:rsidP="00470B38">
      <w:pPr>
        <w:ind w:right="-720"/>
      </w:pPr>
    </w:p>
    <w:p w14:paraId="619607F2" w14:textId="77777777" w:rsidR="00470B38" w:rsidRDefault="00470B38" w:rsidP="00470B38">
      <w:pPr>
        <w:pStyle w:val="Heading4"/>
        <w:spacing w:line="480" w:lineRule="auto"/>
        <w:ind w:right="-720"/>
        <w:rPr>
          <w:b w:val="0"/>
        </w:rPr>
      </w:pPr>
      <w:r>
        <w:t xml:space="preserve">[Interp] </w:t>
      </w:r>
      <w:r>
        <w:rPr>
          <w:b w:val="0"/>
        </w:rPr>
        <w:t>The aff</w:t>
      </w:r>
      <w:r w:rsidRPr="005D0CBA">
        <w:rPr>
          <w:b w:val="0"/>
        </w:rPr>
        <w:t xml:space="preserve"> may specify </w:t>
      </w:r>
      <w:r>
        <w:rPr>
          <w:b w:val="0"/>
        </w:rPr>
        <w:t>no more than TWO of the following, but NOT all three: which member states do the plan, the type of IPP, and the condition of the recution. To clarify, they may read a plan about a specific type of IPP or a relationship between specific nations, but may not spec all of these.</w:t>
      </w:r>
    </w:p>
    <w:p w14:paraId="53BBCBBE" w14:textId="77777777" w:rsidR="00470B38" w:rsidRDefault="00470B38" w:rsidP="00470B38">
      <w:pPr>
        <w:ind w:right="-720"/>
      </w:pPr>
    </w:p>
    <w:p w14:paraId="66842963" w14:textId="77777777" w:rsidR="00470B38" w:rsidRDefault="00470B38" w:rsidP="00470B38">
      <w:pPr>
        <w:pStyle w:val="Heading2"/>
        <w:ind w:right="-720"/>
        <w:rPr>
          <w:u w:val="single"/>
        </w:rPr>
      </w:pPr>
      <w:r>
        <w:rPr>
          <w:u w:val="single"/>
        </w:rPr>
        <w:t>B. Violation</w:t>
      </w:r>
    </w:p>
    <w:p w14:paraId="7734B458" w14:textId="77777777" w:rsidR="00470B38" w:rsidRDefault="00470B38" w:rsidP="00470B38">
      <w:pPr>
        <w:ind w:right="-720"/>
      </w:pPr>
    </w:p>
    <w:p w14:paraId="3BF79E10" w14:textId="77777777" w:rsidR="00470B38" w:rsidRDefault="00470B38" w:rsidP="00470B38">
      <w:pPr>
        <w:pStyle w:val="Heading4"/>
        <w:spacing w:line="480" w:lineRule="auto"/>
        <w:ind w:right="-720"/>
        <w:rPr>
          <w:b w:val="0"/>
        </w:rPr>
      </w:pPr>
      <w:r>
        <w:t xml:space="preserve">[Violation] </w:t>
      </w:r>
      <w:r>
        <w:rPr>
          <w:b w:val="0"/>
        </w:rPr>
        <w:t xml:space="preserve">Their aff specs all three components: </w:t>
      </w:r>
    </w:p>
    <w:p w14:paraId="25779CA9" w14:textId="77777777" w:rsidR="00470B38" w:rsidRPr="005148E7" w:rsidRDefault="00470B38" w:rsidP="00470B38">
      <w:r>
        <w:rPr>
          <w:rFonts w:ascii="AppleSystemUIFont" w:hAnsi="AppleSystemUIFont" w:cs="AppleSystemUIFont"/>
          <w:sz w:val="26"/>
          <w:szCs w:val="26"/>
        </w:rPr>
        <w:t>1) which member states, the type of IPP (trade secret protections), 3) the conditions of the reduction.</w:t>
      </w:r>
    </w:p>
    <w:p w14:paraId="78C1D8DB" w14:textId="77777777" w:rsidR="00470B38" w:rsidRDefault="00470B38" w:rsidP="00470B38">
      <w:pPr>
        <w:ind w:right="-720"/>
      </w:pPr>
    </w:p>
    <w:p w14:paraId="3FA9451E" w14:textId="77777777" w:rsidR="00470B38" w:rsidRDefault="00470B38" w:rsidP="00470B38">
      <w:pPr>
        <w:pStyle w:val="Heading2"/>
        <w:ind w:right="-720"/>
        <w:rPr>
          <w:u w:val="single"/>
        </w:rPr>
      </w:pPr>
      <w:r>
        <w:rPr>
          <w:u w:val="single"/>
        </w:rPr>
        <w:t>C. Standards</w:t>
      </w:r>
    </w:p>
    <w:p w14:paraId="5BCD579A" w14:textId="77777777" w:rsidR="00470B38" w:rsidRDefault="00470B38" w:rsidP="00470B38">
      <w:pPr>
        <w:ind w:right="-720"/>
      </w:pPr>
    </w:p>
    <w:p w14:paraId="6FA6A8A0" w14:textId="77777777" w:rsidR="00470B38" w:rsidRPr="005D0CBA" w:rsidRDefault="00470B38" w:rsidP="00470B38">
      <w:pPr>
        <w:pStyle w:val="Heading4"/>
        <w:spacing w:line="480" w:lineRule="auto"/>
        <w:ind w:right="-720"/>
        <w:rPr>
          <w:rFonts w:cs="Times New Roman"/>
          <w:szCs w:val="24"/>
        </w:rPr>
      </w:pPr>
      <w:r>
        <w:rPr>
          <w:rFonts w:cs="Times New Roman"/>
          <w:szCs w:val="24"/>
        </w:rPr>
        <w:t xml:space="preserve">1. [OECD] First, LIMITS: </w:t>
      </w:r>
      <w:r>
        <w:rPr>
          <w:rFonts w:cs="Times New Roman"/>
          <w:b w:val="0"/>
          <w:szCs w:val="24"/>
        </w:rPr>
        <w:t xml:space="preserve">there’s an INFINITE number of combinations of nations and aid that they can spec, exploding the topic. ODA </w:t>
      </w:r>
      <w:r>
        <w:rPr>
          <w:rFonts w:cs="Times New Roman"/>
          <w:b w:val="0"/>
          <w:i/>
          <w:szCs w:val="24"/>
        </w:rPr>
        <w:t>alone</w:t>
      </w:r>
      <w:r>
        <w:rPr>
          <w:rFonts w:cs="Times New Roman"/>
          <w:b w:val="0"/>
          <w:szCs w:val="24"/>
        </w:rPr>
        <w:t xml:space="preserve"> takes tons of different forms.</w:t>
      </w:r>
    </w:p>
    <w:p w14:paraId="67A001BA" w14:textId="77777777" w:rsidR="00470B38" w:rsidRPr="005D0CBA" w:rsidRDefault="00470B38" w:rsidP="00470B38">
      <w:pPr>
        <w:ind w:right="-720"/>
        <w:rPr>
          <w:sz w:val="16"/>
        </w:rPr>
      </w:pPr>
      <w:r w:rsidRPr="005D0CBA">
        <w:rPr>
          <w:rStyle w:val="StyleUnderline"/>
        </w:rPr>
        <w:t>OECD</w:t>
      </w:r>
      <w:r w:rsidRPr="005D0CBA">
        <w:rPr>
          <w:rStyle w:val="Style13ptBold"/>
          <w:sz w:val="24"/>
        </w:rPr>
        <w:t>:</w:t>
      </w:r>
      <w:r w:rsidRPr="005D0CBA">
        <w:rPr>
          <w:sz w:val="16"/>
        </w:rPr>
        <w:t xml:space="preserve"> Organisation for Economic Co-Operation and Development. “Is It ODA? Factsheet” OECD, November 2008. CH</w:t>
      </w:r>
    </w:p>
    <w:p w14:paraId="006F234D" w14:textId="77777777" w:rsidR="00470B38" w:rsidRPr="009809D1" w:rsidRDefault="00470B38" w:rsidP="00470B38">
      <w:pPr>
        <w:ind w:right="-720"/>
      </w:pPr>
    </w:p>
    <w:p w14:paraId="42A9F593" w14:textId="77777777" w:rsidR="00470B38" w:rsidRPr="005D0CBA" w:rsidRDefault="00470B38" w:rsidP="00470B38">
      <w:pPr>
        <w:spacing w:line="480" w:lineRule="auto"/>
        <w:ind w:right="-720"/>
        <w:rPr>
          <w:sz w:val="16"/>
        </w:rPr>
      </w:pPr>
      <w:r w:rsidRPr="005D0CBA">
        <w:rPr>
          <w:sz w:val="16"/>
        </w:rPr>
        <w:t xml:space="preserve">Peacekeeping - The enforcement aspects of peacekeeping are not reportable as ODA. However, </w:t>
      </w:r>
      <w:r w:rsidRPr="005D0CBA">
        <w:rPr>
          <w:rStyle w:val="StyleUnderline"/>
          <w:highlight w:val="yellow"/>
        </w:rPr>
        <w:t>ODA does include</w:t>
      </w:r>
      <w:r w:rsidRPr="005D0CBA">
        <w:rPr>
          <w:sz w:val="16"/>
        </w:rPr>
        <w:t xml:space="preserve"> the net bilateral costs to donors of carrying out the following activities within UN-administered or UN-approved peace operations: </w:t>
      </w:r>
      <w:r w:rsidRPr="005D0CBA">
        <w:rPr>
          <w:rStyle w:val="StyleUnderline"/>
          <w:highlight w:val="yellow"/>
        </w:rPr>
        <w:t>human rights, election monitoring,</w:t>
      </w:r>
      <w:r w:rsidRPr="005D0CBA">
        <w:rPr>
          <w:sz w:val="16"/>
        </w:rPr>
        <w:t xml:space="preserve"> rehabilitation of demobilised soldiers and of national infrastructure, monitoring and training of administrators, including customs and police officers, advice on economic stabilisation, repatriation and demobilisation of soldiers, weapons disposal </w:t>
      </w:r>
      <w:r w:rsidRPr="005D0CBA">
        <w:rPr>
          <w:rStyle w:val="StyleUnderline"/>
          <w:highlight w:val="yellow"/>
        </w:rPr>
        <w:t>and</w:t>
      </w:r>
      <w:r w:rsidRPr="005D0CBA">
        <w:rPr>
          <w:sz w:val="16"/>
        </w:rPr>
        <w:t xml:space="preserve"> mine removal. (Net bilateral costs means the extra costs of assigning personnel to these activities, net of the costs of stationing them at home, and of any compensation received from the UN.) </w:t>
      </w:r>
      <w:r w:rsidRPr="005D0CBA">
        <w:rPr>
          <w:rStyle w:val="StyleUnderline"/>
          <w:highlight w:val="yellow"/>
        </w:rPr>
        <w:t>[s]imilar activities conducted for developmental reasons</w:t>
      </w:r>
      <w:r w:rsidRPr="005D0CBA">
        <w:rPr>
          <w:sz w:val="16"/>
        </w:rPr>
        <w:t xml:space="preserve"> outside UN peace operations are also reportable as ODA, but not recorded against the peacekeeping code</w:t>
      </w:r>
      <w:r w:rsidRPr="005D0CBA">
        <w:rPr>
          <w:rStyle w:val="StyleUnderline"/>
          <w:highlight w:val="yellow"/>
        </w:rPr>
        <w:t>.</w:t>
      </w:r>
      <w:r w:rsidRPr="005D0CBA">
        <w:rPr>
          <w:sz w:val="16"/>
        </w:rPr>
        <w:t xml:space="preserve"> Activities carried out for non-developmental reasons, e.g. mine clearance to allow military training, are not reportable as ODA . </w:t>
      </w:r>
      <w:r w:rsidRPr="005D0CBA">
        <w:rPr>
          <w:rStyle w:val="StyleUnderline"/>
          <w:highlight w:val="yellow"/>
        </w:rPr>
        <w:t>Civil police work</w:t>
      </w:r>
      <w:r w:rsidRPr="005D0CBA">
        <w:rPr>
          <w:sz w:val="16"/>
        </w:rPr>
        <w:t xml:space="preserve"> - Expenditure on police training is reportable as ODA, unless the training relates to paramilitary functions such as counter-insurgency work or intelligence gathering on terrorism. The supply of the donor’s police services to control civil disobedience is not reportable. </w:t>
      </w:r>
      <w:r w:rsidRPr="005D0CBA">
        <w:rPr>
          <w:rStyle w:val="StyleUnderline"/>
          <w:highlight w:val="yellow"/>
        </w:rPr>
        <w:t>Social and cultural programmes</w:t>
      </w:r>
      <w:r w:rsidRPr="005D0CBA">
        <w:rPr>
          <w:sz w:val="16"/>
        </w:rPr>
        <w:t xml:space="preserve"> - As with police work, a distinction is drawn between building developing countries’ capacity (ODA-eligible) and one-off interventions (not ODA-eligible). Thus, the promotion of museums, libraries, art and music schools, and sports training facilities and venues counts as ODA, whereas sponsoring concert tours or athletes’ travel costs does not. Cultural programmes in developing countries whose main purpose is to promote the culture or values of the donor are not reportable as ODA. </w:t>
      </w:r>
      <w:r w:rsidRPr="005D0CBA">
        <w:rPr>
          <w:rStyle w:val="StyleUnderline"/>
          <w:highlight w:val="yellow"/>
        </w:rPr>
        <w:t>Assistance to refugees</w:t>
      </w:r>
      <w:r w:rsidRPr="005D0CBA">
        <w:rPr>
          <w:sz w:val="16"/>
        </w:rPr>
        <w:t xml:space="preserve"> - Assistance to refugees in developing countries is reportable as ODA. Temporary assistance to refugees from developing countries arriving in donor countries is reportable as ODA during the first 12 months of stay, </w:t>
      </w:r>
      <w:r w:rsidRPr="005D0CBA">
        <w:rPr>
          <w:rStyle w:val="StyleUnderline"/>
          <w:highlight w:val="yellow"/>
        </w:rPr>
        <w:t>and</w:t>
      </w:r>
      <w:r w:rsidRPr="005D0CBA">
        <w:rPr>
          <w:sz w:val="16"/>
        </w:rPr>
        <w:t xml:space="preserve"> all costs associated with eventual repatriation to the developing country of origin are also reportable. </w:t>
      </w:r>
      <w:r w:rsidRPr="005D0CBA">
        <w:rPr>
          <w:rStyle w:val="StyleUnderline"/>
          <w:highlight w:val="yellow"/>
        </w:rPr>
        <w:t>Nuclear energy</w:t>
      </w:r>
      <w:r w:rsidRPr="005D0CBA">
        <w:rPr>
          <w:sz w:val="16"/>
        </w:rPr>
        <w:t xml:space="preserve"> - The peaceful use of nuclear energy, including construction of nuclear power plants, nuclear safety and the medical use of radioisotopes, is ODA-eligible. Military applications of nuclear energy and nuclear non-proliferation activities are not.Research - Only research directly and primarily relevant to the problems of developing countries may be counted as ODA. This includes research into tropical diseases and developing crops designed for developing country conditions. The costs </w:t>
      </w:r>
      <w:r w:rsidRPr="005D0CBA">
        <w:rPr>
          <w:rStyle w:val="StyleUnderline"/>
          <w:highlight w:val="yellow"/>
        </w:rPr>
        <w:t>may</w:t>
      </w:r>
      <w:r w:rsidRPr="005D0CBA">
        <w:rPr>
          <w:sz w:val="16"/>
        </w:rPr>
        <w:t xml:space="preserve"> still </w:t>
      </w:r>
      <w:r w:rsidRPr="005D0CBA">
        <w:rPr>
          <w:rStyle w:val="StyleUnderline"/>
          <w:highlight w:val="yellow"/>
        </w:rPr>
        <w:t>be counted as ODA</w:t>
      </w:r>
      <w:r w:rsidRPr="005D0CBA">
        <w:rPr>
          <w:sz w:val="16"/>
        </w:rPr>
        <w:t xml:space="preserve"> if the research is carried out in a developed country</w:t>
      </w:r>
      <w:r w:rsidRPr="005D0CBA">
        <w:rPr>
          <w:rStyle w:val="StyleUnderline"/>
          <w:highlight w:val="yellow"/>
        </w:rPr>
        <w:t>.</w:t>
      </w:r>
      <w:r w:rsidRPr="005D0CBA">
        <w:rPr>
          <w:sz w:val="16"/>
        </w:rPr>
        <w:t xml:space="preserve"> Anti-Terrorism - Activities combatting terrorism are not reportable as ODA, as they generally target perceived threats to donor, as much as to recipient countries, rather than focusing on the economic and social development of the recipient.</w:t>
      </w:r>
    </w:p>
    <w:p w14:paraId="0D3ECF84" w14:textId="77777777" w:rsidR="00470B38" w:rsidRDefault="00470B38" w:rsidP="00470B38"/>
    <w:p w14:paraId="3DABA1FE" w14:textId="77777777" w:rsidR="00470B38" w:rsidRDefault="00470B38" w:rsidP="00470B38"/>
    <w:p w14:paraId="7C725919" w14:textId="77777777" w:rsidR="00470B38" w:rsidRPr="009809D1" w:rsidRDefault="00470B38" w:rsidP="00470B38">
      <w:pPr>
        <w:pStyle w:val="Heading4"/>
        <w:ind w:right="-720"/>
        <w:rPr>
          <w:rFonts w:cs="Times New Roman"/>
          <w:szCs w:val="24"/>
        </w:rPr>
      </w:pPr>
      <w:r w:rsidRPr="009809D1">
        <w:rPr>
          <w:rFonts w:cs="Times New Roman"/>
          <w:szCs w:val="24"/>
        </w:rPr>
        <w:t>Solvency advocate doesn’t check – there’s someone for any branch of DA advocating it. Impacts: </w:t>
      </w:r>
    </w:p>
    <w:p w14:paraId="49D10D64" w14:textId="77777777" w:rsidR="00470B38" w:rsidRPr="009809D1" w:rsidRDefault="00470B38" w:rsidP="00470B38">
      <w:pPr>
        <w:pStyle w:val="Heading4"/>
        <w:ind w:right="-720"/>
        <w:rPr>
          <w:rFonts w:cs="Times New Roman"/>
          <w:szCs w:val="24"/>
        </w:rPr>
      </w:pPr>
      <w:r w:rsidRPr="009809D1">
        <w:rPr>
          <w:rFonts w:cs="Times New Roman"/>
          <w:szCs w:val="24"/>
        </w:rPr>
        <w:t xml:space="preserve">a) Pigeonholing- this pigeonholes the negative into generics like the Kant NC every single time because specification avoids topic egnerics. This gives the aff a huge prep advantage because they know what the 1NC will be literally every single time – guts fairness. Also generic debates are uniquely bad – they’re rehashed and stale. This destroys education – we don’t get to have a conversation about specific nuances of the topic. </w:t>
      </w:r>
    </w:p>
    <w:p w14:paraId="73FB9229" w14:textId="77777777" w:rsidR="00470B38" w:rsidRPr="009809D1" w:rsidRDefault="00470B38" w:rsidP="00470B38">
      <w:pPr>
        <w:pStyle w:val="Heading4"/>
        <w:ind w:right="-720"/>
        <w:rPr>
          <w:rFonts w:cs="Times New Roman"/>
          <w:szCs w:val="24"/>
        </w:rPr>
      </w:pPr>
      <w:r w:rsidRPr="009809D1">
        <w:rPr>
          <w:rFonts w:cs="Times New Roman"/>
          <w:szCs w:val="24"/>
        </w:rPr>
        <w:t>b) Topic education—the neg ensures every round can be about the topic even if the neg doesn’t have specific prep to the aff’</w:t>
      </w:r>
      <w:r>
        <w:rPr>
          <w:rFonts w:cs="Times New Roman"/>
          <w:szCs w:val="24"/>
        </w:rPr>
        <w:t xml:space="preserve"> </w:t>
      </w:r>
      <w:r w:rsidRPr="009809D1">
        <w:rPr>
          <w:rFonts w:cs="Times New Roman"/>
          <w:szCs w:val="24"/>
        </w:rPr>
        <w:t>s scenarios – we can still engage on the topic. Outweighs – we only have the topic for two months, we need an opportunity to debate about it. Independently, it’s better for clash because we always have something to debate in-depth about – key to decisionmaking skills and the internal link to debate education in the first place.</w:t>
      </w:r>
    </w:p>
    <w:p w14:paraId="1523311F" w14:textId="77777777" w:rsidR="00470B38" w:rsidRPr="009809D1" w:rsidRDefault="00470B38" w:rsidP="00470B38">
      <w:pPr>
        <w:pStyle w:val="Heading4"/>
        <w:ind w:right="-720"/>
        <w:rPr>
          <w:rFonts w:cs="Times New Roman"/>
          <w:szCs w:val="24"/>
        </w:rPr>
      </w:pPr>
      <w:r w:rsidRPr="009809D1">
        <w:rPr>
          <w:rFonts w:cs="Times New Roman"/>
          <w:szCs w:val="24"/>
        </w:rPr>
        <w:t xml:space="preserve">c) Prep skew- their interp requires the neg to bifurcate their prep between tons of aff’s while the aff focuses on just one., meaning the 1NC is destroyed by 1ar frontlines since they have 30 times more prep.. My interp makes sure that research burdens are drawn on reciprocal lines – that’s key to fair engagement. Reciprocity outweighs – it’s the definition of equal access to the ballot. </w:t>
      </w:r>
    </w:p>
    <w:p w14:paraId="0220406B" w14:textId="77777777" w:rsidR="00470B38" w:rsidRPr="009809D1" w:rsidRDefault="00470B38" w:rsidP="00470B38">
      <w:pPr>
        <w:ind w:right="-720"/>
      </w:pPr>
      <w:r w:rsidRPr="009809D1">
        <w:rPr>
          <w:rFonts w:eastAsia="Times New Roman"/>
          <w:color w:val="333333"/>
        </w:rPr>
        <w:t>2) Ground – they get to specify relatively uncontroversial positions since they can cherry-pick so many variables</w:t>
      </w:r>
    </w:p>
    <w:p w14:paraId="2A53E74B" w14:textId="77777777" w:rsidR="00470B38" w:rsidRPr="009809D1" w:rsidRDefault="00470B38" w:rsidP="00470B38">
      <w:pPr>
        <w:pStyle w:val="Heading4"/>
        <w:ind w:right="-720"/>
        <w:rPr>
          <w:rFonts w:cs="Times New Roman"/>
          <w:szCs w:val="24"/>
        </w:rPr>
      </w:pPr>
      <w:r w:rsidRPr="009809D1">
        <w:rPr>
          <w:rFonts w:cs="Times New Roman"/>
          <w:szCs w:val="24"/>
        </w:rPr>
        <w:t>And, topical version of the aff solves – they could just defend the aff with a advantage which solves the good majority of their offense.</w:t>
      </w:r>
    </w:p>
    <w:p w14:paraId="6FDCF858" w14:textId="77777777" w:rsidR="00470B38" w:rsidRDefault="00470B38" w:rsidP="00470B38">
      <w:pPr>
        <w:pStyle w:val="Heading3"/>
      </w:pPr>
      <w:r>
        <w:t xml:space="preserve">D. Voter </w:t>
      </w:r>
    </w:p>
    <w:p w14:paraId="0B303F7C" w14:textId="77777777" w:rsidR="00470B38" w:rsidRDefault="00470B38" w:rsidP="00470B38"/>
    <w:p w14:paraId="550020BB" w14:textId="77777777" w:rsidR="00470B38" w:rsidRDefault="00470B38" w:rsidP="00470B38">
      <w:pPr>
        <w:spacing w:line="480" w:lineRule="auto"/>
      </w:pPr>
      <w:r>
        <w:t xml:space="preserve">Advocacy skills – </w:t>
      </w:r>
      <w:r w:rsidRPr="00D93A93">
        <w:t>they’re the only thing we leave the debate space with. This makes advocacy skills a prior question to the aff offense – understanding how to be antiracist in multiple instances outweighs any reasons why their aff specifically is good.</w:t>
      </w:r>
    </w:p>
    <w:p w14:paraId="00F497FB" w14:textId="77777777" w:rsidR="00470B38" w:rsidRPr="00D93A93" w:rsidRDefault="00470B38" w:rsidP="00470B38">
      <w:pPr>
        <w:spacing w:line="480" w:lineRule="auto"/>
        <w:rPr>
          <w:b/>
          <w:bCs/>
        </w:rPr>
      </w:pPr>
      <w:r w:rsidRPr="00D93A93">
        <w:rPr>
          <w:b/>
          <w:bCs/>
        </w:rPr>
        <w:t>No RVIs –</w:t>
      </w:r>
    </w:p>
    <w:p w14:paraId="427716D4" w14:textId="77777777" w:rsidR="00470B38" w:rsidRDefault="00470B38" w:rsidP="00470B38">
      <w:pPr>
        <w:spacing w:line="480" w:lineRule="auto"/>
      </w:pPr>
      <w:r w:rsidRPr="00D93A93">
        <w:t xml:space="preserve">a) chilling effect – they discourage me from checking against abuse. </w:t>
      </w:r>
    </w:p>
    <w:p w14:paraId="6DB3A805" w14:textId="77777777" w:rsidR="00470B38" w:rsidRDefault="00470B38" w:rsidP="00470B38">
      <w:pPr>
        <w:spacing w:line="480" w:lineRule="auto"/>
      </w:pPr>
      <w:r w:rsidRPr="00D93A93">
        <w:t xml:space="preserve">b) theory baiting – they encourage the aff to be as abusive as possible and win the RVI on T. </w:t>
      </w:r>
    </w:p>
    <w:p w14:paraId="2041A76D" w14:textId="77777777" w:rsidR="00470B38" w:rsidRDefault="00470B38" w:rsidP="00470B38">
      <w:pPr>
        <w:spacing w:line="480" w:lineRule="auto"/>
      </w:pPr>
      <w:r w:rsidRPr="00D93A93">
        <w:t>c) logic – RVIs don’t make sense on T – you don’t get to win just for proving you’re topical.</w:t>
      </w:r>
    </w:p>
    <w:p w14:paraId="11C0D1C0" w14:textId="77777777" w:rsidR="00470B38" w:rsidRDefault="00470B38" w:rsidP="00470B38">
      <w:pPr>
        <w:spacing w:line="480" w:lineRule="auto"/>
      </w:pPr>
    </w:p>
    <w:p w14:paraId="2D3B5B5D" w14:textId="77777777" w:rsidR="00470B38" w:rsidRPr="00D93A93" w:rsidRDefault="00470B38" w:rsidP="00470B38">
      <w:pPr>
        <w:spacing w:line="480" w:lineRule="auto"/>
        <w:rPr>
          <w:b/>
          <w:bCs/>
        </w:rPr>
      </w:pPr>
      <w:r w:rsidRPr="00D93A93">
        <w:rPr>
          <w:b/>
          <w:bCs/>
        </w:rPr>
        <w:t xml:space="preserve">Drop the debater </w:t>
      </w:r>
    </w:p>
    <w:p w14:paraId="592CC37E" w14:textId="77777777" w:rsidR="00470B38" w:rsidRDefault="00470B38" w:rsidP="00470B38">
      <w:pPr>
        <w:spacing w:line="480" w:lineRule="auto"/>
      </w:pPr>
      <w:r w:rsidRPr="00D93A93">
        <w:t xml:space="preserve">a) drop the argument doesn’t make sense on T because that gets rid of their whole advocacy and destroys any neg offense. </w:t>
      </w:r>
    </w:p>
    <w:p w14:paraId="2554A845" w14:textId="77777777" w:rsidR="00470B38" w:rsidRDefault="00470B38" w:rsidP="00470B38">
      <w:pPr>
        <w:spacing w:line="480" w:lineRule="auto"/>
        <w:rPr>
          <w:u w:val="single"/>
        </w:rPr>
      </w:pPr>
      <w:r w:rsidRPr="00D93A93">
        <w:t>b) they should lose to deter future abusive affs.</w:t>
      </w:r>
    </w:p>
    <w:p w14:paraId="3BC81D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0B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B3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CEDA74"/>
  <w14:defaultImageDpi w14:val="300"/>
  <w15:docId w15:val="{3CC5D300-C3AC-4D4B-9D48-E69D3E71B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0B38"/>
    <w:rPr>
      <w:rFonts w:ascii="Times New Roman" w:hAnsi="Times New Roman" w:cs="Times New Roman"/>
    </w:rPr>
  </w:style>
  <w:style w:type="paragraph" w:styleId="Heading1">
    <w:name w:val="heading 1"/>
    <w:aliases w:val="Pocket"/>
    <w:basedOn w:val="Normal"/>
    <w:next w:val="Normal"/>
    <w:link w:val="Heading1Char"/>
    <w:uiPriority w:val="9"/>
    <w:qFormat/>
    <w:rsid w:val="00470B3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470B3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70B3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470B3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70B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0B38"/>
  </w:style>
  <w:style w:type="character" w:customStyle="1" w:styleId="Heading1Char">
    <w:name w:val="Heading 1 Char"/>
    <w:aliases w:val="Pocket Char"/>
    <w:basedOn w:val="DefaultParagraphFont"/>
    <w:link w:val="Heading1"/>
    <w:uiPriority w:val="9"/>
    <w:rsid w:val="00470B38"/>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470B3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70B38"/>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470B38"/>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470B38"/>
    <w:rPr>
      <w:b/>
      <w:sz w:val="1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470B38"/>
    <w:rPr>
      <w:b/>
      <w:sz w:val="24"/>
      <w:u w:val="single"/>
    </w:rPr>
  </w:style>
  <w:style w:type="character" w:styleId="Emphasis">
    <w:name w:val="Emphasis"/>
    <w:basedOn w:val="DefaultParagraphFont"/>
    <w:uiPriority w:val="20"/>
    <w:qFormat/>
    <w:rsid w:val="00470B3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70B38"/>
    <w:rPr>
      <w:color w:val="auto"/>
      <w:u w:val="none"/>
    </w:rPr>
  </w:style>
  <w:style w:type="character" w:styleId="Hyperlink">
    <w:name w:val="Hyperlink"/>
    <w:basedOn w:val="DefaultParagraphFont"/>
    <w:uiPriority w:val="99"/>
    <w:semiHidden/>
    <w:unhideWhenUsed/>
    <w:rsid w:val="00470B38"/>
    <w:rPr>
      <w:color w:val="auto"/>
      <w:u w:val="none"/>
    </w:rPr>
  </w:style>
  <w:style w:type="paragraph" w:styleId="DocumentMap">
    <w:name w:val="Document Map"/>
    <w:basedOn w:val="Normal"/>
    <w:link w:val="DocumentMapChar"/>
    <w:uiPriority w:val="99"/>
    <w:semiHidden/>
    <w:unhideWhenUsed/>
    <w:rsid w:val="00470B38"/>
    <w:rPr>
      <w:rFonts w:ascii="Lucida Grande" w:hAnsi="Lucida Grande" w:cs="Lucida Grande"/>
    </w:rPr>
  </w:style>
  <w:style w:type="character" w:customStyle="1" w:styleId="DocumentMapChar">
    <w:name w:val="Document Map Char"/>
    <w:basedOn w:val="DefaultParagraphFont"/>
    <w:link w:val="DocumentMap"/>
    <w:uiPriority w:val="99"/>
    <w:semiHidden/>
    <w:rsid w:val="00470B3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2021-09-16T17:50:00Z</dcterms:created>
  <dcterms:modified xsi:type="dcterms:W3CDTF">2021-09-16T17:50:00Z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