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A9061" w14:textId="77777777" w:rsidR="009C7BB5" w:rsidRDefault="009C7BB5" w:rsidP="009C7BB5">
      <w:pPr>
        <w:pStyle w:val="Heading2"/>
        <w:ind w:right="-720"/>
        <w:rPr>
          <w:u w:val="single"/>
        </w:rPr>
      </w:pPr>
      <w:r>
        <w:rPr>
          <w:u w:val="single"/>
        </w:rPr>
        <w:t>Framework</w:t>
      </w:r>
    </w:p>
    <w:p w14:paraId="6A61CF53" w14:textId="77777777" w:rsidR="009C7BB5" w:rsidRPr="00C150FD" w:rsidRDefault="009C7BB5" w:rsidP="009C7BB5">
      <w:pPr>
        <w:ind w:right="-720"/>
      </w:pPr>
    </w:p>
    <w:p w14:paraId="455B872E" w14:textId="77777777" w:rsidR="009C7BB5" w:rsidRDefault="009C7BB5" w:rsidP="009C7BB5">
      <w:pPr>
        <w:pStyle w:val="Heading4"/>
        <w:spacing w:line="480" w:lineRule="auto"/>
        <w:ind w:right="-720"/>
        <w:rPr>
          <w:b w:val="0"/>
          <w:bCs w:val="0"/>
        </w:rPr>
      </w:pPr>
      <w:r>
        <w:t xml:space="preserve">[Torres] RACISM RUNS RAMPANT IN EDUCATION – </w:t>
      </w:r>
      <w:r>
        <w:rPr>
          <w:b w:val="0"/>
          <w:bCs w:val="0"/>
        </w:rPr>
        <w:t xml:space="preserve">it affects all aspects of schooling, so an anti-racist orientation is </w:t>
      </w:r>
      <w:r>
        <w:t>uniquely key now</w:t>
      </w:r>
      <w:r>
        <w:rPr>
          <w:b w:val="0"/>
          <w:bCs w:val="0"/>
        </w:rPr>
        <w:t>.</w:t>
      </w:r>
    </w:p>
    <w:p w14:paraId="635DDC5B" w14:textId="77777777" w:rsidR="009C7BB5" w:rsidRPr="00B927A9" w:rsidRDefault="009C7BB5" w:rsidP="009C7BB5">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22DB7770" w14:textId="77777777" w:rsidR="009C7BB5" w:rsidRPr="00B927A9" w:rsidRDefault="009C7BB5" w:rsidP="009C7BB5">
      <w:pPr>
        <w:ind w:right="-720"/>
        <w:rPr>
          <w:rStyle w:val="StyleUnderline"/>
          <w:b w:val="0"/>
          <w:bCs/>
          <w:u w:val="none"/>
        </w:rPr>
      </w:pPr>
    </w:p>
    <w:p w14:paraId="5881B823" w14:textId="77777777" w:rsidR="009C7BB5" w:rsidRPr="008C1007" w:rsidRDefault="009C7BB5" w:rsidP="009C7BB5">
      <w:pPr>
        <w:spacing w:line="480" w:lineRule="auto"/>
        <w:ind w:right="-720"/>
        <w:rPr>
          <w:sz w:val="16"/>
        </w:rPr>
      </w:pPr>
      <w:r w:rsidRPr="008C1007">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w:t>
      </w:r>
      <w:r w:rsidRPr="00C150FD">
        <w:rPr>
          <w:sz w:val="16"/>
        </w:rPr>
        <w:t xml:space="preserve">long?” This question is essential, and examining anti-Blackness in our practice is something we all must be looking at. </w:t>
      </w:r>
      <w:r w:rsidRPr="00C150FD">
        <w:rPr>
          <w:rStyle w:val="StyleUnderline"/>
        </w:rPr>
        <w:t>Looking at</w:t>
      </w:r>
      <w:r w:rsidRPr="00C150FD">
        <w:rPr>
          <w:sz w:val="16"/>
        </w:rPr>
        <w:t xml:space="preserve"> anti-Blackness or inequities brought about by systems rooted in white supremacy and </w:t>
      </w:r>
      <w:r w:rsidRPr="00C150FD">
        <w:rPr>
          <w:rStyle w:val="StyleUnderline"/>
        </w:rPr>
        <w:t>racism is something all students should be doing.</w:t>
      </w:r>
      <w:r w:rsidRPr="00C150FD">
        <w:rPr>
          <w:sz w:val="16"/>
        </w:rPr>
        <w:t xml:space="preserve"> While</w:t>
      </w:r>
      <w:r w:rsidRPr="008C1007">
        <w:rPr>
          <w:sz w:val="16"/>
        </w:rPr>
        <w:t xml:space="preserv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B927A9">
        <w:rPr>
          <w:rStyle w:val="StyleUnderline"/>
          <w:highlight w:val="yellow"/>
        </w:rPr>
        <w:t>Anti-racist work means acknowledging that racist</w:t>
      </w:r>
      <w:r w:rsidRPr="008C1007">
        <w:rPr>
          <w:sz w:val="16"/>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8C1007">
        <w:rPr>
          <w:sz w:val="16"/>
        </w:rPr>
        <w:t xml:space="preserve"> beliefs and </w:t>
      </w:r>
      <w:r w:rsidRPr="00B927A9">
        <w:rPr>
          <w:rStyle w:val="StyleUnderline"/>
          <w:highlight w:val="yellow"/>
        </w:rPr>
        <w:t>structures.</w:t>
      </w:r>
      <w:r w:rsidRPr="008C1007">
        <w:rPr>
          <w:rStyle w:val="StyleUnderline"/>
          <w:sz w:val="16"/>
          <w:u w:val="none"/>
        </w:rPr>
        <w:t xml:space="preserve"> </w:t>
      </w:r>
      <w:r w:rsidRPr="008C1007">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8C1007">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8C1007">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8C1007">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60220">
        <w:rPr>
          <w:rStyle w:val="StyleUnderline"/>
          <w:u w:val="none"/>
        </w:rPr>
        <w:t xml:space="preserve"> </w:t>
      </w:r>
      <w:r w:rsidRPr="008C1007">
        <w:rPr>
          <w:sz w:val="16"/>
        </w:rPr>
        <w:t>generations of</w:t>
      </w:r>
      <w:r w:rsidRPr="008C1007">
        <w:rPr>
          <w:rStyle w:val="StyleUnderline"/>
          <w:sz w:val="16"/>
          <w:u w:val="none"/>
        </w:rPr>
        <w:t xml:space="preserve"> </w:t>
      </w:r>
      <w:r w:rsidRPr="00071BDC">
        <w:rPr>
          <w:rStyle w:val="StyleUnderline"/>
          <w:highlight w:val="yellow"/>
        </w:rPr>
        <w:t>oppression,</w:t>
      </w:r>
      <w:r w:rsidRPr="008C1007">
        <w:rPr>
          <w:sz w:val="16"/>
        </w:rPr>
        <w:t xml:space="preserve"> how can they use this knowledge to advocate for change and begin breaking down their own racist beliefs? How can they also reframe their understandings of privilege so that they stop prioritizing hegemonic ideas of success and worth? Some of </w:t>
      </w:r>
      <w:r w:rsidRPr="00071BDC">
        <w:rPr>
          <w:rStyle w:val="StyleUnderline"/>
          <w:highlight w:val="yellow"/>
        </w:rPr>
        <w:t>that will mean teaching students to</w:t>
      </w:r>
      <w:r w:rsidRPr="008C1007">
        <w:rPr>
          <w:sz w:val="16"/>
        </w:rPr>
        <w:t xml:space="preserve"> analyze and</w:t>
      </w:r>
      <w:r w:rsidRPr="00071BDC">
        <w:rPr>
          <w:rStyle w:val="StyleUnderline"/>
        </w:rPr>
        <w:t xml:space="preserve"> </w:t>
      </w:r>
      <w:r w:rsidRPr="00071BDC">
        <w:rPr>
          <w:rStyle w:val="StyleUnderline"/>
          <w:highlight w:val="yellow"/>
        </w:rPr>
        <w:t xml:space="preserve">reframe how they see </w:t>
      </w:r>
      <w:r w:rsidRPr="008C1007">
        <w:rPr>
          <w:sz w:val="16"/>
        </w:rPr>
        <w:t xml:space="preserve">values and stories from </w:t>
      </w:r>
      <w:r w:rsidRPr="00071BDC">
        <w:rPr>
          <w:rStyle w:val="StyleUnderline"/>
          <w:highlight w:val="yellow"/>
        </w:rPr>
        <w:t>other cultures.</w:t>
      </w:r>
      <w:r w:rsidRPr="008C1007">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8C1007">
        <w:rPr>
          <w:sz w:val="16"/>
        </w:rPr>
        <w:t xml:space="preserve"> Schools must interrogate their practices and how they gained institutional privilege to begin with. </w:t>
      </w:r>
    </w:p>
    <w:p w14:paraId="0381F641" w14:textId="77777777" w:rsidR="009C7BB5" w:rsidRPr="00E53FF3" w:rsidRDefault="009C7BB5" w:rsidP="009C7BB5">
      <w:pPr>
        <w:pStyle w:val="Heading4"/>
        <w:spacing w:line="480" w:lineRule="auto"/>
        <w:ind w:right="-720"/>
        <w:rPr>
          <w:b w:val="0"/>
          <w:bCs w:val="0"/>
        </w:rPr>
      </w:pPr>
      <w:r>
        <w:t>[ROJ] The Role of the Judge is to Promote Anti-Racist Education in Debate</w:t>
      </w:r>
      <w:r>
        <w:rPr>
          <w:b w:val="0"/>
          <w:bCs w:val="0"/>
        </w:rPr>
        <w:t xml:space="preserve">, meaning that they must endorse discussions about that subject. </w:t>
      </w:r>
    </w:p>
    <w:p w14:paraId="2BD0BF6E" w14:textId="77777777" w:rsidR="009C7BB5" w:rsidRPr="00030B28" w:rsidRDefault="009C7BB5" w:rsidP="009C7BB5">
      <w:pPr>
        <w:pStyle w:val="Heading4"/>
        <w:spacing w:line="480" w:lineRule="auto"/>
        <w:ind w:right="-720"/>
        <w:rPr>
          <w:rFonts w:cs="Times New Roman"/>
          <w:b w:val="0"/>
          <w:bCs w:val="0"/>
        </w:rPr>
      </w:pPr>
      <w:r w:rsidRPr="00030B28">
        <w:rPr>
          <w:rFonts w:cs="Times New Roman"/>
        </w:rPr>
        <w:t xml:space="preserve">[Eng </w:t>
      </w:r>
      <w:r>
        <w:rPr>
          <w:rFonts w:cs="Times New Roman"/>
        </w:rPr>
        <w:t>&amp;</w:t>
      </w:r>
      <w:r w:rsidRPr="00030B28">
        <w:rPr>
          <w:rFonts w:cs="Times New Roman"/>
        </w:rPr>
        <w:t xml:space="preserve"> Han] </w:t>
      </w:r>
      <w:r>
        <w:rPr>
          <w:rFonts w:cs="Times New Roman"/>
        </w:rPr>
        <w:t xml:space="preserve">And </w:t>
      </w:r>
      <w:r w:rsidRPr="00030B28">
        <w:rPr>
          <w:rFonts w:cs="Times New Roman"/>
        </w:rPr>
        <w:t xml:space="preserve">COLONIZATION IS AT THE ROOT OF </w:t>
      </w:r>
      <w:r>
        <w:rPr>
          <w:rFonts w:cs="Times New Roman"/>
        </w:rPr>
        <w:t xml:space="preserve">RACISM </w:t>
      </w:r>
      <w:r w:rsidRPr="00030B28">
        <w:rPr>
          <w:rFonts w:cs="Times New Roman"/>
        </w:rPr>
        <w:t xml:space="preserve">– </w:t>
      </w:r>
      <w:r>
        <w:rPr>
          <w:rFonts w:cs="Times New Roman"/>
          <w:b w:val="0"/>
          <w:bCs w:val="0"/>
        </w:rPr>
        <w:t>the expectation of Asian mimicry of whiteness and white appropriation of Asian culture</w:t>
      </w:r>
      <w:r w:rsidRPr="00030B28">
        <w:rPr>
          <w:rFonts w:cs="Times New Roman"/>
          <w:b w:val="0"/>
          <w:bCs w:val="0"/>
        </w:rPr>
        <w:t xml:space="preserve"> </w:t>
      </w:r>
      <w:r>
        <w:rPr>
          <w:rFonts w:cs="Times New Roman"/>
          <w:b w:val="0"/>
          <w:bCs w:val="0"/>
        </w:rPr>
        <w:t>filters</w:t>
      </w:r>
      <w:r w:rsidRPr="00030B28">
        <w:rPr>
          <w:rFonts w:cs="Times New Roman"/>
          <w:b w:val="0"/>
          <w:bCs w:val="0"/>
        </w:rPr>
        <w:t xml:space="preserve"> into educational spaces. </w:t>
      </w:r>
    </w:p>
    <w:p w14:paraId="024CB20F" w14:textId="77777777" w:rsidR="009C7BB5" w:rsidRPr="00030B28" w:rsidRDefault="009C7BB5" w:rsidP="009C7BB5">
      <w:pPr>
        <w:ind w:right="-720"/>
        <w:rPr>
          <w:rStyle w:val="StyleUnderline"/>
          <w:b w:val="0"/>
          <w:sz w:val="16"/>
          <w:u w:val="none"/>
        </w:rPr>
      </w:pPr>
      <w:r w:rsidRPr="00030B28">
        <w:rPr>
          <w:rStyle w:val="StyleUnderline"/>
        </w:rPr>
        <w:t xml:space="preserve">Eng </w:t>
      </w:r>
      <w:r>
        <w:rPr>
          <w:rStyle w:val="StyleUnderline"/>
        </w:rPr>
        <w:t>&amp;</w:t>
      </w:r>
      <w:r w:rsidRPr="00030B28">
        <w:rPr>
          <w:rStyle w:val="StyleUnderline"/>
        </w:rPr>
        <w:t xml:space="preserve"> Han</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Han, Shinhee [Psychotherapist in New York City, she has worked on the counseling services at the University of Chicago, Northwestern University, Barnard College and Columbia University].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BZ//AC</w:t>
      </w:r>
    </w:p>
    <w:p w14:paraId="5357ADC8" w14:textId="77777777" w:rsidR="009C7BB5" w:rsidRPr="00030B28" w:rsidRDefault="009C7BB5" w:rsidP="009C7BB5">
      <w:pPr>
        <w:ind w:right="-720"/>
        <w:rPr>
          <w:sz w:val="16"/>
        </w:rPr>
      </w:pPr>
    </w:p>
    <w:p w14:paraId="65B2C4AC" w14:textId="77777777" w:rsidR="009C7BB5" w:rsidRPr="00662364" w:rsidRDefault="009C7BB5" w:rsidP="009C7BB5">
      <w:pPr>
        <w:spacing w:line="480" w:lineRule="auto"/>
        <w:ind w:right="-720"/>
        <w:rPr>
          <w:sz w:val="16"/>
        </w:rPr>
      </w:pPr>
      <w:r w:rsidRPr="00662364">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Homi Bhabha describes the ways in which </w:t>
      </w:r>
      <w:r w:rsidRPr="0038319A">
        <w:rPr>
          <w:b/>
          <w:bCs/>
          <w:highlight w:val="yellow"/>
          <w:u w:val="single"/>
        </w:rPr>
        <w:t xml:space="preserve">a colonial </w:t>
      </w:r>
      <w:r w:rsidRPr="00A0045C">
        <w:rPr>
          <w:b/>
          <w:bCs/>
          <w:highlight w:val="yellow"/>
          <w:u w:val="single"/>
        </w:rPr>
        <w:t>regime compels the colonized</w:t>
      </w:r>
      <w:r w:rsidRPr="00662364">
        <w:rPr>
          <w:b/>
          <w:bCs/>
          <w:u w:val="single"/>
        </w:rPr>
        <w:t xml:space="preserve"> subject </w:t>
      </w:r>
      <w:r w:rsidRPr="00A0045C">
        <w:rPr>
          <w:b/>
          <w:bCs/>
          <w:highlight w:val="yellow"/>
          <w:u w:val="single"/>
        </w:rPr>
        <w:t>to mimic</w:t>
      </w:r>
      <w:r w:rsidRPr="0038319A">
        <w:rPr>
          <w:b/>
          <w:bCs/>
          <w:u w:val="single"/>
        </w:rPr>
        <w:t xml:space="preserve"> </w:t>
      </w:r>
      <w:r w:rsidRPr="00030B28">
        <w:rPr>
          <w:b/>
          <w:bCs/>
          <w:u w:val="single"/>
        </w:rPr>
        <w:t xml:space="preserve">Western ideals of </w:t>
      </w:r>
      <w:r w:rsidRPr="00A0045C">
        <w:rPr>
          <w:b/>
          <w:bCs/>
          <w:highlight w:val="yellow"/>
          <w:u w:val="single"/>
        </w:rPr>
        <w:t>whiteness.</w:t>
      </w:r>
      <w:r w:rsidRPr="00662364">
        <w:rPr>
          <w:sz w:val="16"/>
        </w:rPr>
        <w:t xml:space="preserve"> At the same time, this mimicry is also condemned to failure. Bhabha writes, “Colonial mimicry is </w:t>
      </w:r>
      <w:r w:rsidRPr="0038319A">
        <w:rPr>
          <w:b/>
          <w:bCs/>
          <w:highlight w:val="yellow"/>
          <w:u w:val="single"/>
        </w:rPr>
        <w:t xml:space="preserve">the desire </w:t>
      </w:r>
      <w:r w:rsidRPr="00A0045C">
        <w:rPr>
          <w:b/>
          <w:bCs/>
          <w:highlight w:val="yellow"/>
          <w:u w:val="single"/>
        </w:rPr>
        <w:t>for a reformed</w:t>
      </w:r>
      <w:r w:rsidRPr="00662364">
        <w:rPr>
          <w:b/>
          <w:bCs/>
          <w:u w:val="single"/>
        </w:rPr>
        <w:t xml:space="preserve">, </w:t>
      </w:r>
      <w:r w:rsidRPr="00030B28">
        <w:rPr>
          <w:b/>
          <w:bCs/>
          <w:u w:val="single"/>
        </w:rPr>
        <w:t xml:space="preserve">recognizable </w:t>
      </w:r>
      <w:r w:rsidRPr="00662364">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w:t>
      </w:r>
      <w:r w:rsidRPr="0038319A">
        <w:rPr>
          <w:b/>
          <w:bCs/>
          <w:highlight w:val="yellow"/>
          <w:u w:val="single"/>
        </w:rPr>
        <w:t>;</w:t>
      </w:r>
      <w:r w:rsidRPr="00030B28">
        <w:rPr>
          <w:b/>
          <w:bCs/>
          <w:u w:val="single"/>
        </w:rPr>
        <w:t xml:space="preserve"> in order to be effective, </w:t>
      </w:r>
      <w:r w:rsidRPr="0038319A">
        <w:rPr>
          <w:b/>
          <w:bCs/>
          <w:highlight w:val="yellow"/>
          <w:u w:val="single"/>
        </w:rPr>
        <w:t xml:space="preserve">mimicry must continually </w:t>
      </w:r>
      <w:r w:rsidRPr="00A0045C">
        <w:rPr>
          <w:b/>
          <w:bCs/>
          <w:highlight w:val="yellow"/>
          <w:u w:val="single"/>
        </w:rPr>
        <w:t>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rsidRPr="00662364">
        <w:rPr>
          <w:sz w:val="16"/>
        </w:rPr>
        <w:t xml:space="preserve">28 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162FE45C" w14:textId="77777777" w:rsidR="009C7BB5" w:rsidRPr="00030B28" w:rsidRDefault="009C7BB5" w:rsidP="009C7BB5">
      <w:pPr>
        <w:spacing w:line="480" w:lineRule="auto"/>
        <w:ind w:right="-720"/>
        <w:rPr>
          <w:sz w:val="16"/>
        </w:rPr>
      </w:pPr>
    </w:p>
    <w:p w14:paraId="46586A26" w14:textId="77777777" w:rsidR="009C7BB5" w:rsidRPr="0038319A" w:rsidRDefault="009C7BB5" w:rsidP="009C7BB5">
      <w:pPr>
        <w:spacing w:line="480" w:lineRule="auto"/>
        <w:ind w:right="-720"/>
        <w:rPr>
          <w:sz w:val="16"/>
        </w:rPr>
      </w:pPr>
      <w:r w:rsidRPr="00A0045C">
        <w:rPr>
          <w:b/>
          <w:bCs/>
          <w:highlight w:val="yellow"/>
          <w:u w:val="single"/>
        </w:rPr>
        <w:t>They ad</w:t>
      </w:r>
      <w:r w:rsidRPr="0038319A">
        <w:rPr>
          <w:b/>
          <w:bCs/>
          <w:highlight w:val="yellow"/>
          <w:u w:val="single"/>
        </w:rPr>
        <w:t>d</w:t>
      </w:r>
      <w:r w:rsidRPr="0038319A">
        <w:rPr>
          <w:b/>
          <w:bCs/>
          <w:highlight w:val="yellow"/>
        </w:rPr>
        <w:t>:</w:t>
      </w:r>
    </w:p>
    <w:p w14:paraId="48ED0DA5" w14:textId="77777777" w:rsidR="009C7BB5" w:rsidRPr="00662364" w:rsidRDefault="009C7BB5" w:rsidP="009C7BB5">
      <w:pPr>
        <w:spacing w:line="480" w:lineRule="auto"/>
        <w:ind w:right="-720"/>
        <w:rPr>
          <w:sz w:val="16"/>
        </w:rPr>
      </w:pPr>
      <w:r w:rsidRPr="00662364">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w:t>
      </w:r>
      <w:r w:rsidRPr="0038319A">
        <w:rPr>
          <w:b/>
          <w:bCs/>
          <w:highlight w:val="yellow"/>
          <w:u w:val="single"/>
        </w:rPr>
        <w:t>crookd”</w:t>
      </w:r>
      <w:r>
        <w:rPr>
          <w:b/>
          <w:bCs/>
          <w:u w:val="single"/>
        </w:rPr>
        <w:t xml:space="preserve"> </w:t>
      </w:r>
      <w:r w:rsidRPr="00030B28">
        <w:rPr>
          <w:b/>
          <w:bCs/>
          <w:u w:val="single"/>
        </w:rPr>
        <w:t>(one syllable)</w:t>
      </w:r>
      <w:r w:rsidRPr="0038319A">
        <w:rPr>
          <w:b/>
          <w:bCs/>
          <w:highlight w:val="yellow"/>
          <w:u w:val="single"/>
        </w:rPr>
        <w:t xml:space="preserve">. His teacher </w:t>
      </w:r>
      <w:r w:rsidRPr="00A0045C">
        <w:rPr>
          <w:b/>
          <w:bCs/>
          <w:highlight w:val="yellow"/>
          <w:u w:val="single"/>
        </w:rPr>
        <w:t>shamed him publicly for his failed</w:t>
      </w:r>
      <w:r w:rsidRPr="0038319A">
        <w:rPr>
          <w:b/>
          <w:bCs/>
          <w:u w:val="single"/>
        </w:rPr>
        <w:t xml:space="preserve"> speech</w:t>
      </w:r>
      <w:r w:rsidRPr="00030B28">
        <w:rPr>
          <w:b/>
          <w:bCs/>
          <w:u w:val="single"/>
        </w:rPr>
        <w:t xml:space="preserve"> act—his failed act of </w:t>
      </w:r>
      <w:r w:rsidRPr="00A0045C">
        <w:rPr>
          <w:b/>
          <w:bCs/>
          <w:highlight w:val="yellow"/>
          <w:u w:val="single"/>
        </w:rPr>
        <w:t>mimicry</w:t>
      </w:r>
      <w:r w:rsidRPr="00030B28">
        <w:rPr>
          <w:b/>
          <w:bCs/>
          <w:u w:val="single"/>
        </w:rPr>
        <w:t xml:space="preserve"> —</w:t>
      </w:r>
      <w:r>
        <w:rPr>
          <w:b/>
          <w:bCs/>
          <w:u w:val="single"/>
        </w:rPr>
        <w:t xml:space="preserve"> </w:t>
      </w:r>
      <w:r w:rsidRPr="00030B28">
        <w:rPr>
          <w:b/>
          <w:bCs/>
          <w:u w:val="single"/>
        </w:rPr>
        <w:t>and demanded to know where he learned to mispronounce such a simple word</w:t>
      </w:r>
      <w:r w:rsidRPr="0038319A">
        <w:rPr>
          <w:b/>
          <w:bCs/>
          <w:highlight w:val="yellow"/>
          <w:u w:val="single"/>
        </w:rPr>
        <w:t>.</w:t>
      </w:r>
      <w:r w:rsidRPr="00662364">
        <w:rPr>
          <w:sz w:val="16"/>
        </w:rPr>
        <w:t xml:space="preserve">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Here the problem of accent marks an impossible social compliance. In both instances, language is the privileged vehicle — the privileged property— by which standards of successful assimilation and failed integration are measured. In this sense, language itself might be thought of as a kind of property right and stereotype, demanding a flawless mimicry on the part of the young Nelson, whose failed performance leads him to shame and self-abasement at a crucial moment of social and psychic development.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Truong’s narrator recalls their grade-school teacher: 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Hammerick’s common language for the “deaf, blind, and dumb”—a language from which Thuy-Mai is emphatically excluded—is used to create and then separate good students from bad students within the institutionalized space of the classroom. The Susans and the Beths, the Claudes and the Pierres, are all, as Louis Althusser would put it, “interpellated”by the mayor’s wife as good citizen- subjects of the classroom and nation-state.46 Truong emphasizes how</w:t>
      </w:r>
      <w:r w:rsidRPr="00030B28">
        <w:rPr>
          <w:b/>
          <w:bCs/>
          <w:u w:val="single"/>
        </w:rPr>
        <w:t xml:space="preserve"> </w:t>
      </w:r>
      <w:r w:rsidRPr="00A0045C">
        <w:rPr>
          <w:b/>
          <w:bCs/>
          <w:highlight w:val="yellow"/>
          <w:u w:val="single"/>
        </w:rPr>
        <w:t>education is a primary site through which narratives of</w:t>
      </w:r>
      <w:r w:rsidRPr="00B80776">
        <w:rPr>
          <w:b/>
          <w:bCs/>
          <w:u w:val="single"/>
        </w:rPr>
        <w:t xml:space="preserve"> national </w:t>
      </w:r>
      <w:r w:rsidRPr="00A0045C">
        <w:rPr>
          <w:b/>
          <w:bCs/>
          <w:highlight w:val="yellow"/>
          <w:u w:val="single"/>
        </w:rPr>
        <w:t>identity</w:t>
      </w:r>
      <w:r w:rsidRPr="00662364">
        <w:rPr>
          <w:b/>
          <w:bCs/>
          <w:u w:val="single"/>
        </w:rPr>
        <w:t xml:space="preserve"> </w:t>
      </w:r>
      <w:r w:rsidRPr="00030B28">
        <w:rPr>
          <w:b/>
          <w:bCs/>
          <w:u w:val="single"/>
        </w:rPr>
        <w:t xml:space="preserve">and belonging </w:t>
      </w:r>
      <w:r w:rsidRPr="00A0045C">
        <w:rPr>
          <w:b/>
          <w:bCs/>
          <w:highlight w:val="yellow"/>
          <w:u w:val="single"/>
        </w:rPr>
        <w:t xml:space="preserve">are </w:t>
      </w:r>
      <w:r w:rsidRPr="00B80776">
        <w:rPr>
          <w:b/>
          <w:bCs/>
          <w:highlight w:val="yellow"/>
          <w:u w:val="single"/>
        </w:rPr>
        <w:t>established and reinforced</w:t>
      </w:r>
      <w:r w:rsidRPr="00030B28">
        <w:rPr>
          <w:b/>
          <w:bCs/>
          <w:u w:val="single"/>
        </w:rPr>
        <w:t xml:space="preserve"> </w:t>
      </w:r>
      <w:r w:rsidRPr="00B80776">
        <w:rPr>
          <w:b/>
          <w:bCs/>
          <w:u w:val="single"/>
        </w:rPr>
        <w:t>through pedagogical compliance</w:t>
      </w:r>
      <w:r w:rsidRPr="008C1007">
        <w:rPr>
          <w:b/>
          <w:bCs/>
          <w:highlight w:val="yellow"/>
          <w:u w:val="single"/>
        </w:rPr>
        <w:t>.</w:t>
      </w:r>
      <w:r w:rsidRPr="00030B28">
        <w:rPr>
          <w:b/>
          <w:bCs/>
          <w:u w:val="single"/>
        </w:rPr>
        <w:t xml:space="preserve"> 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Truong’s attention to </w:t>
      </w:r>
      <w:r w:rsidRPr="00A0045C">
        <w:rPr>
          <w:b/>
          <w:bCs/>
          <w:highlight w:val="yellow"/>
          <w:u w:val="single"/>
        </w:rPr>
        <w:t xml:space="preserve">language underscores </w:t>
      </w:r>
      <w:r w:rsidRPr="00030B28">
        <w:rPr>
          <w:b/>
          <w:bCs/>
          <w:u w:val="single"/>
        </w:rPr>
        <w:t xml:space="preserve">the ways in which </w:t>
      </w:r>
      <w:r w:rsidRPr="00A0045C">
        <w:rPr>
          <w:b/>
          <w:bCs/>
          <w:highlight w:val="yellow"/>
          <w:u w:val="single"/>
        </w:rPr>
        <w:t>an unconscious discourse of colonialism and race,</w:t>
      </w:r>
      <w:r w:rsidRPr="00030B28">
        <w:rPr>
          <w:b/>
          <w:bCs/>
          <w:u w:val="single"/>
        </w:rPr>
        <w:t xml:space="preserve"> of national inclusion and exclusion, is </w:t>
      </w:r>
      <w:r w:rsidRPr="00A0045C">
        <w:rPr>
          <w:b/>
          <w:bCs/>
          <w:highlight w:val="yellow"/>
          <w:u w:val="single"/>
        </w:rPr>
        <w:t>circulated in the classroom</w:t>
      </w:r>
      <w:r w:rsidRPr="00030B28">
        <w:rPr>
          <w:b/>
          <w:bCs/>
          <w:u w:val="single"/>
        </w:rPr>
        <w:t>.</w:t>
      </w:r>
      <w:r w:rsidRPr="00662364">
        <w:rPr>
          <w:sz w:val="16"/>
        </w:rPr>
        <w:t xml:space="preserve"> 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931449D" w14:textId="77777777" w:rsidR="009C7BB5" w:rsidRPr="00030B28" w:rsidRDefault="009C7BB5" w:rsidP="009C7BB5">
      <w:pPr>
        <w:pStyle w:val="Heading4"/>
        <w:spacing w:line="480" w:lineRule="auto"/>
        <w:ind w:right="-720"/>
        <w:rPr>
          <w:rFonts w:cs="Times New Roman"/>
        </w:rPr>
      </w:pPr>
      <w:r w:rsidRPr="00030B28">
        <w:rPr>
          <w:rFonts w:cs="Times New Roman"/>
        </w:rPr>
        <w:t>[RO</w:t>
      </w:r>
      <w:r>
        <w:rPr>
          <w:rFonts w:cs="Times New Roman"/>
        </w:rPr>
        <w:t>B</w:t>
      </w:r>
      <w:r w:rsidRPr="00030B28">
        <w:rPr>
          <w:rFonts w:cs="Times New Roman"/>
        </w:rPr>
        <w:t xml:space="preserve">] Thus, the Role of the </w:t>
      </w:r>
      <w:r>
        <w:rPr>
          <w:rFonts w:cs="Times New Roman"/>
        </w:rPr>
        <w:t>Ballot</w:t>
      </w:r>
      <w:r w:rsidRPr="00030B28">
        <w:rPr>
          <w:rFonts w:cs="Times New Roman"/>
        </w:rPr>
        <w:t xml:space="preserve"> is to Confront </w:t>
      </w:r>
      <w:r>
        <w:rPr>
          <w:rFonts w:cs="Times New Roman"/>
        </w:rPr>
        <w:t>Manifestations</w:t>
      </w:r>
      <w:r w:rsidRPr="00030B28">
        <w:rPr>
          <w:rFonts w:cs="Times New Roman"/>
        </w:rPr>
        <w:t xml:space="preserve"> of </w:t>
      </w:r>
      <w:r>
        <w:rPr>
          <w:rFonts w:cs="Times New Roman"/>
        </w:rPr>
        <w:t>R</w:t>
      </w:r>
      <w:r w:rsidRPr="00030B28">
        <w:rPr>
          <w:rFonts w:cs="Times New Roman"/>
        </w:rPr>
        <w:t xml:space="preserve">acialized </w:t>
      </w:r>
      <w:r>
        <w:rPr>
          <w:rFonts w:cs="Times New Roman"/>
        </w:rPr>
        <w:t>V</w:t>
      </w:r>
      <w:r w:rsidRPr="00030B28">
        <w:rPr>
          <w:rFonts w:cs="Times New Roman"/>
        </w:rPr>
        <w:t xml:space="preserve">iolence. </w:t>
      </w:r>
      <w:r w:rsidRPr="00030B28">
        <w:rPr>
          <w:rFonts w:cs="Times New Roman"/>
          <w:b w:val="0"/>
          <w:bCs w:val="0"/>
        </w:rPr>
        <w:t xml:space="preserve">To clarify, this is not about “solving” </w:t>
      </w:r>
      <w:r>
        <w:rPr>
          <w:rFonts w:cs="Times New Roman"/>
          <w:b w:val="0"/>
          <w:bCs w:val="0"/>
        </w:rPr>
        <w:t>racism</w:t>
      </w:r>
      <w:r w:rsidRPr="00030B28">
        <w:rPr>
          <w:rFonts w:cs="Times New Roman"/>
          <w:b w:val="0"/>
          <w:bCs w:val="0"/>
        </w:rPr>
        <w:t>, but about ar</w:t>
      </w:r>
      <w:r>
        <w:rPr>
          <w:rFonts w:cs="Times New Roman"/>
          <w:b w:val="0"/>
          <w:bCs w:val="0"/>
        </w:rPr>
        <w:t>ticulating and resisting its causes.</w:t>
      </w:r>
    </w:p>
    <w:p w14:paraId="0222146E" w14:textId="77777777" w:rsidR="009C7BB5" w:rsidRDefault="009C7BB5" w:rsidP="009C7BB5">
      <w:pPr>
        <w:pStyle w:val="Heading2"/>
        <w:spacing w:line="480" w:lineRule="auto"/>
        <w:ind w:right="-720"/>
        <w:rPr>
          <w:u w:val="single"/>
        </w:rPr>
      </w:pPr>
      <w:r>
        <w:rPr>
          <w:u w:val="single"/>
        </w:rPr>
        <w:t>A. Links</w:t>
      </w:r>
    </w:p>
    <w:p w14:paraId="707667D2" w14:textId="1A80052E" w:rsidR="009C7BB5" w:rsidRPr="00C20824" w:rsidRDefault="009C7BB5" w:rsidP="009C7BB5">
      <w:pPr>
        <w:pStyle w:val="Heading4"/>
        <w:spacing w:line="480" w:lineRule="auto"/>
        <w:ind w:right="-720"/>
      </w:pPr>
      <w:r>
        <w:t xml:space="preserve">1. </w:t>
      </w:r>
      <w:r>
        <w:rPr>
          <w:b w:val="0"/>
          <w:bCs w:val="0"/>
        </w:rPr>
        <w:t xml:space="preserve">The aff isolates PRIVATE space appropriation as the problem – in CX, they say they’ll defend state-led appropriation, and only indict non-state actors. </w:t>
      </w:r>
      <w:r w:rsidRPr="00C20824">
        <w:t>(Specific links from the aff:)</w:t>
      </w:r>
    </w:p>
    <w:p w14:paraId="0979D569" w14:textId="4CCC1B99" w:rsidR="009C7BB5" w:rsidRDefault="009C7BB5" w:rsidP="009C7BB5">
      <w:pPr>
        <w:pStyle w:val="Heading4"/>
        <w:spacing w:line="480" w:lineRule="auto"/>
        <w:ind w:right="-720"/>
      </w:pPr>
      <w:r>
        <w:t xml:space="preserve">2. The </w:t>
      </w:r>
      <w:r>
        <w:rPr>
          <w:b w:val="0"/>
          <w:bCs w:val="0"/>
        </w:rPr>
        <w:t xml:space="preserve">aff frames space appropriation through a “problem-solution” lens that treats </w:t>
      </w:r>
      <w:r w:rsidR="00300D60">
        <w:t>assmiliation</w:t>
      </w:r>
      <w:r>
        <w:t xml:space="preserve"> </w:t>
      </w:r>
      <w:r>
        <w:rPr>
          <w:b w:val="0"/>
          <w:bCs w:val="0"/>
        </w:rPr>
        <w:t xml:space="preserve">as key to “helping” people, </w:t>
      </w:r>
      <w:r w:rsidRPr="00E00716">
        <w:rPr>
          <w:b w:val="0"/>
          <w:bCs w:val="0"/>
          <w:i/>
          <w:iCs/>
        </w:rPr>
        <w:t>and racism as the failure of specific forms of appropriation</w:t>
      </w:r>
      <w:r>
        <w:rPr>
          <w:b w:val="0"/>
          <w:bCs w:val="0"/>
        </w:rPr>
        <w:t xml:space="preserve">. </w:t>
      </w:r>
      <w:r>
        <w:t>Specific links from the aff:</w:t>
      </w:r>
    </w:p>
    <w:p w14:paraId="21FCD9C4" w14:textId="3DAE46D6" w:rsidR="009C7BB5" w:rsidRPr="006C0BD2" w:rsidRDefault="009C7BB5" w:rsidP="009C7BB5">
      <w:pPr>
        <w:pStyle w:val="Heading4"/>
        <w:spacing w:line="480" w:lineRule="auto"/>
        <w:ind w:right="-720"/>
      </w:pPr>
      <w:r>
        <w:t xml:space="preserve">3. </w:t>
      </w:r>
      <w:r>
        <w:rPr>
          <w:b w:val="0"/>
          <w:bCs w:val="0"/>
        </w:rPr>
        <w:t xml:space="preserve">They use a ban on space appropriation to stop violence – they imagine that passing a policy will resolve </w:t>
      </w:r>
      <w:r w:rsidR="00300D60">
        <w:rPr>
          <w:b w:val="0"/>
          <w:bCs w:val="0"/>
        </w:rPr>
        <w:t>indigenous violence</w:t>
      </w:r>
      <w:r>
        <w:rPr>
          <w:b w:val="0"/>
          <w:bCs w:val="0"/>
        </w:rPr>
        <w:t xml:space="preserve"> and ___________ </w:t>
      </w:r>
      <w:r>
        <w:t>[insert aff impacts]</w:t>
      </w:r>
      <w:r>
        <w:rPr>
          <w:b w:val="0"/>
          <w:bCs w:val="0"/>
        </w:rPr>
        <w:t>.</w:t>
      </w:r>
      <w:r>
        <w:t xml:space="preserve"> Specific links from the aff:</w:t>
      </w:r>
    </w:p>
    <w:p w14:paraId="0BB41C79" w14:textId="08A03D83" w:rsidR="009C7BB5" w:rsidRDefault="00300D60" w:rsidP="009C7BB5">
      <w:pPr>
        <w:pStyle w:val="Heading4"/>
        <w:spacing w:line="480" w:lineRule="auto"/>
        <w:ind w:right="-720"/>
      </w:pPr>
      <w:r>
        <w:t>4</w:t>
      </w:r>
      <w:r w:rsidR="009C7BB5">
        <w:t xml:space="preserve">. [A2 K] </w:t>
      </w:r>
      <w:r w:rsidR="009C7BB5">
        <w:rPr>
          <w:b w:val="0"/>
          <w:bCs w:val="0"/>
        </w:rPr>
        <w:t>They claim to confront oppression of</w:t>
      </w:r>
      <w:r w:rsidR="009C7BB5">
        <w:t xml:space="preserve"> indigenous groups, </w:t>
      </w:r>
      <w:r w:rsidR="009C7BB5">
        <w:rPr>
          <w:b w:val="0"/>
          <w:bCs w:val="0"/>
        </w:rPr>
        <w:t xml:space="preserve">and to change that through the aff. </w:t>
      </w:r>
      <w:r w:rsidR="009C7BB5">
        <w:t>Specific links from the aff:</w:t>
      </w:r>
    </w:p>
    <w:p w14:paraId="0FAC1735" w14:textId="4D5E8A53" w:rsidR="00300D60" w:rsidRDefault="00300D60" w:rsidP="00300D60">
      <w:r>
        <w:t xml:space="preserve">5. </w:t>
      </w:r>
      <w:r w:rsidRPr="00300D60">
        <w:t>The aff is a form of lip service politics — they superficially claim to embrace Indigenous voices when they don’t intend to ever stop appropriating — that was CX; they say appropriation continues regardless of what Indigenous people want</w:t>
      </w:r>
    </w:p>
    <w:p w14:paraId="3EED6180" w14:textId="33C2530D" w:rsidR="00300D60" w:rsidRDefault="00300D60" w:rsidP="00300D60"/>
    <w:p w14:paraId="40F8F49C" w14:textId="4D4B9166" w:rsidR="00300D60" w:rsidRDefault="00300D60" w:rsidP="00300D60">
      <w:r>
        <w:t>6</w:t>
      </w:r>
      <w:r w:rsidRPr="00300D60">
        <w:t>. They misunderstand set col as a matter of “inclusion” — it’s not — it’s about the MINDSET OF APPROPRIATION being bad — means the aff can’t address that when appropriation can still happen in their world</w:t>
      </w:r>
    </w:p>
    <w:p w14:paraId="221A2E72" w14:textId="77777777" w:rsidR="00300D60" w:rsidRDefault="00300D60" w:rsidP="00300D60"/>
    <w:p w14:paraId="6715E792" w14:textId="50BB59E4" w:rsidR="00300D60" w:rsidRPr="00300D60" w:rsidRDefault="00300D60" w:rsidP="00300D60">
      <w:r>
        <w:t>7</w:t>
      </w:r>
      <w:r w:rsidRPr="00300D60">
        <w:t>. They MISREPRESENT Indigenous scholarship — Smiles is talking about how people UNDERSTAND space, not about a desire to appropriate it — means they don’t even represent Indigenous scholarship accurately IN THE AFF</w:t>
      </w:r>
    </w:p>
    <w:p w14:paraId="17B508A1" w14:textId="77777777" w:rsidR="009C7BB5" w:rsidRDefault="009C7BB5" w:rsidP="009C7BB5">
      <w:pPr>
        <w:pStyle w:val="Heading2"/>
        <w:ind w:right="-720"/>
        <w:rPr>
          <w:u w:val="single"/>
        </w:rPr>
      </w:pPr>
      <w:r w:rsidRPr="002A6D55">
        <w:rPr>
          <w:u w:val="single"/>
        </w:rPr>
        <w:t>B. Impact</w:t>
      </w:r>
    </w:p>
    <w:p w14:paraId="1718C495" w14:textId="77777777" w:rsidR="009C7BB5" w:rsidRPr="002A6D55" w:rsidRDefault="009C7BB5" w:rsidP="009C7BB5"/>
    <w:p w14:paraId="05113060" w14:textId="5599421B" w:rsidR="00696DFF" w:rsidRDefault="00696DFF" w:rsidP="00300D60">
      <w:pPr>
        <w:autoSpaceDE w:val="0"/>
        <w:autoSpaceDN w:val="0"/>
        <w:adjustRightInd w:val="0"/>
        <w:rPr>
          <w:sz w:val="26"/>
          <w:szCs w:val="26"/>
        </w:rPr>
      </w:pPr>
      <w:r w:rsidRPr="00457928">
        <w:rPr>
          <w:b/>
          <w:bCs/>
        </w:rPr>
        <w:t>[Mitchell]</w:t>
      </w:r>
      <w:r w:rsidRPr="00300D60">
        <w:t xml:space="preserve"> </w:t>
      </w:r>
      <w:r w:rsidRPr="00300D60">
        <w:rPr>
          <w:sz w:val="26"/>
          <w:szCs w:val="26"/>
        </w:rPr>
        <w:t>They don’t ban approbation - they only ban approbation when they don’t consult indigenous people which is still anti-indigenous.</w:t>
      </w:r>
    </w:p>
    <w:p w14:paraId="7389DC46" w14:textId="77777777" w:rsidR="00300D60" w:rsidRPr="00300D60" w:rsidRDefault="00300D60" w:rsidP="00300D60">
      <w:pPr>
        <w:autoSpaceDE w:val="0"/>
        <w:autoSpaceDN w:val="0"/>
        <w:adjustRightInd w:val="0"/>
        <w:rPr>
          <w:sz w:val="26"/>
          <w:szCs w:val="26"/>
        </w:rPr>
      </w:pPr>
    </w:p>
    <w:p w14:paraId="7F798380" w14:textId="77777777" w:rsidR="00696DFF" w:rsidRDefault="00696DFF" w:rsidP="00696DFF">
      <w:r w:rsidRPr="00911B7A">
        <w:t>Mitchell 2019 (Audra Mitchell is an Associate Professor of Global Political Ecology @ Wilfrid Laurier University, “Can International Relations Confront the Cosmos” in Routledge Handbook of Critical International Relations, pg 55-56)//NotJacob</w:t>
      </w:r>
    </w:p>
    <w:p w14:paraId="73B6C147" w14:textId="77777777" w:rsidR="00696DFF" w:rsidRPr="00140908" w:rsidRDefault="00696DFF" w:rsidP="00696DFF">
      <w:pPr>
        <w:rPr>
          <w:sz w:val="16"/>
        </w:rPr>
      </w:pPr>
      <w:r w:rsidRPr="00140908">
        <w:rPr>
          <w:b/>
          <w:bCs/>
          <w:u w:val="single"/>
        </w:rPr>
        <w:t>Mitchell 19</w:t>
      </w:r>
      <w:r w:rsidRPr="00140908">
        <w:rPr>
          <w:sz w:val="16"/>
        </w:rPr>
        <w:t>: (Audra Mitchell is an Associate Professor of Global Political Ecology @ Wilfrid Laurier University, “Can International Relations Confront the Cosmos” in Routledge Handbook of Critical International Relations, pg 55-56)//</w:t>
      </w:r>
      <w:r>
        <w:rPr>
          <w:sz w:val="16"/>
        </w:rPr>
        <w:t xml:space="preserve"> JP. </w:t>
      </w:r>
    </w:p>
    <w:p w14:paraId="4521C3B1" w14:textId="77777777" w:rsidR="00696DFF" w:rsidRPr="00140908" w:rsidRDefault="00696DFF" w:rsidP="00696DFF">
      <w:pPr>
        <w:rPr>
          <w:sz w:val="16"/>
        </w:rPr>
      </w:pPr>
      <w:r w:rsidRPr="00140908">
        <w:rPr>
          <w:sz w:val="16"/>
        </w:rPr>
        <w:t xml:space="preserve">Radical finitude, however, is not the only cosmological challenge undermining the foundations of IR and global theory. In fact, it is deeply intertwined with imaginaries of radical infinitude. </w:t>
      </w:r>
      <w:r w:rsidRPr="004C5697">
        <w:rPr>
          <w:rStyle w:val="StyleUnderline"/>
        </w:rPr>
        <w:t>Some responses to collective fear of finitude have produced movements that aspire to the extension of control, capital and territoriality into spatio-temporal scales that vastly exceed the limits of Western scientific knowledge.</w:t>
      </w:r>
      <w:r w:rsidRPr="00140908">
        <w:rPr>
          <w:sz w:val="16"/>
        </w:rPr>
        <w:t xml:space="preserve"> </w:t>
      </w:r>
      <w:r w:rsidRPr="004C5697">
        <w:rPr>
          <w:rStyle w:val="Emphasis"/>
        </w:rPr>
        <w:t>They embody an ethos that I will call ‘cosmic expansionism’: the extension of dominant forms of agency, governance and socioeconomic power beyond the specific, Western spatio-scales associated with ‘human’ experience and cognition.</w:t>
      </w:r>
      <w:r w:rsidRPr="00140908">
        <w:rPr>
          <w:sz w:val="16"/>
        </w:rPr>
        <w:t xml:space="preserve"> This </w:t>
      </w:r>
      <w:r w:rsidRPr="004C5697">
        <w:rPr>
          <w:rStyle w:val="StyleUnderline"/>
        </w:rPr>
        <w:t>form of expansionism includes techno-scientific and/or capitalist interventions into the nano-sphere; quantum computing; synthetic biology; and large-scale terra-forming or geo-engineering on earth and other planets.</w:t>
      </w:r>
      <w:r w:rsidRPr="00140908">
        <w:rPr>
          <w:sz w:val="16"/>
        </w:rPr>
        <w:t xml:space="preserve"> </w:t>
      </w:r>
      <w:r w:rsidRPr="004C5697">
        <w:rPr>
          <w:rStyle w:val="Emphasis"/>
        </w:rPr>
        <w:t>It also involves the colonization of other temporalities, including those of Indigenous and other non-Western worlds</w:t>
      </w:r>
      <w:r w:rsidRPr="00140908">
        <w:rPr>
          <w:sz w:val="16"/>
        </w:rPr>
        <w:t xml:space="preserve"> (Rifkin, 2017) </w:t>
      </w:r>
      <w:r w:rsidRPr="004C5697">
        <w:rPr>
          <w:rStyle w:val="Emphasis"/>
        </w:rPr>
        <w:t xml:space="preserve">within the linear, unidirectional, homogenization structures of Western secular time. </w:t>
      </w:r>
      <w:r w:rsidRPr="00140908">
        <w:rPr>
          <w:rStyle w:val="Emphasis"/>
          <w:highlight w:val="yellow"/>
        </w:rPr>
        <w:t>Cosmic expansionism seeks to offer radical infinitude to ‘humanity’ by asserting domination not only over land and living bodies, but also the conditions of matter, time and space that shape and transform cosmos.</w:t>
      </w:r>
      <w:r w:rsidRPr="00140908">
        <w:rPr>
          <w:sz w:val="16"/>
        </w:rPr>
        <w:t xml:space="preserve"> One of the </w:t>
      </w:r>
      <w:r w:rsidRPr="004F7DCD">
        <w:rPr>
          <w:rStyle w:val="Emphasis"/>
        </w:rPr>
        <w:t>most salient expressions of cosmic expansionism is found in movements to colonize and extract resources from outer space.</w:t>
      </w:r>
      <w:r w:rsidRPr="00140908">
        <w:rPr>
          <w:sz w:val="16"/>
        </w:rPr>
        <w:t xml:space="preserve"> As </w:t>
      </w:r>
      <w:r w:rsidRPr="004F7DCD">
        <w:rPr>
          <w:rStyle w:val="Emphasis"/>
        </w:rPr>
        <w:t>images of a volatile, irreparably damaged and unsafe earth proliferate – that is, apocalyptic discourses of radical finitude – a new crop of commercial space entrepreneurs</w:t>
      </w:r>
      <w:r w:rsidRPr="00140908">
        <w:rPr>
          <w:sz w:val="16"/>
        </w:rPr>
        <w:t xml:space="preserve"> (‘NewSpace’) </w:t>
      </w:r>
      <w:r w:rsidRPr="004F7DCD">
        <w:rPr>
          <w:rStyle w:val="StyleUnderline"/>
        </w:rPr>
        <w:t>is promising an escape route.</w:t>
      </w:r>
      <w:r w:rsidRPr="00140908">
        <w:rPr>
          <w:sz w:val="16"/>
        </w:rPr>
        <w:t xml:space="preserve"> They suggest that the </w:t>
      </w:r>
      <w:r w:rsidRPr="004F7DCD">
        <w:rPr>
          <w:rStyle w:val="Emphasis"/>
        </w:rPr>
        <w:t>colonization of other planets and outer space bodies will create more space for an expanding ‘humanity’, ensuring its indefinite survival.</w:t>
      </w:r>
      <w:r w:rsidRPr="00140908">
        <w:rPr>
          <w:sz w:val="16"/>
        </w:rPr>
        <w:t xml:space="preserve"> In a 2014 conference address, NASA chief Charles Bolden stated that ‘only a multi-planet species can survive for a long period of time’. Similarly, space entrepreneur Elon Musk warns that ‘either we spread Earth to other planets, or we risk going extinct’ (Kleinman, 2013). Explaining his projects as an ‘insurance policy’ (Carroll, 2013), Musk approaches space colonization as a form of highly profitable yet publicly beneficial speculation against the possible extinction of homo sapiens. Although the colonization of outer space is often dismissed in public discourses as a science fiction plot, NewSpace entrepreneurs are committing billions of dollars to achieving their goals in a matter of decades. If </w:t>
      </w:r>
      <w:r w:rsidRPr="004F7DCD">
        <w:rPr>
          <w:rStyle w:val="Emphasis"/>
        </w:rPr>
        <w:t>they succeed, they will not be the first members of homo sapiens to make outer space their dwelling place. Many Indigenous peoples maintain relations with Ancestors, animals, plants and places on other planets and celestial bodies.</w:t>
      </w:r>
      <w:r w:rsidRPr="00140908">
        <w:rPr>
          <w:sz w:val="16"/>
        </w:rPr>
        <w:t xml:space="preserve"> </w:t>
      </w:r>
      <w:r w:rsidRPr="004F7DCD">
        <w:rPr>
          <w:rStyle w:val="Emphasis"/>
        </w:rPr>
        <w:t>To offer just three examples, Aboriginal people in Stradbroke Island, Queensland, are related to a man called Mirabooka who dwells in Sky Country in the form of a constellation and looks after the people of the earth</w:t>
      </w:r>
      <w:r w:rsidRPr="00140908">
        <w:rPr>
          <w:sz w:val="16"/>
        </w:rPr>
        <w:t xml:space="preserve"> (Bhathal, 2006). </w:t>
      </w:r>
      <w:r w:rsidRPr="004F7DCD">
        <w:rPr>
          <w:rStyle w:val="StyleUnderline"/>
        </w:rPr>
        <w:t>In Anishinaabe traditions, cosmic bodies including the sun, moon and stars form a family, who are the progenitors of earthly life forms and influence their lives (Benton-Banai, 2010). Similarly, within Haudenosaunee traditions, the first human – Sky Woman – fell to the watery abyss that would become earth from a hole made in the floor of Sky World by the uprooting of a sacred tree</w:t>
      </w:r>
      <w:r w:rsidRPr="00140908">
        <w:rPr>
          <w:sz w:val="16"/>
        </w:rPr>
        <w:t xml:space="preserve"> (Mohawk, 2010). </w:t>
      </w:r>
      <w:r w:rsidRPr="00140908">
        <w:rPr>
          <w:rStyle w:val="Emphasis"/>
          <w:highlight w:val="yellow"/>
        </w:rPr>
        <w:t>From within these and other Indigenous cosmo-visions, the area designated as ‘outer space’ by Western science has been continually inhabited by Ancestors, the dead, distinct worlds and non-living beings that command respect in their own right</w:t>
      </w:r>
      <w:r w:rsidRPr="004F7DCD">
        <w:rPr>
          <w:rStyle w:val="Emphasis"/>
        </w:rPr>
        <w:t xml:space="preserve">. </w:t>
      </w:r>
      <w:r w:rsidRPr="00140908">
        <w:rPr>
          <w:sz w:val="16"/>
        </w:rPr>
        <w:t xml:space="preserve">According to Seneca faithkeeper Oren Lyons (cited in Alfred, 2009) his people have always theorized their worlds in relation to the cosmos. This is exemplified by the Thanksgiving Address, a daily offering of gratitude to all beings. </w:t>
      </w:r>
      <w:r w:rsidRPr="004F7DCD">
        <w:rPr>
          <w:rStyle w:val="StyleUnderline"/>
        </w:rPr>
        <w:t>As Lyons relates, ‘you start with the grass and you wind up with the heavens and the universe, so obviously you’re thinking even more than just global, you’re thinking universal’</w:t>
      </w:r>
      <w:r w:rsidRPr="00140908">
        <w:rPr>
          <w:sz w:val="16"/>
        </w:rPr>
        <w:t xml:space="preserve"> (Alfred, 2009: 237). </w:t>
      </w:r>
      <w:r w:rsidRPr="00140908">
        <w:rPr>
          <w:rStyle w:val="Emphasis"/>
          <w:highlight w:val="yellow"/>
        </w:rPr>
        <w:t>Within this cosmo-vision, earth and what Western science calls ‘outer space’ are a continuous field of inhabitation and relation. Yet despite their rich and widespread presence in Indigenous philosophies and histories, the existence of these inhabitants is erased within mainstream, colonial discourses on outer space, which treat it as a dead, empty terrain with ‘no natives’ awaiting colonization</w:t>
      </w:r>
      <w:r w:rsidRPr="00140908">
        <w:rPr>
          <w:sz w:val="16"/>
        </w:rPr>
        <w:t xml:space="preserve"> (Reinstein, 1999; Grinspoon, 2004; NASA, 2014). Based on this assumption, Western scientific, military and commercial interests have made significant strides to annex, claim and shape outer space. </w:t>
      </w:r>
      <w:r w:rsidRPr="004F7DCD">
        <w:rPr>
          <w:rStyle w:val="Emphasis"/>
        </w:rPr>
        <w:t>Attempts to annex outer space within Western regimes of power have a significant history</w:t>
      </w:r>
      <w:r w:rsidRPr="00140908">
        <w:rPr>
          <w:sz w:val="16"/>
        </w:rPr>
        <w:t xml:space="preserve">. Practices of remotely observing, mapping and naming the features of celestial bodies have been employed continuously since the 18th century (Lane, 2010), projecting imaginaries of planets and worlds onto these beings (Dittmer, 2007). </w:t>
      </w:r>
      <w:r w:rsidRPr="00140908">
        <w:rPr>
          <w:rStyle w:val="Emphasis"/>
          <w:highlight w:val="yellow"/>
        </w:rPr>
        <w:t>Since the 1960s, outer space has been shaped by the material culture of the space race and human commerce, including thousands of satellites, rockets, their debris and the signals they beam to the Earth</w:t>
      </w:r>
      <w:r w:rsidRPr="00140908">
        <w:rPr>
          <w:sz w:val="16"/>
        </w:rPr>
        <w:t xml:space="preserve"> (Gorman, 2005; Collis, 2009). </w:t>
      </w:r>
      <w:r w:rsidRPr="004F7DCD">
        <w:rPr>
          <w:rStyle w:val="Emphasis"/>
        </w:rPr>
        <w:t>From this perspective, outer space has already been subject to significant material and ideational colonization</w:t>
      </w:r>
    </w:p>
    <w:p w14:paraId="3B5D43BA" w14:textId="77777777" w:rsidR="00696DFF" w:rsidRPr="00F601E6" w:rsidRDefault="00696DFF" w:rsidP="00696DFF"/>
    <w:p w14:paraId="681D6AE9" w14:textId="77777777" w:rsidR="009C7BB5" w:rsidRPr="00C20824" w:rsidRDefault="009C7BB5" w:rsidP="009C7BB5">
      <w:pPr>
        <w:ind w:right="-720"/>
      </w:pPr>
    </w:p>
    <w:p w14:paraId="4B9B6521" w14:textId="77777777" w:rsidR="009C7BB5" w:rsidRDefault="009C7BB5" w:rsidP="009C7BB5">
      <w:pPr>
        <w:pStyle w:val="Heading2"/>
        <w:ind w:right="-720"/>
        <w:rPr>
          <w:u w:val="single"/>
        </w:rPr>
      </w:pPr>
      <w:r>
        <w:rPr>
          <w:u w:val="single"/>
        </w:rPr>
        <w:t>Thus, C. Alternative</w:t>
      </w:r>
    </w:p>
    <w:p w14:paraId="23837FD4" w14:textId="77777777" w:rsidR="009C7BB5" w:rsidRDefault="009C7BB5" w:rsidP="009C7BB5">
      <w:pPr>
        <w:ind w:right="-720"/>
      </w:pPr>
    </w:p>
    <w:p w14:paraId="06CB9D85" w14:textId="77777777" w:rsidR="009C7BB5" w:rsidRPr="00030B28" w:rsidRDefault="009C7BB5" w:rsidP="009C7BB5">
      <w:pPr>
        <w:pStyle w:val="Heading4"/>
        <w:spacing w:line="480" w:lineRule="auto"/>
        <w:ind w:right="-720"/>
        <w:rPr>
          <w:rFonts w:cs="Times New Roman"/>
        </w:rPr>
      </w:pPr>
      <w:r>
        <w:t>[Kim] Reject the aff’s method and replace it with</w:t>
      </w:r>
      <w:r w:rsidRPr="009B78E6">
        <w:t xml:space="preserve"> </w:t>
      </w:r>
      <w:r>
        <w:t xml:space="preserve">Afro-Orientalism, or “AO,” a counterdiscourse to policymaking that explores the parallel oppression of Black and Asian people and locates the harm in the logic of state colonization. To clarify, this is a divestment from the political – we oppose state action and promote cross-racial coalition-building instead. </w:t>
      </w:r>
      <w:r w:rsidRPr="009B78E6">
        <w:t xml:space="preserve"> </w:t>
      </w:r>
    </w:p>
    <w:p w14:paraId="4C669EF4" w14:textId="77777777" w:rsidR="009C7BB5" w:rsidRDefault="009C7BB5" w:rsidP="009C7BB5">
      <w:pPr>
        <w:ind w:right="-720"/>
        <w:rPr>
          <w:color w:val="191919"/>
          <w:sz w:val="16"/>
        </w:rPr>
      </w:pPr>
      <w:r w:rsidRPr="00030B28">
        <w:rPr>
          <w:b/>
          <w:bCs/>
          <w:u w:val="single"/>
        </w:rPr>
        <w:t>Kim</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17ECD3DB" w14:textId="77777777" w:rsidR="009C7BB5" w:rsidRPr="00C51849" w:rsidRDefault="00457928" w:rsidP="009C7BB5">
      <w:pPr>
        <w:ind w:right="-720"/>
        <w:rPr>
          <w:color w:val="191919"/>
          <w:sz w:val="16"/>
        </w:rPr>
      </w:pPr>
      <w:hyperlink r:id="rId9" w:history="1">
        <w:r w:rsidR="009C7BB5" w:rsidRPr="00880DC4">
          <w:rPr>
            <w:rStyle w:val="Hyperlink"/>
            <w:sz w:val="16"/>
          </w:rPr>
          <w:t>http://www.raceandreligion.com/JRER/Volume_1_(2010)_files/Kim%201%2007.pdf</w:t>
        </w:r>
      </w:hyperlink>
      <w:r w:rsidR="009C7BB5">
        <w:rPr>
          <w:color w:val="191919"/>
          <w:sz w:val="16"/>
        </w:rPr>
        <w:t xml:space="preserve"> AC/CH</w:t>
      </w:r>
    </w:p>
    <w:p w14:paraId="73882A88" w14:textId="77777777" w:rsidR="009C7BB5" w:rsidRPr="00030B28" w:rsidRDefault="009C7BB5" w:rsidP="009C7BB5">
      <w:pPr>
        <w:ind w:right="-720"/>
        <w:rPr>
          <w:sz w:val="16"/>
        </w:rPr>
      </w:pPr>
    </w:p>
    <w:p w14:paraId="4DDE39C1" w14:textId="2E11C42A" w:rsidR="009C7BB5" w:rsidRPr="00457928" w:rsidRDefault="009C7BB5" w:rsidP="00457928">
      <w:pPr>
        <w:spacing w:line="480" w:lineRule="auto"/>
        <w:ind w:right="-720"/>
        <w:rPr>
          <w:sz w:val="16"/>
        </w:rPr>
      </w:pPr>
      <w:r w:rsidRPr="00593B49">
        <w:rPr>
          <w:sz w:val="16"/>
        </w:rPr>
        <w:t xml:space="preserve">Bill V. </w:t>
      </w:r>
      <w:r w:rsidRPr="00E55EB9">
        <w:rPr>
          <w:rStyle w:val="StyleUnderline"/>
        </w:rPr>
        <w:t xml:space="preserve">Mullen defines </w:t>
      </w:r>
      <w:r w:rsidRPr="00293827">
        <w:rPr>
          <w:rStyle w:val="StyleUnderline"/>
          <w:highlight w:val="yellow"/>
        </w:rPr>
        <w:t>A</w:t>
      </w:r>
      <w:r w:rsidRPr="00593B49">
        <w:rPr>
          <w:sz w:val="16"/>
        </w:rPr>
        <w:t>fro-</w:t>
      </w:r>
      <w:r w:rsidRPr="00293827">
        <w:rPr>
          <w:rStyle w:val="StyleUnderline"/>
          <w:highlight w:val="yellow"/>
        </w:rPr>
        <w:t>O</w:t>
      </w:r>
      <w:r w:rsidRPr="00593B49">
        <w:rPr>
          <w:sz w:val="16"/>
        </w:rPr>
        <w:t xml:space="preserve">rientalism </w:t>
      </w:r>
      <w:r w:rsidRPr="00293827">
        <w:rPr>
          <w:rStyle w:val="StyleUnderline"/>
          <w:highlight w:val="yellow"/>
        </w:rPr>
        <w:t>as a counterdiscourse</w:t>
      </w:r>
      <w:r w:rsidRPr="00E55EB9">
        <w:rPr>
          <w:rStyle w:val="StyleUnderline"/>
        </w:rPr>
        <w:t xml:space="preserve"> that</w:t>
      </w:r>
      <w:r w:rsidRPr="00C51849">
        <w:rPr>
          <w:rStyle w:val="StyleUnderline"/>
        </w:rPr>
        <w:t xml:space="preserve"> “at times shares with its dominant namesake certain features but </w:t>
      </w:r>
      <w:r w:rsidRPr="00E55EB9">
        <w:rPr>
          <w:rStyle w:val="StyleUnderline"/>
        </w:rPr>
        <w:t>primarily constitutes an</w:t>
      </w:r>
      <w:r w:rsidRPr="00293827">
        <w:rPr>
          <w:rStyle w:val="StyleUnderline"/>
        </w:rPr>
        <w:t xml:space="preserve"> independent critical trajectory of thought on the practice and ideological weight of Orientalism in the Western world.”</w:t>
      </w:r>
      <w:r w:rsidRPr="00593B49">
        <w:rPr>
          <w:sz w:val="16"/>
        </w:rPr>
        <w:t xml:space="preserve">8 Asian American studies scholar Helen H. Jun notes that although black Orientalism has no singular meaning or manifestation, it encompasses “an entire range of black imaginings of Asia that are in fact negotiations with the limits and disappointments of black citizenship.”9 Whether it is limited to the discourse of black citizenship in relation to U.S. policy on Asian immigrants, or to the discourses of antiracism and anti-imperialism, Afro/blackOrientalism, as Mullen puts it, is a “signifying discourse on race, nation, and global politics constituting </w:t>
      </w:r>
      <w:r w:rsidRPr="00293827">
        <w:rPr>
          <w:rStyle w:val="StyleUnderline"/>
        </w:rPr>
        <w:t>a subtradition in indigenous U.S. writing on imperialism, colonialism, and the making of capitalist empire.”</w:t>
      </w:r>
      <w:r w:rsidRPr="00593B49">
        <w:rPr>
          <w:sz w:val="16"/>
        </w:rPr>
        <w:t xml:space="preserve">10 As such, Afro/black-Orientalism </w:t>
      </w:r>
      <w:r w:rsidRPr="00293827">
        <w:rPr>
          <w:rStyle w:val="StyleUnderline"/>
          <w:highlight w:val="yellow"/>
        </w:rPr>
        <w:t>acknowledges not only</w:t>
      </w:r>
      <w:r w:rsidRPr="00293827">
        <w:rPr>
          <w:rStyle w:val="StyleUnderline"/>
        </w:rPr>
        <w:t xml:space="preserve"> the problems of </w:t>
      </w:r>
      <w:r w:rsidRPr="00293827">
        <w:rPr>
          <w:rStyle w:val="StyleUnderline"/>
          <w:highlight w:val="yellow"/>
        </w:rPr>
        <w:t>Orientalism, Western imperialism, and cap</w:t>
      </w:r>
      <w:r w:rsidRPr="00593B49">
        <w:rPr>
          <w:sz w:val="16"/>
        </w:rPr>
        <w:t xml:space="preserve">italism </w:t>
      </w:r>
      <w:r w:rsidRPr="00293827">
        <w:rPr>
          <w:rStyle w:val="StyleUnderline"/>
          <w:highlight w:val="yellow"/>
        </w:rPr>
        <w:t>but also the extent to which such problems have affected</w:t>
      </w:r>
      <w:r w:rsidRPr="00293827">
        <w:rPr>
          <w:rStyle w:val="StyleUnderline"/>
        </w:rPr>
        <w:t xml:space="preserve"> African Americans, Asian Americans, </w:t>
      </w:r>
      <w:r w:rsidRPr="00293827">
        <w:rPr>
          <w:rStyle w:val="StyleUnderline"/>
          <w:highlight w:val="yellow"/>
        </w:rPr>
        <w:t>Africans</w:t>
      </w:r>
      <w:r w:rsidRPr="00293827">
        <w:rPr>
          <w:rStyle w:val="StyleUnderline"/>
        </w:rPr>
        <w:t xml:space="preserve">, </w:t>
      </w:r>
      <w:r w:rsidRPr="00293827">
        <w:rPr>
          <w:rStyle w:val="StyleUnderline"/>
          <w:highlight w:val="yellow"/>
        </w:rPr>
        <w:t>and Asians</w:t>
      </w:r>
      <w:r w:rsidRPr="00593B49">
        <w:rPr>
          <w:sz w:val="16"/>
        </w:rPr>
        <w:t>, sometimes</w:t>
      </w:r>
      <w:r w:rsidRPr="00593B49">
        <w:rPr>
          <w:rStyle w:val="StyleUnderline"/>
          <w:sz w:val="16"/>
          <w:u w:val="none"/>
        </w:rPr>
        <w:t xml:space="preserve"> </w:t>
      </w:r>
      <w:r w:rsidRPr="00293827">
        <w:rPr>
          <w:rStyle w:val="StyleUnderline"/>
          <w:highlight w:val="yellow"/>
        </w:rPr>
        <w:t>in paralleled ways and</w:t>
      </w:r>
      <w:r w:rsidRPr="00593B49">
        <w:rPr>
          <w:sz w:val="16"/>
        </w:rPr>
        <w:t xml:space="preserve"> sometimes </w:t>
      </w:r>
      <w:r w:rsidRPr="00293827">
        <w:rPr>
          <w:rStyle w:val="StyleUnderline"/>
          <w:highlight w:val="yellow"/>
        </w:rPr>
        <w:t>through different trajectories. Hence,</w:t>
      </w:r>
      <w:r w:rsidRPr="00293827">
        <w:rPr>
          <w:rStyle w:val="StyleUnderline"/>
        </w:rPr>
        <w:t xml:space="preserve"> Afro/black-Orientalism, as Jun puts it, is “not employed as an accusatory and reductive condemnation that functions to chastise black individuals or institutions for being imperialist, racist, or Orientalist.”11 Rather, </w:t>
      </w:r>
      <w:r w:rsidRPr="00D95C68">
        <w:rPr>
          <w:rStyle w:val="StyleUnderline"/>
          <w:highlight w:val="yellow"/>
        </w:rPr>
        <w:t>A</w:t>
      </w:r>
      <w:r w:rsidRPr="00593B49">
        <w:rPr>
          <w:sz w:val="16"/>
        </w:rPr>
        <w:t>fro/black</w:t>
      </w:r>
      <w:r w:rsidRPr="00293827">
        <w:rPr>
          <w:rStyle w:val="StyleUnderline"/>
          <w:highlight w:val="yellow"/>
        </w:rPr>
        <w:t>-O</w:t>
      </w:r>
      <w:r w:rsidRPr="00593B49">
        <w:rPr>
          <w:sz w:val="16"/>
        </w:rPr>
        <w:t xml:space="preserve">rientalism </w:t>
      </w:r>
      <w:r w:rsidRPr="00293827">
        <w:rPr>
          <w:rStyle w:val="StyleUnderline"/>
          <w:highlight w:val="yellow"/>
        </w:rPr>
        <w:t>is employed as an important site where</w:t>
      </w:r>
      <w:r w:rsidRPr="00293827">
        <w:rPr>
          <w:rStyle w:val="StyleUnderline"/>
        </w:rPr>
        <w:t xml:space="preserve"> a crude opposition between blacks and Asians can be contested, where </w:t>
      </w:r>
      <w:r w:rsidRPr="00293827">
        <w:rPr>
          <w:rStyle w:val="StyleUnderline"/>
          <w:highlight w:val="yellow"/>
        </w:rPr>
        <w:t>the parallel courses of Western imperialism through Asia and Africa can be explored,</w:t>
      </w:r>
      <w:r w:rsidRPr="00593B49">
        <w:rPr>
          <w:sz w:val="16"/>
        </w:rPr>
        <w:t xml:space="preserve"> where the </w:t>
      </w:r>
      <w:r w:rsidRPr="00293827">
        <w:rPr>
          <w:rStyle w:val="StyleUnderline"/>
          <w:highlight w:val="yellow"/>
        </w:rPr>
        <w:t>experiences of African</w:t>
      </w:r>
      <w:r w:rsidRPr="00593B49">
        <w:rPr>
          <w:sz w:val="16"/>
        </w:rPr>
        <w:t xml:space="preserve"> American</w:t>
      </w:r>
      <w:r w:rsidRPr="00293827">
        <w:rPr>
          <w:rStyle w:val="StyleUnderline"/>
          <w:highlight w:val="yellow"/>
        </w:rPr>
        <w:t>s and Asian</w:t>
      </w:r>
      <w:r w:rsidRPr="00593B49">
        <w:rPr>
          <w:sz w:val="16"/>
        </w:rPr>
        <w:t xml:space="preserve"> American</w:t>
      </w:r>
      <w:r w:rsidRPr="00293827">
        <w:rPr>
          <w:rStyle w:val="StyleUnderline"/>
          <w:highlight w:val="yellow"/>
        </w:rPr>
        <w:t>s as slaves and indentured servants</w:t>
      </w:r>
      <w:r w:rsidRPr="00293827">
        <w:rPr>
          <w:rStyle w:val="StyleUnderline"/>
        </w:rPr>
        <w:t xml:space="preserve"> in the Americas, respectively, </w:t>
      </w:r>
      <w:r w:rsidRPr="00293827">
        <w:rPr>
          <w:rStyle w:val="StyleUnderline"/>
          <w:highlight w:val="yellow"/>
        </w:rPr>
        <w:t>can be compared, and</w:t>
      </w:r>
      <w:r w:rsidRPr="00593B49">
        <w:rPr>
          <w:sz w:val="16"/>
        </w:rPr>
        <w:t xml:space="preserve"> where </w:t>
      </w:r>
      <w:r w:rsidRPr="00293827">
        <w:rPr>
          <w:rStyle w:val="StyleUnderline"/>
          <w:highlight w:val="yellow"/>
        </w:rPr>
        <w:t>cross-racial</w:t>
      </w:r>
      <w:r w:rsidRPr="00293827">
        <w:rPr>
          <w:rStyle w:val="StyleUnderline"/>
        </w:rPr>
        <w:t xml:space="preserve">, cross-ethnic, and trans-Pacific political </w:t>
      </w:r>
      <w:r w:rsidRPr="00293827">
        <w:rPr>
          <w:rStyle w:val="StyleUnderline"/>
          <w:highlight w:val="yellow"/>
        </w:rPr>
        <w:t>solidarity</w:t>
      </w:r>
      <w:r w:rsidRPr="00293827">
        <w:rPr>
          <w:rStyle w:val="StyleUnderline"/>
        </w:rPr>
        <w:t xml:space="preserve"> that is not based on racial identification </w:t>
      </w:r>
      <w:r w:rsidRPr="00293827">
        <w:rPr>
          <w:rStyle w:val="StyleUnderline"/>
          <w:highlight w:val="yellow"/>
        </w:rPr>
        <w:t>can be sought out.</w:t>
      </w:r>
      <w:r w:rsidRPr="00593B49">
        <w:rPr>
          <w:sz w:val="16"/>
        </w:rPr>
        <w:t xml:space="preserve"> Exploring instances of Afro/black-Orientalism in various historical contexts illuminates not only the importance of race but also how crucial it is to explore how gender, sexuality, and religion intersect with race and class in the face of ongoing racism, sexism, heterosexism, militarism, and class exploitation.</w:t>
      </w:r>
    </w:p>
    <w:sectPr w:rsidR="009C7BB5" w:rsidRPr="004579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B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D60"/>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92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DF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C7BB5"/>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C56178"/>
  <w14:defaultImageDpi w14:val="300"/>
  <w15:docId w15:val="{96D181D5-45E5-1D4F-8A4B-C097BD56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7928"/>
    <w:rPr>
      <w:rFonts w:ascii="Times New Roman" w:hAnsi="Times New Roman" w:cs="Times New Roman"/>
    </w:rPr>
  </w:style>
  <w:style w:type="paragraph" w:styleId="Heading1">
    <w:name w:val="heading 1"/>
    <w:aliases w:val="Pocket"/>
    <w:basedOn w:val="Normal"/>
    <w:next w:val="Normal"/>
    <w:link w:val="Heading1Char"/>
    <w:uiPriority w:val="9"/>
    <w:qFormat/>
    <w:rsid w:val="004579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5792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5792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45792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57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7928"/>
  </w:style>
  <w:style w:type="character" w:customStyle="1" w:styleId="Heading1Char">
    <w:name w:val="Heading 1 Char"/>
    <w:aliases w:val="Pocket Char"/>
    <w:basedOn w:val="DefaultParagraphFont"/>
    <w:link w:val="Heading1"/>
    <w:uiPriority w:val="9"/>
    <w:rsid w:val="0045792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5792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5792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45792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457928"/>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57928"/>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45792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57928"/>
    <w:rPr>
      <w:color w:val="auto"/>
      <w:u w:val="none"/>
    </w:rPr>
  </w:style>
  <w:style w:type="character" w:styleId="Hyperlink">
    <w:name w:val="Hyperlink"/>
    <w:basedOn w:val="DefaultParagraphFont"/>
    <w:uiPriority w:val="99"/>
    <w:unhideWhenUsed/>
    <w:rsid w:val="00457928"/>
    <w:rPr>
      <w:color w:val="auto"/>
      <w:u w:val="none"/>
    </w:rPr>
  </w:style>
  <w:style w:type="paragraph" w:styleId="DocumentMap">
    <w:name w:val="Document Map"/>
    <w:basedOn w:val="Normal"/>
    <w:link w:val="DocumentMapChar"/>
    <w:uiPriority w:val="99"/>
    <w:semiHidden/>
    <w:unhideWhenUsed/>
    <w:rsid w:val="00457928"/>
    <w:rPr>
      <w:rFonts w:ascii="Lucida Grande" w:hAnsi="Lucida Grande" w:cs="Lucida Grande"/>
    </w:rPr>
  </w:style>
  <w:style w:type="character" w:customStyle="1" w:styleId="DocumentMapChar">
    <w:name w:val="Document Map Char"/>
    <w:basedOn w:val="DefaultParagraphFont"/>
    <w:link w:val="DocumentMap"/>
    <w:uiPriority w:val="99"/>
    <w:semiHidden/>
    <w:rsid w:val="0045792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C7BB5"/>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9C7BB5"/>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raceandreligion.com/JRER/Volume_1_(2010)_files/Kim%201%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4108</Words>
  <Characters>23420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2022-01-18T21:20:00Z</dcterms:created>
  <dcterms:modified xsi:type="dcterms:W3CDTF">2022-01-18T21:20:00Z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