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4AC64" w14:textId="77777777" w:rsidR="008A7C8B" w:rsidRPr="000F18BA" w:rsidRDefault="008A7C8B" w:rsidP="008A7C8B">
      <w:pPr>
        <w:pStyle w:val="Heading2"/>
        <w:spacing w:line="480" w:lineRule="auto"/>
        <w:ind w:right="-720"/>
        <w:rPr>
          <w:rFonts w:cs="Times New Roman"/>
          <w:color w:val="000000" w:themeColor="text1"/>
          <w:u w:val="single"/>
        </w:rPr>
      </w:pPr>
      <w:r w:rsidRPr="00CA29BD">
        <w:rPr>
          <w:rFonts w:cs="Times New Roman"/>
          <w:color w:val="000000" w:themeColor="text1"/>
          <w:u w:val="single"/>
        </w:rPr>
        <w:t xml:space="preserve">I affirm. Part 1: </w:t>
      </w:r>
      <w:r>
        <w:rPr>
          <w:rFonts w:cs="Times New Roman"/>
          <w:color w:val="000000" w:themeColor="text1"/>
          <w:u w:val="single"/>
        </w:rPr>
        <w:t>Wake Up</w:t>
      </w:r>
    </w:p>
    <w:p w14:paraId="6C5640C8" w14:textId="77777777" w:rsidR="008A7C8B" w:rsidRPr="002C1012" w:rsidRDefault="008A7C8B" w:rsidP="008A7C8B">
      <w:pPr>
        <w:pStyle w:val="Heading4"/>
        <w:spacing w:line="480" w:lineRule="auto"/>
        <w:ind w:right="-720"/>
        <w:rPr>
          <w:rFonts w:cs="Times New Roman"/>
        </w:rPr>
      </w:pPr>
      <w:r w:rsidRPr="002C1012">
        <w:rPr>
          <w:rFonts w:cs="Times New Roman"/>
        </w:rPr>
        <w:t>[Reid-Brinkley</w:t>
      </w:r>
      <w:r>
        <w:rPr>
          <w:rFonts w:cs="Times New Roman"/>
        </w:rPr>
        <w:t xml:space="preserve"> &amp; ROJ</w:t>
      </w:r>
      <w:r w:rsidRPr="002C1012">
        <w:rPr>
          <w:rFonts w:cs="Times New Roman"/>
        </w:rPr>
        <w:t xml:space="preserve">] CURRENT DEBATE RENDERS </w:t>
      </w:r>
      <w:r>
        <w:rPr>
          <w:rFonts w:cs="Times New Roman"/>
        </w:rPr>
        <w:t xml:space="preserve">REAL VIOLENCE </w:t>
      </w:r>
      <w:r w:rsidRPr="002C1012">
        <w:rPr>
          <w:rFonts w:cs="Times New Roman"/>
        </w:rPr>
        <w:t xml:space="preserve">INVISIBLE – </w:t>
      </w:r>
      <w:r w:rsidRPr="002C1012">
        <w:rPr>
          <w:rFonts w:cs="Times New Roman"/>
          <w:b w:val="0"/>
          <w:bCs w:val="0"/>
        </w:rPr>
        <w:t xml:space="preserve">it distances us from </w:t>
      </w:r>
      <w:r>
        <w:rPr>
          <w:rFonts w:cs="Times New Roman"/>
          <w:b w:val="0"/>
          <w:bCs w:val="0"/>
        </w:rPr>
        <w:t>actual harm by focusing on improbable extinction scenarios.</w:t>
      </w:r>
    </w:p>
    <w:p w14:paraId="44002B4C" w14:textId="77777777" w:rsidR="008A7C8B" w:rsidRPr="002C1012" w:rsidRDefault="008A7C8B" w:rsidP="008A7C8B">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5589D927" w14:textId="77777777" w:rsidR="008A7C8B" w:rsidRPr="002C1012" w:rsidRDefault="008A7C8B" w:rsidP="008A7C8B">
      <w:pPr>
        <w:ind w:right="-720"/>
      </w:pPr>
    </w:p>
    <w:p w14:paraId="245C7F24" w14:textId="77777777" w:rsidR="008A7C8B" w:rsidRPr="004E2590" w:rsidRDefault="008A7C8B" w:rsidP="008A7C8B">
      <w:pPr>
        <w:pStyle w:val="NoSpacing"/>
        <w:spacing w:line="480" w:lineRule="auto"/>
        <w:ind w:right="-720"/>
        <w:jc w:val="both"/>
        <w:rPr>
          <w:rFonts w:ascii="Times New Roman" w:hAnsi="Times New Roman" w:cs="Times New Roman"/>
          <w:sz w:val="16"/>
          <w:szCs w:val="16"/>
        </w:rPr>
      </w:pPr>
      <w:r w:rsidRPr="004E2590">
        <w:rPr>
          <w:rFonts w:ascii="Times New Roman" w:hAnsi="Times New Roman" w:cs="Times New Roman"/>
          <w:sz w:val="16"/>
          <w:szCs w:val="16"/>
        </w:rPr>
        <w:t>Genre Violation Four: Policymaker as Impersonal and the Rhetoric of Personal Experience. Debate is a competitive game. 112 It requires that its participants take on the positions of state actors (at least when they are affirming the resolution</w:t>
      </w:r>
      <w:r w:rsidRPr="004E2590">
        <w:rPr>
          <w:rFonts w:ascii="Times New Roman" w:hAnsi="Times New Roman" w:cs="Times New Roman"/>
          <w:sz w:val="16"/>
        </w:rPr>
        <w:t>).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w:t>
      </w:r>
      <w:r w:rsidRPr="004E2590">
        <w:rPr>
          <w:rStyle w:val="TitleChar"/>
          <w:rFonts w:ascii="Times New Roman" w:hAnsi="Times New Roman" w:cs="Times New Roman"/>
          <w:b/>
          <w:bCs/>
        </w:rPr>
        <w:t>,</w:t>
      </w:r>
      <w:r w:rsidRPr="002C1012">
        <w:rPr>
          <w:rStyle w:val="TitleChar"/>
          <w:rFonts w:ascii="Times New Roman" w:hAnsi="Times New Roman" w:cs="Times New Roman"/>
          <w:b/>
          <w:bCs/>
        </w:rPr>
        <w:t xml:space="preserve"> with little or no apparent recourse to directly participate or alter the course of events.</w:t>
      </w:r>
      <w:r w:rsidRPr="002C1012">
        <w:rPr>
          <w:rStyle w:val="TitleChar"/>
          <w:rFonts w:ascii="Times New Roman" w:hAnsi="Times New Roman" w:cs="Times New Roman"/>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114 </w:t>
      </w:r>
      <w:r w:rsidRPr="004E2590">
        <w:rPr>
          <w:rStyle w:val="StyleUnderline"/>
          <w:rFonts w:ascii="Times New Roman" w:hAnsi="Times New Roman" w:cs="Times New Roman"/>
          <w:highlight w:val="yellow"/>
        </w:rPr>
        <w:t>Although debaters spend a great deal of time discussing</w:t>
      </w:r>
      <w:r w:rsidRPr="004E2590">
        <w:rPr>
          <w:rStyle w:val="StyleUnderline"/>
          <w:rFonts w:ascii="Times New Roman" w:hAnsi="Times New Roman" w:cs="Times New Roman"/>
        </w:rPr>
        <w:t xml:space="preserve"> and researching </w:t>
      </w:r>
      <w:r w:rsidRPr="004E2590">
        <w:rPr>
          <w:rStyle w:val="StyleUnderline"/>
          <w:rFonts w:ascii="Times New Roman" w:hAnsi="Times New Roman" w:cs="Times New Roman"/>
          <w:highlight w:val="yellow"/>
        </w:rPr>
        <w:t>government action</w:t>
      </w:r>
      <w:r w:rsidRPr="004E2590">
        <w:rPr>
          <w:rStyle w:val="StyleUnderline"/>
          <w:rFonts w:ascii="Times New Roman" w:hAnsi="Times New Roman" w:cs="Times New Roman"/>
        </w:rPr>
        <w:t xml:space="preserve"> and articulating arguments relevant to such action</w:t>
      </w:r>
      <w:r w:rsidRPr="004E2590">
        <w:rPr>
          <w:rStyle w:val="StyleUnderline"/>
          <w:rFonts w:ascii="Times New Roman" w:hAnsi="Times New Roman" w:cs="Times New Roman"/>
          <w:highlight w:val="yellow"/>
        </w:rPr>
        <w:t>,</w:t>
      </w:r>
      <w:r w:rsidRPr="004E2590">
        <w:rPr>
          <w:rStyle w:val="StyleUnderline"/>
          <w:rFonts w:ascii="Times New Roman" w:hAnsi="Times New Roman" w:cs="Times New Roman"/>
        </w:rPr>
        <w:t xml:space="preserve"> what hap</w:t>
      </w:r>
      <w:r w:rsidRPr="002C1012">
        <w:rPr>
          <w:rStyle w:val="TitleChar"/>
          <w:rFonts w:ascii="Times New Roman" w:hAnsi="Times New Roman" w:cs="Times New Roman"/>
          <w:b/>
          <w:bCs/>
        </w:rPr>
        <w:t xml:space="preserve">pens in debate rounds has limited or no real impact on contemporary governmental policy making. And </w:t>
      </w:r>
      <w:r w:rsidRPr="000F18BA">
        <w:rPr>
          <w:rStyle w:val="TitleChar"/>
          <w:rFonts w:ascii="Times New Roman" w:hAnsi="Times New Roman" w:cs="Times New Roman"/>
          <w:b/>
          <w:bCs/>
          <w:highlight w:val="yellow"/>
        </w:rPr>
        <w:t>participation does not result in</w:t>
      </w:r>
      <w:r w:rsidRPr="002C1012">
        <w:rPr>
          <w:rStyle w:val="TitleChar"/>
          <w:rFonts w:ascii="Times New Roman" w:hAnsi="Times New Roman" w:cs="Times New Roman"/>
          <w:b/>
          <w:bCs/>
        </w:rPr>
        <w:t xml:space="preserve"> the majority of the debate community engaging in </w:t>
      </w:r>
      <w:r w:rsidRPr="000F18BA">
        <w:rPr>
          <w:rStyle w:val="TitleChar"/>
          <w:rFonts w:ascii="Times New Roman" w:hAnsi="Times New Roman" w:cs="Times New Roman"/>
          <w:b/>
          <w:bCs/>
          <w:highlight w:val="yellow"/>
        </w:rPr>
        <w:t>activism</w:t>
      </w:r>
      <w:r w:rsidRPr="002C1012">
        <w:rPr>
          <w:rStyle w:val="TitleChar"/>
          <w:rFonts w:ascii="Times New Roman" w:hAnsi="Times New Roman" w:cs="Times New Roman"/>
          <w:b/>
          <w:bCs/>
        </w:rPr>
        <w:t xml:space="preserve"> around the issues they research</w:t>
      </w:r>
      <w:r w:rsidRPr="000F18BA">
        <w:rPr>
          <w:rStyle w:val="StyleUnderline"/>
          <w:rFonts w:ascii="Times New Roman" w:hAnsi="Times New Roman" w:cs="Times New Roman"/>
          <w:highlight w:val="yellow"/>
        </w:rPr>
        <w:t>.</w:t>
      </w:r>
      <w:r w:rsidRPr="004E2590">
        <w:rPr>
          <w:rStyle w:val="StyleUnderline"/>
          <w:rFonts w:ascii="Times New Roman" w:hAnsi="Times New Roman" w:cs="Times New Roman"/>
          <w:sz w:val="16"/>
          <w:u w:val="none"/>
        </w:rPr>
        <w:t xml:space="preserve"> </w:t>
      </w:r>
      <w:r w:rsidRPr="004E2590">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 xml:space="preserve">stance of the policymaker in debate comes with a “sense of detachment </w:t>
      </w:r>
      <w:r w:rsidRPr="000F18BA">
        <w:rPr>
          <w:rStyle w:val="TitleChar"/>
          <w:rFonts w:ascii="Times New Roman" w:hAnsi="Times New Roman" w:cs="Times New Roman"/>
          <w:sz w:val="16"/>
          <w:szCs w:val="16"/>
        </w:rPr>
        <w:t>associated with the spectator posture.”</w:t>
      </w:r>
      <w:r w:rsidRPr="004E2590">
        <w:rPr>
          <w:rFonts w:ascii="Times New Roman" w:hAnsi="Times New Roman" w:cs="Times New Roman"/>
          <w:sz w:val="16"/>
          <w:szCs w:val="16"/>
        </w:rPr>
        <w:t xml:space="preserve"> 115 In other words, its</w:t>
      </w:r>
      <w:r w:rsidRPr="004E2590">
        <w:rPr>
          <w:rFonts w:ascii="Times New Roman" w:hAnsi="Times New Roman" w:cs="Times New Roman"/>
          <w:sz w:val="16"/>
        </w:rPr>
        <w:t xml:space="preserve"> </w:t>
      </w:r>
      <w:r w:rsidRPr="000F18BA">
        <w:rPr>
          <w:rStyle w:val="TitleChar"/>
          <w:rFonts w:ascii="Times New Roman" w:hAnsi="Times New Roman" w:cs="Times New Roman"/>
          <w:b/>
          <w:bCs/>
        </w:rPr>
        <w:t xml:space="preserve">participants are able to engage in debates where they are able to </w:t>
      </w:r>
      <w:r w:rsidRPr="000F18BA">
        <w:rPr>
          <w:rStyle w:val="Emphasis"/>
        </w:rPr>
        <w:t>distance themselves</w:t>
      </w:r>
      <w:r w:rsidRPr="000F18BA">
        <w:rPr>
          <w:rStyle w:val="TitleChar"/>
          <w:rFonts w:ascii="Times New Roman" w:hAnsi="Times New Roman" w:cs="Times New Roman"/>
          <w:b/>
          <w:bCs/>
        </w:rPr>
        <w:t xml:space="preserve"> from the events that are the subjects of debates.</w:t>
      </w:r>
      <w:r w:rsidRPr="002C1012">
        <w:rPr>
          <w:rStyle w:val="TitleChar"/>
          <w:rFonts w:ascii="Times New Roman" w:hAnsi="Times New Roman" w:cs="Times New Roman"/>
          <w:b/>
          <w:bCs/>
        </w:rPr>
        <w:t xml:space="preserve"> </w:t>
      </w:r>
      <w:r w:rsidRPr="000F18BA">
        <w:rPr>
          <w:rStyle w:val="TitleChar"/>
          <w:rFonts w:ascii="Times New Roman" w:hAnsi="Times New Roman" w:cs="Times New Roman"/>
          <w:b/>
          <w:bCs/>
          <w:highlight w:val="yellow"/>
        </w:rPr>
        <w:t>Debaters</w:t>
      </w:r>
      <w:r w:rsidRPr="000F18BA">
        <w:rPr>
          <w:rStyle w:val="TitleChar"/>
          <w:rFonts w:ascii="Times New Roman" w:hAnsi="Times New Roman" w:cs="Times New Roman"/>
          <w:b/>
          <w:bCs/>
        </w:rPr>
        <w:t xml:space="preserve"> c</w:t>
      </w:r>
      <w:r w:rsidRPr="002C1012">
        <w:rPr>
          <w:rStyle w:val="TitleChar"/>
          <w:rFonts w:ascii="Times New Roman" w:hAnsi="Times New Roman" w:cs="Times New Roman"/>
          <w:b/>
          <w:bCs/>
        </w:rPr>
        <w:t xml:space="preserve">an </w:t>
      </w:r>
      <w:r w:rsidRPr="002C1012">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2C1012">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2C1012">
        <w:rPr>
          <w:rStyle w:val="TitleChar"/>
          <w:rFonts w:ascii="Times New Roman" w:hAnsi="Times New Roman" w:cs="Times New Roman"/>
          <w:b/>
          <w:bCs/>
          <w:highlight w:val="yellow"/>
        </w:rPr>
        <w:t>and nuc</w:t>
      </w:r>
      <w:r w:rsidRPr="004E2590">
        <w:rPr>
          <w:rFonts w:ascii="Times New Roman" w:hAnsi="Times New Roman" w:cs="Times New Roman"/>
          <w:sz w:val="16"/>
        </w:rPr>
        <w:t xml:space="preserve">lear </w:t>
      </w:r>
      <w:r w:rsidRPr="002C1012">
        <w:rPr>
          <w:rStyle w:val="TitleChar"/>
          <w:rFonts w:ascii="Times New Roman" w:hAnsi="Times New Roman" w:cs="Times New Roman"/>
          <w:b/>
          <w:bCs/>
          <w:highlight w:val="yellow"/>
        </w:rPr>
        <w:t>war without blinking. Debate simulations</w:t>
      </w:r>
      <w:r w:rsidRPr="002C1012">
        <w:rPr>
          <w:rStyle w:val="TitleChar"/>
          <w:rFonts w:ascii="Times New Roman" w:hAnsi="Times New Roman" w:cs="Times New Roman"/>
          <w:b/>
          <w:bCs/>
        </w:rPr>
        <w:t xml:space="preserve"> can </w:t>
      </w:r>
      <w:r w:rsidRPr="002C1012">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2C1012">
        <w:rPr>
          <w:rStyle w:val="Emphasis"/>
          <w:highlight w:val="yellow"/>
        </w:rPr>
        <w:t>distance</w:t>
      </w:r>
      <w:r w:rsidRPr="002C1012">
        <w:rPr>
          <w:rStyle w:val="TitleChar"/>
          <w:rFonts w:ascii="Times New Roman" w:hAnsi="Times New Roman" w:cs="Times New Roman"/>
          <w:b/>
          <w:bCs/>
        </w:rPr>
        <w:t xml:space="preserve"> the </w:t>
      </w:r>
      <w:r w:rsidRPr="002C1012">
        <w:rPr>
          <w:rStyle w:val="TitleChar"/>
          <w:rFonts w:ascii="Times New Roman" w:hAnsi="Times New Roman" w:cs="Times New Roman"/>
          <w:b/>
          <w:bCs/>
          <w:highlight w:val="yellow"/>
        </w:rPr>
        <w:t>debaters from real world participation in the political contexts they debate about</w:t>
      </w:r>
      <w:r w:rsidRPr="002C1012">
        <w:rPr>
          <w:rStyle w:val="TitleChar"/>
          <w:rFonts w:ascii="Times New Roman" w:hAnsi="Times New Roman" w:cs="Times New Roman"/>
          <w:highlight w:val="yellow"/>
        </w:rPr>
        <w:t>.</w:t>
      </w:r>
      <w:r w:rsidRPr="004E2590">
        <w:rPr>
          <w:rFonts w:ascii="Times New Roman" w:hAnsi="Times New Roman" w:cs="Times New Roman"/>
          <w:sz w:val="16"/>
        </w:rPr>
        <w:t xml:space="preserve"> </w:t>
      </w:r>
      <w:r w:rsidRPr="004E2590">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4E2590">
        <w:rPr>
          <w:rFonts w:ascii="Times New Roman" w:hAnsi="Times New Roman" w:cs="Times New Roman"/>
          <w:sz w:val="16"/>
          <w:szCs w:val="16"/>
        </w:rPr>
        <w:t>” (emphasis in original). 116</w:t>
      </w:r>
      <w:r w:rsidRPr="004E2590">
        <w:rPr>
          <w:rFonts w:ascii="Times New Roman" w:hAnsi="Times New Roman" w:cs="Times New Roman"/>
          <w:sz w:val="16"/>
        </w:rPr>
        <w:t xml:space="preserve"> </w:t>
      </w:r>
      <w:r w:rsidRPr="002C1012">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2C1012">
        <w:rPr>
          <w:rStyle w:val="StyleUnderline"/>
          <w:rFonts w:ascii="Times New Roman" w:hAnsi="Times New Roman" w:cs="Times New Roman"/>
          <w:highlight w:val="yellow"/>
        </w:rPr>
        <w:t>imperialist persona</w:t>
      </w:r>
      <w:r w:rsidRPr="004E2590">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2C1012">
        <w:rPr>
          <w:rStyle w:val="TitleChar"/>
          <w:rFonts w:ascii="Times New Roman" w:hAnsi="Times New Roman" w:cs="Times New Roman"/>
          <w:b/>
          <w:bCs/>
          <w:highlight w:val="yellow"/>
        </w:rPr>
        <w:t>integrally</w:t>
      </w:r>
      <w:r w:rsidRPr="002C1012">
        <w:rPr>
          <w:rStyle w:val="TitleChar"/>
          <w:rFonts w:ascii="Times New Roman" w:hAnsi="Times New Roman" w:cs="Times New Roman"/>
          <w:highlight w:val="yellow"/>
        </w:rPr>
        <w:t xml:space="preserve"> </w:t>
      </w:r>
      <w:r w:rsidRPr="002C1012">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2C1012">
        <w:rPr>
          <w:rStyle w:val="TitleChar"/>
          <w:rFonts w:ascii="Times New Roman" w:hAnsi="Times New Roman" w:cs="Times New Roman"/>
          <w:b/>
          <w:bCs/>
          <w:highlight w:val="yellow"/>
        </w:rPr>
        <w:t xml:space="preserve">practices of power that </w:t>
      </w:r>
      <w:r w:rsidRPr="000F18BA">
        <w:rPr>
          <w:rStyle w:val="TitleChar"/>
          <w:rFonts w:ascii="Times New Roman" w:hAnsi="Times New Roman" w:cs="Times New Roman"/>
          <w:b/>
          <w:bCs/>
          <w:highlight w:val="yellow"/>
        </w:rPr>
        <w:t>produce</w:t>
      </w:r>
      <w:r w:rsidRPr="004E2590">
        <w:rPr>
          <w:rStyle w:val="TitleChar"/>
          <w:rFonts w:ascii="Times New Roman" w:hAnsi="Times New Roman" w:cs="Times New Roman"/>
          <w:b/>
          <w:bCs/>
        </w:rPr>
        <w:t xml:space="preserve"> and maintain</w:t>
      </w:r>
      <w:r w:rsidRPr="002C1012">
        <w:rPr>
          <w:rStyle w:val="TitleChar"/>
          <w:rFonts w:ascii="Times New Roman" w:hAnsi="Times New Roman" w:cs="Times New Roman"/>
          <w:b/>
          <w:bCs/>
        </w:rPr>
        <w:t xml:space="preserve"> varying networks of </w:t>
      </w:r>
      <w:r w:rsidRPr="002C1012">
        <w:rPr>
          <w:rStyle w:val="TitleChar"/>
          <w:rFonts w:ascii="Times New Roman" w:hAnsi="Times New Roman" w:cs="Times New Roman"/>
          <w:b/>
          <w:bCs/>
          <w:highlight w:val="yellow"/>
        </w:rPr>
        <w:t>oppression</w:t>
      </w:r>
      <w:r w:rsidRPr="004E2590">
        <w:rPr>
          <w:rStyle w:val="TitleChar"/>
          <w:rFonts w:ascii="Times New Roman" w:hAnsi="Times New Roman" w:cs="Times New Roman"/>
          <w:b/>
          <w:bCs/>
        </w:rPr>
        <w:t>.</w:t>
      </w:r>
      <w:r w:rsidRPr="004E2590">
        <w:rPr>
          <w:rStyle w:val="StyleUnderline"/>
          <w:rFonts w:ascii="Times New Roman" w:hAnsi="Times New Roman" w:cs="Times New Roman"/>
        </w:rPr>
        <w:t xml:space="preserve"> In other words, the discursive practices of policyoriented debate are developed</w:t>
      </w:r>
      <w:r w:rsidRPr="002C1012">
        <w:rPr>
          <w:rStyle w:val="StyleUnderline"/>
          <w:rFonts w:ascii="Times New Roman" w:hAnsi="Times New Roman" w:cs="Times New Roman"/>
        </w:rPr>
        <w:t xml:space="preserve"> within, through </w:t>
      </w:r>
      <w:r w:rsidRPr="004E2590">
        <w:rPr>
          <w:rStyle w:val="StyleUnderline"/>
          <w:rFonts w:ascii="Times New Roman" w:hAnsi="Times New Roman" w:cs="Times New Roman"/>
          <w:highlight w:val="yellow"/>
        </w:rPr>
        <w:t>and</w:t>
      </w:r>
      <w:r w:rsidRPr="002C1012">
        <w:rPr>
          <w:rStyle w:val="StyleUnderline"/>
          <w:rFonts w:ascii="Times New Roman" w:hAnsi="Times New Roman" w:cs="Times New Roman"/>
        </w:rPr>
        <w:t xml:space="preserve"> from systems of power and privilege. Thus, these practices </w:t>
      </w:r>
      <w:r w:rsidRPr="004E2590">
        <w:rPr>
          <w:rStyle w:val="StyleUnderline"/>
          <w:rFonts w:ascii="Times New Roman" w:hAnsi="Times New Roman" w:cs="Times New Roman"/>
          <w:highlight w:val="yellow"/>
        </w:rPr>
        <w:t>are</w:t>
      </w:r>
      <w:r w:rsidRPr="004E2590">
        <w:rPr>
          <w:rStyle w:val="StyleUnderline"/>
          <w:rFonts w:ascii="Times New Roman" w:hAnsi="Times New Roman" w:cs="Times New Roman"/>
        </w:rPr>
        <w:t xml:space="preserve"> critically </w:t>
      </w:r>
      <w:r w:rsidRPr="004E2590">
        <w:rPr>
          <w:rStyle w:val="StyleUnderline"/>
          <w:rFonts w:ascii="Times New Roman" w:hAnsi="Times New Roman" w:cs="Times New Roman"/>
          <w:highlight w:val="yellow"/>
        </w:rPr>
        <w:t>implicated in the maintenance of hegemony.</w:t>
      </w:r>
      <w:r w:rsidRPr="002C1012">
        <w:rPr>
          <w:rStyle w:val="StyleUnderline"/>
          <w:rFonts w:ascii="Times New Roman" w:hAnsi="Times New Roman" w:cs="Times New Roman"/>
        </w:rPr>
        <w:t xml:space="preserve"> </w:t>
      </w:r>
      <w:r w:rsidRPr="004E2590">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0B8656FB" w14:textId="77777777" w:rsidR="008A7C8B" w:rsidRDefault="008A7C8B" w:rsidP="008A7C8B">
      <w:pPr>
        <w:pStyle w:val="NoSpacing"/>
        <w:ind w:right="-720"/>
        <w:rPr>
          <w:rFonts w:ascii="Times New Roman" w:hAnsi="Times New Roman" w:cs="Times New Roman"/>
          <w:sz w:val="16"/>
          <w:szCs w:val="16"/>
        </w:rPr>
      </w:pPr>
    </w:p>
    <w:p w14:paraId="3BC398ED" w14:textId="77777777" w:rsidR="008A7C8B" w:rsidRPr="004E2590" w:rsidRDefault="008A7C8B" w:rsidP="008A7C8B">
      <w:pPr>
        <w:spacing w:line="480" w:lineRule="auto"/>
        <w:ind w:right="-720"/>
        <w:rPr>
          <w:rStyle w:val="StyleUnderline"/>
          <w:b w:val="0"/>
          <w:bCs/>
          <w:u w:val="none"/>
        </w:rPr>
      </w:pPr>
      <w:r>
        <w:rPr>
          <w:rStyle w:val="StyleUnderline"/>
          <w:b w:val="0"/>
          <w:bCs/>
          <w:u w:val="none"/>
        </w:rPr>
        <w:t xml:space="preserve">Thus, </w:t>
      </w:r>
      <w:r w:rsidRPr="004E2590">
        <w:rPr>
          <w:rStyle w:val="StyleUnderline"/>
          <w:b w:val="0"/>
          <w:bCs/>
          <w:u w:val="none"/>
        </w:rPr>
        <w:t>the</w:t>
      </w:r>
      <w:r>
        <w:rPr>
          <w:rStyle w:val="StyleUnderline"/>
          <w:u w:val="none"/>
        </w:rPr>
        <w:t xml:space="preserve"> </w:t>
      </w:r>
      <w:r w:rsidRPr="004E2590">
        <w:rPr>
          <w:rStyle w:val="StyleUnderline"/>
          <w:u w:val="none"/>
        </w:rPr>
        <w:t>Role of the Judge</w:t>
      </w:r>
      <w:r>
        <w:rPr>
          <w:rStyle w:val="StyleUnderline"/>
          <w:u w:val="none"/>
        </w:rPr>
        <w:t xml:space="preserve"> </w:t>
      </w:r>
      <w:r w:rsidRPr="004E2590">
        <w:rPr>
          <w:rStyle w:val="StyleUnderline"/>
          <w:b w:val="0"/>
          <w:bCs/>
          <w:u w:val="none"/>
        </w:rPr>
        <w:t>is to</w:t>
      </w:r>
      <w:r>
        <w:rPr>
          <w:rStyle w:val="StyleUnderline"/>
          <w:u w:val="none"/>
        </w:rPr>
        <w:t xml:space="preserve"> Promote Real World Orientations in the Debate Space, </w:t>
      </w:r>
      <w:r>
        <w:rPr>
          <w:rStyle w:val="StyleUnderline"/>
          <w:b w:val="0"/>
          <w:bCs/>
          <w:u w:val="none"/>
        </w:rPr>
        <w:t>which means we consider high-probability impacts to actual people over low-probability scenarios, regardless of magnitude.</w:t>
      </w:r>
    </w:p>
    <w:p w14:paraId="59CE8959" w14:textId="77777777" w:rsidR="008A7C8B" w:rsidRDefault="008A7C8B" w:rsidP="008A7C8B">
      <w:pPr>
        <w:pStyle w:val="NoSpacing"/>
        <w:ind w:right="-720"/>
        <w:rPr>
          <w:rFonts w:ascii="Times New Roman" w:hAnsi="Times New Roman" w:cs="Times New Roman"/>
          <w:sz w:val="16"/>
          <w:szCs w:val="16"/>
        </w:rPr>
      </w:pPr>
    </w:p>
    <w:p w14:paraId="6377FF96" w14:textId="77777777" w:rsidR="008A7C8B" w:rsidRPr="00734CA9" w:rsidRDefault="008A7C8B" w:rsidP="008A7C8B">
      <w:pPr>
        <w:pStyle w:val="Heading4"/>
        <w:spacing w:line="480" w:lineRule="auto"/>
        <w:ind w:right="-720"/>
        <w:rPr>
          <w:rFonts w:cs="Times New Roman"/>
          <w:b w:val="0"/>
          <w:bCs w:val="0"/>
        </w:rPr>
      </w:pPr>
      <w:r w:rsidRPr="002C1012">
        <w:rPr>
          <w:rFonts w:cs="Times New Roman"/>
        </w:rPr>
        <w:t>[Bledsoe &amp; Wright</w:t>
      </w:r>
      <w:r>
        <w:rPr>
          <w:rFonts w:cs="Times New Roman"/>
        </w:rPr>
        <w:t xml:space="preserve"> &amp; ROB</w:t>
      </w:r>
      <w:r w:rsidRPr="002C1012">
        <w:rPr>
          <w:rFonts w:cs="Times New Roman"/>
        </w:rPr>
        <w:t xml:space="preserve">] </w:t>
      </w:r>
      <w:r>
        <w:rPr>
          <w:rFonts w:cs="Times New Roman"/>
        </w:rPr>
        <w:t xml:space="preserve">And </w:t>
      </w:r>
      <w:r>
        <w:rPr>
          <w:rFonts w:cs="Times New Roman"/>
          <w:b w:val="0"/>
          <w:bCs w:val="0"/>
        </w:rPr>
        <w:t>racial capitalism is a root cause of structural violence in the squo.</w:t>
      </w:r>
    </w:p>
    <w:p w14:paraId="0D94F8AF" w14:textId="77777777" w:rsidR="008A7C8B" w:rsidRPr="002C1012" w:rsidRDefault="008A7C8B" w:rsidP="008A7C8B">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2715073A" w14:textId="77777777" w:rsidR="008A7C8B" w:rsidRPr="002C1012" w:rsidRDefault="008A7C8B" w:rsidP="008A7C8B">
      <w:pPr>
        <w:ind w:right="-720"/>
        <w:rPr>
          <w:b/>
          <w:bCs/>
          <w:sz w:val="16"/>
        </w:rPr>
      </w:pPr>
      <w:r w:rsidRPr="002C1012">
        <w:rPr>
          <w:b/>
          <w:bCs/>
          <w:sz w:val="16"/>
        </w:rPr>
        <w:t xml:space="preserve"> </w:t>
      </w:r>
    </w:p>
    <w:p w14:paraId="6CC2F1A4" w14:textId="77777777" w:rsidR="008A7C8B" w:rsidRPr="002C1012" w:rsidRDefault="008A7C8B" w:rsidP="008A7C8B">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0DBD1BEA" w14:textId="77777777" w:rsidR="008A7C8B" w:rsidRPr="002C1012" w:rsidRDefault="008A7C8B" w:rsidP="008A7C8B">
      <w:pPr>
        <w:ind w:right="-720"/>
        <w:rPr>
          <w:rStyle w:val="StyleUnderline"/>
        </w:rPr>
      </w:pPr>
    </w:p>
    <w:p w14:paraId="2AE492E3" w14:textId="77777777" w:rsidR="008A7C8B" w:rsidRPr="002C1012" w:rsidRDefault="008A7C8B" w:rsidP="008A7C8B">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1DE3CEC1" w14:textId="77777777" w:rsidR="008A7C8B" w:rsidRPr="002C1012" w:rsidRDefault="008A7C8B" w:rsidP="008A7C8B">
      <w:pPr>
        <w:ind w:right="-720"/>
        <w:rPr>
          <w:b/>
        </w:rPr>
      </w:pPr>
    </w:p>
    <w:p w14:paraId="477F961C" w14:textId="77777777" w:rsidR="008A7C8B" w:rsidRPr="002C1012" w:rsidRDefault="008A7C8B" w:rsidP="008A7C8B">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04AE7B67" w14:textId="77777777" w:rsidR="008A7C8B" w:rsidRDefault="008A7C8B" w:rsidP="008A7C8B">
      <w:pPr>
        <w:ind w:right="-720"/>
      </w:pPr>
    </w:p>
    <w:p w14:paraId="34C0DFFB" w14:textId="77777777" w:rsidR="008A7C8B" w:rsidRPr="00734CA9" w:rsidRDefault="008A7C8B" w:rsidP="008A7C8B">
      <w:pPr>
        <w:spacing w:line="480" w:lineRule="auto"/>
        <w:ind w:right="-720"/>
        <w:rPr>
          <w:color w:val="0000FB"/>
        </w:rPr>
      </w:pPr>
      <w:r>
        <w:rPr>
          <w:b/>
          <w:bCs/>
        </w:rPr>
        <w:t xml:space="preserve">Thus, </w:t>
      </w:r>
      <w:r>
        <w:t xml:space="preserve">the </w:t>
      </w:r>
      <w:r>
        <w:rPr>
          <w:b/>
          <w:bCs/>
        </w:rPr>
        <w:t>Role of the Ballot</w:t>
      </w:r>
      <w:r>
        <w:t xml:space="preserve"> is to </w:t>
      </w:r>
      <w:r>
        <w:rPr>
          <w:b/>
          <w:bCs/>
        </w:rPr>
        <w:t>Resist Racial Capitalism</w:t>
      </w:r>
      <w:r>
        <w:t xml:space="preserve">, which </w:t>
      </w:r>
      <w:r w:rsidRPr="002C1012">
        <w:t xml:space="preserve">requires endorsing a method for </w:t>
      </w:r>
      <w:r>
        <w:t>rejecting</w:t>
      </w:r>
      <w:r w:rsidRPr="002C1012">
        <w:t xml:space="preserve"> anti-Black</w:t>
      </w:r>
      <w:r>
        <w:t xml:space="preserve"> economic structures</w:t>
      </w:r>
      <w:r w:rsidRPr="002C1012">
        <w:t xml:space="preserve"> in our approaches to the topic –</w:t>
      </w:r>
      <w:r>
        <w:t xml:space="preserve"> comes first, since this controls the link to other impacts</w:t>
      </w:r>
      <w:r w:rsidRPr="002C1012">
        <w:t>.</w:t>
      </w:r>
    </w:p>
    <w:p w14:paraId="665D778C" w14:textId="77777777" w:rsidR="008A7C8B" w:rsidRDefault="008A7C8B" w:rsidP="008A7C8B">
      <w:pPr>
        <w:pStyle w:val="Heading2"/>
        <w:ind w:right="-720"/>
        <w:rPr>
          <w:color w:val="000000" w:themeColor="text1"/>
          <w:u w:val="single"/>
        </w:rPr>
      </w:pPr>
      <w:r w:rsidRPr="00CA29BD">
        <w:rPr>
          <w:color w:val="000000" w:themeColor="text1"/>
          <w:u w:val="single"/>
        </w:rPr>
        <w:t xml:space="preserve">Part 2: </w:t>
      </w:r>
      <w:r>
        <w:rPr>
          <w:color w:val="000000" w:themeColor="text1"/>
          <w:u w:val="single"/>
        </w:rPr>
        <w:t>Cashing In</w:t>
      </w:r>
    </w:p>
    <w:p w14:paraId="2AC02E1F" w14:textId="77777777" w:rsidR="008A7C8B" w:rsidRDefault="008A7C8B" w:rsidP="008A7C8B">
      <w:pPr>
        <w:ind w:right="-720"/>
      </w:pPr>
    </w:p>
    <w:p w14:paraId="29B62332" w14:textId="77777777" w:rsidR="008A7C8B" w:rsidRPr="00A01C0D" w:rsidRDefault="008A7C8B" w:rsidP="008A7C8B">
      <w:pPr>
        <w:pStyle w:val="Heading4"/>
        <w:spacing w:line="480" w:lineRule="auto"/>
        <w:ind w:right="-720"/>
        <w:rPr>
          <w:b w:val="0"/>
          <w:bCs w:val="0"/>
        </w:rPr>
      </w:pPr>
      <w:r>
        <w:t xml:space="preserve">[Gupta et al] </w:t>
      </w:r>
      <w:r w:rsidRPr="00B13F77">
        <w:t>Shocker</w:t>
      </w:r>
      <w:r>
        <w:rPr>
          <w:b w:val="0"/>
          <w:bCs w:val="0"/>
        </w:rPr>
        <w:t xml:space="preserve"> – current WTO rules stymie competition to benefit the rich, and the EU’s Draft Declaration to waive IPP is a delay tactic to stop real change.</w:t>
      </w:r>
    </w:p>
    <w:p w14:paraId="4B70F707" w14:textId="77777777" w:rsidR="008A7C8B" w:rsidRDefault="008A7C8B" w:rsidP="008A7C8B">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Vineeta [MD, JD, LLM; maternal and child health physician; Director,  ACTION Global Health Advocacy Partnership] and Sreenath Namboodiri [LLM, LLB; assistant professor at the School of Ethics, Governance, Culture and Social Systems at Chinmaya Vishwavidyapeeth;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47C1946B" w14:textId="77777777" w:rsidR="008A7C8B" w:rsidRDefault="008A7C8B" w:rsidP="008A7C8B">
      <w:pPr>
        <w:ind w:right="-720"/>
        <w:rPr>
          <w:rStyle w:val="StyleUnderline"/>
          <w:b w:val="0"/>
          <w:bCs/>
          <w:sz w:val="16"/>
          <w:u w:val="none"/>
        </w:rPr>
      </w:pPr>
      <w:r w:rsidRPr="00A01C0D">
        <w:rPr>
          <w:rStyle w:val="StyleUnderline"/>
          <w:b w:val="0"/>
          <w:bCs/>
          <w:sz w:val="16"/>
          <w:u w:val="none"/>
        </w:rPr>
        <w:t>https://www.healthaffairs.org/do/10.1377/hblog20210712.248782/full/ CH</w:t>
      </w:r>
    </w:p>
    <w:p w14:paraId="6867B4A5" w14:textId="77777777" w:rsidR="008A7C8B" w:rsidRPr="00A01C0D" w:rsidRDefault="008A7C8B" w:rsidP="008A7C8B">
      <w:pPr>
        <w:ind w:right="-720"/>
        <w:rPr>
          <w:bCs/>
          <w:sz w:val="16"/>
        </w:rPr>
      </w:pPr>
    </w:p>
    <w:p w14:paraId="6D8A0DBB" w14:textId="77777777" w:rsidR="008A7C8B" w:rsidRPr="00D132CB" w:rsidRDefault="008A7C8B" w:rsidP="008A7C8B">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Moderna’s COVID-19 vaccine, </w:t>
      </w:r>
      <w:r w:rsidRPr="001D3BAB">
        <w:rPr>
          <w:rStyle w:val="StyleUnderline"/>
          <w:highlight w:val="yellow"/>
        </w:rPr>
        <w:t>are</w:t>
      </w:r>
      <w:r w:rsidRPr="001D3BAB">
        <w:rPr>
          <w:rStyle w:val="StyleUnderline"/>
        </w:rPr>
        <w:t xml:space="preserve"> 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Medecins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643DBF6F" w14:textId="77777777" w:rsidR="008A7C8B" w:rsidRPr="00CA29BD" w:rsidRDefault="008A7C8B" w:rsidP="008A7C8B">
      <w:pPr>
        <w:pStyle w:val="Heading4"/>
        <w:spacing w:line="480" w:lineRule="auto"/>
        <w:ind w:right="-720"/>
        <w:rPr>
          <w:color w:val="000000" w:themeColor="text1"/>
        </w:rPr>
      </w:pPr>
      <w:r w:rsidRPr="00CA29BD">
        <w:rPr>
          <w:color w:val="000000" w:themeColor="text1"/>
        </w:rPr>
        <w:t xml:space="preserve">[Vanni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2FE5F2F2" w14:textId="77777777" w:rsidR="008A7C8B" w:rsidRPr="00CA29BD" w:rsidRDefault="008A7C8B" w:rsidP="008A7C8B">
      <w:pPr>
        <w:ind w:right="-720"/>
        <w:rPr>
          <w:color w:val="000000" w:themeColor="text1"/>
          <w:sz w:val="16"/>
        </w:rPr>
      </w:pPr>
      <w:r w:rsidRPr="00CA29BD">
        <w:rPr>
          <w:b/>
          <w:bCs/>
          <w:color w:val="000000" w:themeColor="text1"/>
          <w:u w:val="single"/>
        </w:rPr>
        <w:t>Vanni 1</w:t>
      </w:r>
      <w:r w:rsidRPr="00FF3AB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23A5FDCA" w14:textId="77777777" w:rsidR="008A7C8B" w:rsidRPr="00CA29BD" w:rsidRDefault="008A7C8B" w:rsidP="008A7C8B">
      <w:pPr>
        <w:ind w:right="-720"/>
        <w:rPr>
          <w:color w:val="000000" w:themeColor="text1"/>
        </w:rPr>
      </w:pPr>
    </w:p>
    <w:p w14:paraId="3205F9FD" w14:textId="77777777" w:rsidR="008A7C8B" w:rsidRPr="00835B75" w:rsidRDefault="008A7C8B" w:rsidP="008A7C8B">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Deidré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10"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1"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2"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3" w:history="1">
        <w:r w:rsidRPr="00835B75">
          <w:rPr>
            <w:rStyle w:val="Hyperlink"/>
            <w:color w:val="000000" w:themeColor="text1"/>
            <w:sz w:val="16"/>
            <w:szCs w:val="16"/>
          </w:rPr>
          <w:t>data</w:t>
        </w:r>
      </w:hyperlink>
      <w:r w:rsidRPr="00835B75">
        <w:rPr>
          <w:color w:val="000000" w:themeColor="text1"/>
          <w:sz w:val="16"/>
          <w:szCs w:val="16"/>
        </w:rPr>
        <w:t> in this context.</w:t>
      </w:r>
    </w:p>
    <w:p w14:paraId="2A541CF4" w14:textId="77777777" w:rsidR="008A7C8B" w:rsidRPr="00CA29BD" w:rsidRDefault="008A7C8B" w:rsidP="008A7C8B">
      <w:pPr>
        <w:pStyle w:val="Heading4"/>
        <w:spacing w:line="480" w:lineRule="auto"/>
        <w:ind w:right="-720"/>
        <w:rPr>
          <w:b w:val="0"/>
          <w:bCs w:val="0"/>
          <w:color w:val="000000" w:themeColor="text1"/>
        </w:rPr>
      </w:pPr>
      <w:r w:rsidRPr="00CA29BD">
        <w:rPr>
          <w:color w:val="000000" w:themeColor="text1"/>
        </w:rPr>
        <w:t xml:space="preserve">[Vanni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77E77F66" w14:textId="77777777" w:rsidR="008A7C8B" w:rsidRPr="00CA29BD" w:rsidRDefault="008A7C8B" w:rsidP="008A7C8B">
      <w:pPr>
        <w:ind w:right="-720"/>
        <w:rPr>
          <w:color w:val="000000" w:themeColor="text1"/>
          <w:sz w:val="16"/>
        </w:rPr>
      </w:pPr>
      <w:r w:rsidRPr="00CA29BD">
        <w:rPr>
          <w:b/>
          <w:bCs/>
          <w:color w:val="000000" w:themeColor="text1"/>
          <w:u w:val="single"/>
        </w:rPr>
        <w:t>Vanni 2</w:t>
      </w:r>
      <w:r w:rsidRPr="00885DFF">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070F6631" w14:textId="77777777" w:rsidR="008A7C8B" w:rsidRPr="00CA29BD" w:rsidRDefault="008A7C8B" w:rsidP="008A7C8B">
      <w:pPr>
        <w:ind w:right="-720"/>
        <w:rPr>
          <w:color w:val="000000" w:themeColor="text1"/>
        </w:rPr>
      </w:pPr>
    </w:p>
    <w:p w14:paraId="74D01C45" w14:textId="77777777" w:rsidR="008A7C8B" w:rsidRDefault="008A7C8B" w:rsidP="008A7C8B">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6ED9854A" w14:textId="77777777" w:rsidR="008A7C8B" w:rsidRDefault="008A7C8B" w:rsidP="008A7C8B">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29DB5C66" w14:textId="77777777" w:rsidR="008A7C8B" w:rsidRPr="00D84C6B" w:rsidRDefault="008A7C8B" w:rsidP="008A7C8B">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5F7479EA" w14:textId="77777777" w:rsidR="008A7C8B" w:rsidRPr="00D84C6B" w:rsidRDefault="008A7C8B" w:rsidP="008A7C8B">
      <w:pPr>
        <w:ind w:right="-720"/>
        <w:rPr>
          <w:rStyle w:val="StyleUnderline"/>
          <w:b w:val="0"/>
          <w:bCs/>
          <w:u w:val="none"/>
        </w:rPr>
      </w:pPr>
    </w:p>
    <w:p w14:paraId="1275DD14" w14:textId="77777777" w:rsidR="008A7C8B" w:rsidRPr="00DB48FC" w:rsidRDefault="008A7C8B" w:rsidP="008A7C8B">
      <w:pPr>
        <w:spacing w:line="480" w:lineRule="auto"/>
        <w:ind w:right="-720"/>
        <w:rPr>
          <w:sz w:val="16"/>
        </w:rPr>
      </w:pPr>
      <w:r w:rsidRPr="00D84C6B">
        <w:rPr>
          <w:rStyle w:val="StyleUnderline"/>
          <w:highlight w:val="yellow"/>
        </w:rPr>
        <w:t>Racial cap</w:t>
      </w:r>
      <w:r w:rsidRPr="00D84C6B">
        <w:rPr>
          <w:rStyle w:val="StyleUnderline"/>
        </w:rPr>
        <w:t xml:space="preserve">italism </w:t>
      </w:r>
      <w:r w:rsidRPr="0099305E">
        <w:rPr>
          <w:rStyle w:val="StyleUnderline"/>
          <w:highlight w:val="yellow"/>
        </w:rPr>
        <w:t>is a</w:t>
      </w:r>
      <w:r w:rsidRPr="00D84C6B">
        <w:rPr>
          <w:rStyle w:val="StyleUnderline"/>
          <w:highlight w:val="yellow"/>
        </w:rPr>
        <w:t xml:space="preserve"> </w:t>
      </w:r>
      <w:r w:rsidRPr="0099305E">
        <w:rPr>
          <w:rStyle w:val="Emphasis"/>
          <w:highlight w:val="yellow"/>
        </w:rPr>
        <w:t>fundamental cause</w:t>
      </w:r>
      <w:r w:rsidRPr="00D84C6B">
        <w:rPr>
          <w:rStyle w:val="StyleUnderline"/>
          <w:highlight w:val="yellow"/>
        </w:rPr>
        <w:t xml:space="preserve"> of disease in the world and</w:t>
      </w:r>
      <w:r w:rsidRPr="00DB48FC">
        <w:rPr>
          <w:sz w:val="16"/>
        </w:rPr>
        <w:t xml:space="preserve"> will be </w:t>
      </w:r>
      <w:r w:rsidRPr="00D84C6B">
        <w:rPr>
          <w:rStyle w:val="Emphasis"/>
          <w:highlight w:val="yellow"/>
        </w:rPr>
        <w:t>a root cause</w:t>
      </w:r>
      <w:r w:rsidRPr="00D84C6B">
        <w:rPr>
          <w:rStyle w:val="StyleUnderline"/>
          <w:highlight w:val="yellow"/>
        </w:rPr>
        <w:t xml:space="preserve"> of</w:t>
      </w:r>
      <w:r w:rsidRPr="00D84C6B">
        <w:rPr>
          <w:rStyle w:val="StyleUnderline"/>
        </w:rPr>
        <w:t xml:space="preserve"> the </w:t>
      </w:r>
      <w:r w:rsidRPr="00D84C6B">
        <w:rPr>
          <w:rStyle w:val="StyleUnderline"/>
          <w:highlight w:val="yellow"/>
        </w:rPr>
        <w:t>racial and socioeconomic inequities in COVID-19</w:t>
      </w:r>
      <w:r w:rsidRPr="00D84C6B">
        <w:rPr>
          <w:rStyle w:val="StyleUnderline"/>
        </w:rPr>
        <w:t xml:space="preserve"> that we will be left to sort out when the dust settles</w:t>
      </w:r>
      <w:r w:rsidRPr="00D84C6B">
        <w:rPr>
          <w:rStyle w:val="StyleUnderline"/>
          <w:highlight w:val="yellow"/>
        </w:rPr>
        <w:t>.</w:t>
      </w:r>
      <w:r w:rsidRPr="00DB48FC">
        <w:rPr>
          <w:sz w:val="16"/>
        </w:rPr>
        <w:t xml:space="preserve"> What is a fundamental cause? In Link and Phelan’s widely cited (1995) theoretical article, they argued that </w:t>
      </w:r>
      <w:r w:rsidRPr="00D84C6B">
        <w:rPr>
          <w:rStyle w:val="StyleUnderline"/>
          <w:highlight w:val="yellow"/>
        </w:rPr>
        <w:t>a social condition is a basic</w:t>
      </w:r>
      <w:r w:rsidRPr="00D84C6B">
        <w:rPr>
          <w:rStyle w:val="StyleUnderline"/>
        </w:rPr>
        <w:t xml:space="preserve">, fundamental </w:t>
      </w:r>
      <w:r w:rsidRPr="00D84C6B">
        <w:rPr>
          <w:rStyle w:val="StyleUnderline"/>
          <w:highlight w:val="yellow"/>
        </w:rPr>
        <w:t>cause of disease disparities if it</w:t>
      </w:r>
      <w:r w:rsidRPr="00D84C6B">
        <w:rPr>
          <w:rStyle w:val="StyleUnderline"/>
        </w:rPr>
        <w:t xml:space="preserve"> (a) </w:t>
      </w:r>
      <w:r w:rsidRPr="00D84C6B">
        <w:rPr>
          <w:rStyle w:val="StyleUnderline"/>
          <w:highlight w:val="yellow"/>
        </w:rPr>
        <w:t>influences multiple disease outcomes,</w:t>
      </w:r>
      <w:r w:rsidRPr="00D84C6B">
        <w:rPr>
          <w:rStyle w:val="StyleUnderline"/>
        </w:rPr>
        <w:t xml:space="preserve"> (b) affects disease outcomes through multiple risk factors, (c) </w:t>
      </w:r>
      <w:r w:rsidRPr="00D84C6B">
        <w:rPr>
          <w:rStyle w:val="StyleUnderline"/>
          <w:highlight w:val="yellow"/>
        </w:rPr>
        <w:t>involves access to</w:t>
      </w:r>
      <w:r w:rsidRPr="00D84C6B">
        <w:rPr>
          <w:rStyle w:val="StyleUnderline"/>
        </w:rPr>
        <w:t xml:space="preserve"> flexible </w:t>
      </w:r>
      <w:r w:rsidRPr="00D84C6B">
        <w:rPr>
          <w:rStyle w:val="StyleUnderline"/>
          <w:highlight w:val="yellow"/>
        </w:rPr>
        <w:t>resources that can</w:t>
      </w:r>
      <w:r w:rsidRPr="00D84C6B">
        <w:rPr>
          <w:rStyle w:val="StyleUnderline"/>
        </w:rPr>
        <w:t xml:space="preserve"> be used to </w:t>
      </w:r>
      <w:r w:rsidRPr="00D84C6B">
        <w:rPr>
          <w:rStyle w:val="StyleUnderline"/>
          <w:highlight w:val="yellow"/>
        </w:rPr>
        <w:t>minimize</w:t>
      </w:r>
      <w:r w:rsidRPr="00D84C6B">
        <w:rPr>
          <w:rStyle w:val="StyleUnderline"/>
        </w:rPr>
        <w:t xml:space="preserve"> both </w:t>
      </w:r>
      <w:r w:rsidRPr="00D84C6B">
        <w:rPr>
          <w:rStyle w:val="StyleUnderline"/>
          <w:highlight w:val="yellow"/>
        </w:rPr>
        <w:t>risks and</w:t>
      </w:r>
      <w:r w:rsidRPr="00D84C6B">
        <w:rPr>
          <w:rStyle w:val="StyleUnderline"/>
        </w:rPr>
        <w:t xml:space="preserve"> the </w:t>
      </w:r>
      <w:r w:rsidRPr="00D84C6B">
        <w:rPr>
          <w:rStyle w:val="StyleUnderline"/>
          <w:highlight w:val="yellow"/>
        </w:rPr>
        <w:t>consequences of disease, and</w:t>
      </w:r>
      <w:r w:rsidRPr="00D84C6B">
        <w:rPr>
          <w:rStyle w:val="StyleUnderline"/>
        </w:rPr>
        <w:t xml:space="preserve"> (d) </w:t>
      </w:r>
      <w:r w:rsidRPr="00D84C6B">
        <w:rPr>
          <w:rStyle w:val="StyleUnderline"/>
          <w:highlight w:val="yellow"/>
        </w:rPr>
        <w:t>is reproduced overtime through</w:t>
      </w:r>
      <w:r w:rsidRPr="00D84C6B">
        <w:rPr>
          <w:rStyle w:val="StyleUnderline"/>
        </w:rPr>
        <w:t xml:space="preserve"> the </w:t>
      </w:r>
      <w:r w:rsidRPr="00D84C6B">
        <w:rPr>
          <w:rStyle w:val="StyleUnderline"/>
          <w:highlight w:val="yellow"/>
        </w:rPr>
        <w:t>continual replacement of intervening mechanisms.</w:t>
      </w:r>
      <w:r w:rsidRPr="00DB48FC">
        <w:rPr>
          <w:sz w:val="16"/>
        </w:rPr>
        <w:t xml:space="preserve"> Sociological health research has since proven that both socioeconomic and racial social inequities are social conditions that fit the formula and contribute to socioeconomic and racial health inequities (i.e., Gee &amp; Ford, 2011; Lutfey &amp; Freese, 2005; Phelan &amp; Link, 2015; Phelan et al., 2010; Sewell, 2016; Williams &amp; Collins, 2001). I extend this conversation by arguing that the research is actually capturing how racial capitalism works to have a fundamental impact on health inequities, as Black radical thought traditions suggested as much decades ago. </w:t>
      </w:r>
      <w:r w:rsidRPr="00D84C6B">
        <w:rPr>
          <w:rStyle w:val="StyleUnderline"/>
        </w:rPr>
        <w:t>As introduced by Robinson (1983), racial capitalism is the idea that racialized exploitation and capital accumulation are mutually constitutive. Racial capitalism created the modern world system, through slavery, colonialism, and genocide because “the development, organization, and expansion of capitalist society pursued essentially racial directions, so too did social ideology” (Robinson, 1983, p. 2).</w:t>
      </w:r>
      <w:r w:rsidRPr="00DB48FC">
        <w:rPr>
          <w:sz w:val="16"/>
        </w:rPr>
        <w:t xml:space="preserve"> Racially minoritized and economically deprived groups face capitalist and racist systems that continue to devalue and harm their lives, even within newer, supposedly deracialized neoliberal agendas (Clarno, 2017; Johnson, 2017). We have ample evidence of racial capitalism as a cause of health inequities in the United States though, collectively, scholarship has not always connected all the pieces. For instance, Pulido (2016) argues that racial capitalism is at the very core of the Flint, Michigan lead water crisis: The people of Flint are so devalued that their lives are subordinated to the goals of municipal fiscal solvency . . . this devaluation is based on both their blackness and their surplus status, with the two being mutually constituted. (p. 1)</w:t>
      </w:r>
    </w:p>
    <w:p w14:paraId="4EAEFE4A" w14:textId="77777777" w:rsidR="008A7C8B" w:rsidRDefault="008A7C8B" w:rsidP="008A7C8B">
      <w:pPr>
        <w:ind w:right="-720"/>
      </w:pPr>
    </w:p>
    <w:p w14:paraId="2A5E354D" w14:textId="77777777" w:rsidR="008A7C8B" w:rsidRPr="00D84C6B" w:rsidRDefault="008A7C8B" w:rsidP="008A7C8B">
      <w:pPr>
        <w:ind w:right="-720"/>
        <w:rPr>
          <w:rStyle w:val="StyleUnderline"/>
          <w:b w:val="0"/>
          <w:bCs/>
          <w:u w:val="none"/>
        </w:rPr>
      </w:pPr>
      <w:r>
        <w:rPr>
          <w:rStyle w:val="StyleUnderline"/>
        </w:rPr>
        <w:t>She adds</w:t>
      </w:r>
      <w:r>
        <w:rPr>
          <w:rStyle w:val="StyleUnderline"/>
          <w:u w:val="none"/>
        </w:rPr>
        <w:t>:</w:t>
      </w:r>
      <w:r>
        <w:rPr>
          <w:rStyle w:val="StyleUnderline"/>
          <w:b w:val="0"/>
          <w:bCs/>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7B2F8B55" w14:textId="77777777" w:rsidR="008A7C8B" w:rsidRDefault="008A7C8B" w:rsidP="008A7C8B">
      <w:pPr>
        <w:ind w:right="-720"/>
      </w:pPr>
    </w:p>
    <w:p w14:paraId="6A013D34" w14:textId="77777777" w:rsidR="008A7C8B" w:rsidRPr="003008DC" w:rsidRDefault="008A7C8B" w:rsidP="008A7C8B">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4C95E183" w14:textId="77777777" w:rsidR="008A7C8B" w:rsidRDefault="008A7C8B" w:rsidP="008A7C8B">
      <w:pPr>
        <w:pStyle w:val="Heading2"/>
        <w:ind w:right="-720"/>
        <w:rPr>
          <w:color w:val="000000" w:themeColor="text1"/>
          <w:u w:val="single"/>
        </w:rPr>
      </w:pPr>
      <w:r w:rsidRPr="00CA29BD">
        <w:rPr>
          <w:color w:val="000000" w:themeColor="text1"/>
          <w:u w:val="single"/>
        </w:rPr>
        <w:t>Thus, I affirm</w:t>
      </w:r>
      <w:r w:rsidRPr="00087AA8">
        <w:rPr>
          <w:color w:val="000000" w:themeColor="text1"/>
          <w:u w:val="none"/>
        </w:rPr>
        <w:t>:</w:t>
      </w:r>
      <w:r w:rsidRPr="00CA29BD">
        <w:rPr>
          <w:color w:val="000000" w:themeColor="text1"/>
          <w:u w:val="single"/>
        </w:rPr>
        <w:t xml:space="preserve"> </w:t>
      </w:r>
    </w:p>
    <w:p w14:paraId="2CF92E77" w14:textId="77777777" w:rsidR="008A7C8B" w:rsidRPr="00087AA8" w:rsidRDefault="008A7C8B" w:rsidP="008A7C8B">
      <w:pPr>
        <w:ind w:right="-720"/>
      </w:pPr>
    </w:p>
    <w:p w14:paraId="6E7856D5" w14:textId="77777777" w:rsidR="008A7C8B" w:rsidRPr="0099305E" w:rsidRDefault="008A7C8B" w:rsidP="008A7C8B">
      <w:pPr>
        <w:pStyle w:val="Heading4"/>
        <w:spacing w:line="480" w:lineRule="auto"/>
        <w:ind w:right="-720"/>
        <w:rPr>
          <w:color w:val="000000" w:themeColor="text1"/>
        </w:rPr>
      </w:pPr>
      <w:r w:rsidRPr="0099305E">
        <w:rPr>
          <w:color w:val="000000" w:themeColor="text1"/>
        </w:rPr>
        <w:t>[Vanni 3] The member nations of the World Trade Organization ought to reduce intellectual property protections for medicines.</w:t>
      </w:r>
    </w:p>
    <w:p w14:paraId="19A80DC9" w14:textId="77777777" w:rsidR="008A7C8B" w:rsidRPr="00CA29BD" w:rsidRDefault="008A7C8B" w:rsidP="008A7C8B">
      <w:pPr>
        <w:ind w:right="-720"/>
        <w:rPr>
          <w:color w:val="000000" w:themeColor="text1"/>
          <w:sz w:val="16"/>
        </w:rPr>
      </w:pPr>
      <w:r w:rsidRPr="00CA29BD">
        <w:rPr>
          <w:b/>
          <w:bCs/>
          <w:color w:val="000000" w:themeColor="text1"/>
          <w:u w:val="single"/>
        </w:rPr>
        <w:t xml:space="preserve">Vanni </w:t>
      </w:r>
      <w:r>
        <w:rPr>
          <w:b/>
          <w:bCs/>
          <w:color w:val="000000" w:themeColor="text1"/>
          <w:u w:val="single"/>
        </w:rPr>
        <w:t>3</w:t>
      </w:r>
      <w:r w:rsidRPr="00DA3E31">
        <w:rPr>
          <w:b/>
          <w:bCs/>
          <w:color w:val="000000" w:themeColor="text1"/>
        </w:rPr>
        <w:t xml:space="preserve">: </w:t>
      </w:r>
      <w:r w:rsidRPr="00CA29BD">
        <w:rPr>
          <w:color w:val="000000" w:themeColor="text1"/>
          <w:sz w:val="16"/>
        </w:rPr>
        <w:t>Vanni,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5F259AC7" w14:textId="77777777" w:rsidR="008A7C8B" w:rsidRPr="00CA29BD" w:rsidRDefault="008A7C8B" w:rsidP="008A7C8B">
      <w:pPr>
        <w:ind w:right="-720"/>
        <w:rPr>
          <w:color w:val="000000" w:themeColor="text1"/>
          <w:sz w:val="16"/>
          <w:szCs w:val="16"/>
        </w:rPr>
      </w:pPr>
    </w:p>
    <w:p w14:paraId="40AFBE6D" w14:textId="77777777" w:rsidR="008A7C8B" w:rsidRPr="008800B9" w:rsidRDefault="008A7C8B" w:rsidP="008A7C8B">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normalised in the current pandemic. Moderna,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an extension in 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31293849" w14:textId="77777777" w:rsidR="008A7C8B" w:rsidRPr="00CA29BD" w:rsidRDefault="008A7C8B" w:rsidP="008A7C8B">
      <w:pPr>
        <w:ind w:right="-720"/>
        <w:rPr>
          <w:color w:val="000000" w:themeColor="text1"/>
        </w:rPr>
      </w:pPr>
    </w:p>
    <w:p w14:paraId="15611673" w14:textId="77777777" w:rsidR="008A7C8B" w:rsidRPr="00CA29BD" w:rsidRDefault="008A7C8B" w:rsidP="008A7C8B">
      <w:pPr>
        <w:pStyle w:val="Heading4"/>
        <w:shd w:val="clear" w:color="auto" w:fill="FFFFFF"/>
        <w:ind w:right="-720"/>
        <w:rPr>
          <w:color w:val="000000" w:themeColor="text1"/>
        </w:rPr>
      </w:pPr>
      <w:r w:rsidRPr="00CA29BD">
        <w:rPr>
          <w:color w:val="000000" w:themeColor="text1"/>
        </w:rPr>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48A6E9A8" w14:textId="77777777" w:rsidR="008A7C8B" w:rsidRPr="00CA29BD" w:rsidRDefault="008A7C8B" w:rsidP="008A7C8B">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465EAE7E" w14:textId="77777777" w:rsidR="008A7C8B" w:rsidRPr="00CA29BD" w:rsidRDefault="008A7C8B" w:rsidP="008A7C8B">
      <w:pPr>
        <w:ind w:right="-720"/>
        <w:rPr>
          <w:color w:val="000000" w:themeColor="text1"/>
        </w:rPr>
      </w:pPr>
    </w:p>
    <w:p w14:paraId="3958F728" w14:textId="77777777" w:rsidR="008A7C8B" w:rsidRDefault="008A7C8B" w:rsidP="008A7C8B">
      <w:pPr>
        <w:pStyle w:val="Heading2"/>
        <w:ind w:right="-720"/>
        <w:rPr>
          <w:color w:val="000000" w:themeColor="text1"/>
          <w:u w:val="single"/>
        </w:rPr>
      </w:pPr>
      <w:r w:rsidRPr="00CA29BD">
        <w:rPr>
          <w:color w:val="000000" w:themeColor="text1"/>
          <w:u w:val="single"/>
        </w:rPr>
        <w:t xml:space="preserve">Part 3: Better Access </w:t>
      </w:r>
    </w:p>
    <w:p w14:paraId="250E9C24" w14:textId="77777777" w:rsidR="008A7C8B" w:rsidRPr="00087AA8" w:rsidRDefault="008A7C8B" w:rsidP="008A7C8B">
      <w:pPr>
        <w:ind w:right="-720"/>
      </w:pPr>
    </w:p>
    <w:p w14:paraId="3C88C60E" w14:textId="77777777" w:rsidR="008A7C8B" w:rsidRPr="00CA29BD" w:rsidRDefault="008A7C8B" w:rsidP="008A7C8B">
      <w:pPr>
        <w:pStyle w:val="Heading4"/>
        <w:spacing w:line="480" w:lineRule="auto"/>
        <w:ind w:right="-720"/>
        <w:rPr>
          <w:b w:val="0"/>
          <w:bCs w:val="0"/>
          <w:color w:val="000000" w:themeColor="text1"/>
        </w:rPr>
      </w:pPr>
      <w:r w:rsidRPr="00CA29BD">
        <w:rPr>
          <w:color w:val="000000" w:themeColor="text1"/>
        </w:rPr>
        <w:t xml:space="preserve">[Dhar &amp; Gopakumar] </w:t>
      </w:r>
      <w:r w:rsidRPr="00CA29BD">
        <w:rPr>
          <w:b w:val="0"/>
          <w:bCs w:val="0"/>
          <w:color w:val="000000" w:themeColor="text1"/>
        </w:rPr>
        <w:t xml:space="preserve">The plan is modeled after India and South Africa’s waiver request. </w:t>
      </w:r>
    </w:p>
    <w:p w14:paraId="6622CAAB" w14:textId="77777777" w:rsidR="008A7C8B" w:rsidRPr="00CA29BD" w:rsidRDefault="008A7C8B" w:rsidP="008A7C8B">
      <w:pPr>
        <w:ind w:right="-720"/>
        <w:rPr>
          <w:b/>
          <w:bCs/>
          <w:color w:val="000000" w:themeColor="text1"/>
          <w:sz w:val="16"/>
        </w:rPr>
      </w:pPr>
      <w:r w:rsidRPr="00CA29BD">
        <w:rPr>
          <w:b/>
          <w:bCs/>
          <w:color w:val="000000" w:themeColor="text1"/>
          <w:u w:val="single"/>
        </w:rPr>
        <w:t>Dhar &amp; Gopakumar</w:t>
      </w:r>
      <w:r w:rsidRPr="00333FA1">
        <w:rPr>
          <w:b/>
          <w:bCs/>
          <w:color w:val="000000" w:themeColor="text1"/>
        </w:rPr>
        <w:t xml:space="preserve">: </w:t>
      </w:r>
      <w:r w:rsidRPr="00CA29BD">
        <w:rPr>
          <w:color w:val="000000" w:themeColor="text1"/>
          <w:sz w:val="16"/>
          <w:shd w:val="clear" w:color="auto" w:fill="FFFFFF"/>
        </w:rPr>
        <w:t>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Gopakumar,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5FC5FC2D" w14:textId="77777777" w:rsidR="008A7C8B" w:rsidRPr="00CA29BD" w:rsidRDefault="008A7C8B" w:rsidP="008A7C8B">
      <w:pPr>
        <w:ind w:right="-720"/>
        <w:rPr>
          <w:b/>
          <w:bCs/>
          <w:color w:val="000000" w:themeColor="text1"/>
          <w:sz w:val="16"/>
          <w:szCs w:val="16"/>
          <w:u w:val="single"/>
        </w:rPr>
      </w:pPr>
    </w:p>
    <w:p w14:paraId="4968466E" w14:textId="77777777" w:rsidR="008A7C8B" w:rsidRPr="00CA29BD" w:rsidRDefault="008A7C8B" w:rsidP="008A7C8B">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4062BC02" w14:textId="77777777" w:rsidR="008A7C8B" w:rsidRPr="00CA29BD" w:rsidRDefault="008A7C8B" w:rsidP="008A7C8B">
      <w:pPr>
        <w:ind w:right="-720"/>
        <w:rPr>
          <w:color w:val="000000" w:themeColor="text1"/>
        </w:rPr>
      </w:pPr>
    </w:p>
    <w:p w14:paraId="26D36E99" w14:textId="77777777" w:rsidR="008A7C8B" w:rsidRPr="00CA29BD" w:rsidRDefault="008A7C8B" w:rsidP="008A7C8B">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18469D34" w14:textId="77777777" w:rsidR="008A7C8B" w:rsidRPr="00CA29BD" w:rsidRDefault="008A7C8B" w:rsidP="008A7C8B">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Innovation+Design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ReAct--Action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6809A184" w14:textId="77777777" w:rsidR="008A7C8B" w:rsidRPr="00CA29BD" w:rsidRDefault="008A7C8B" w:rsidP="008A7C8B">
      <w:pPr>
        <w:ind w:right="-720"/>
        <w:rPr>
          <w:color w:val="000000" w:themeColor="text1"/>
        </w:rPr>
      </w:pPr>
    </w:p>
    <w:p w14:paraId="548625AF" w14:textId="77777777" w:rsidR="008A7C8B" w:rsidRPr="00CA29BD" w:rsidRDefault="008A7C8B" w:rsidP="008A7C8B">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r w:rsidRPr="0019710A">
        <w:rPr>
          <w:b/>
          <w:bCs/>
          <w:color w:val="000000" w:themeColor="text1"/>
          <w:highlight w:val="yellow"/>
          <w:u w:val="single"/>
        </w:rPr>
        <w:t>Moderna’s</w:t>
      </w:r>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Moderna has pledged not to enforce its patents related to the COVID-19 vaccine during the pandemic. However, making the Moderna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39609785" w14:textId="77777777" w:rsidR="008A7C8B" w:rsidRDefault="008A7C8B" w:rsidP="008A7C8B">
      <w:pPr>
        <w:ind w:right="-720"/>
        <w:rPr>
          <w:color w:val="000000" w:themeColor="text1"/>
        </w:rPr>
      </w:pPr>
    </w:p>
    <w:p w14:paraId="49A1A734" w14:textId="77777777" w:rsidR="008A7C8B" w:rsidRDefault="008A7C8B" w:rsidP="008A7C8B">
      <w:pPr>
        <w:pStyle w:val="Heading4"/>
        <w:spacing w:line="480" w:lineRule="auto"/>
        <w:ind w:right="-720"/>
      </w:pPr>
      <w:r>
        <w:t xml:space="preserve">[Feldman et al] And, </w:t>
      </w:r>
      <w:r w:rsidRPr="00901B64">
        <w:rPr>
          <w:b w:val="0"/>
          <w:bCs w:val="0"/>
        </w:rPr>
        <w:t xml:space="preserve">squo innovation doesn’t help </w:t>
      </w:r>
      <w:r>
        <w:rPr>
          <w:b w:val="0"/>
          <w:bCs w:val="0"/>
        </w:rPr>
        <w:t>because</w:t>
      </w:r>
      <w:r w:rsidRPr="00901B64">
        <w:rPr>
          <w:b w:val="0"/>
          <w:bCs w:val="0"/>
        </w:rPr>
        <w:t xml:space="preserve"> monopolies remove incentives for improvements.</w:t>
      </w:r>
    </w:p>
    <w:p w14:paraId="59984038" w14:textId="77777777" w:rsidR="008A7C8B" w:rsidRDefault="008A7C8B" w:rsidP="008A7C8B">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Ratain,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2021, </w:t>
      </w:r>
      <w:r>
        <w:rPr>
          <w:sz w:val="16"/>
        </w:rPr>
        <w:t xml:space="preserve"> </w:t>
      </w:r>
      <w:r w:rsidRPr="00901B64">
        <w:rPr>
          <w:sz w:val="16"/>
        </w:rPr>
        <w:t>AA</w:t>
      </w:r>
    </w:p>
    <w:p w14:paraId="40E48560" w14:textId="77777777" w:rsidR="008A7C8B" w:rsidRPr="00901B64" w:rsidRDefault="008A7C8B" w:rsidP="008A7C8B">
      <w:pPr>
        <w:ind w:right="-720"/>
      </w:pPr>
    </w:p>
    <w:p w14:paraId="19DD9655" w14:textId="77777777" w:rsidR="008A7C8B" w:rsidRDefault="008A7C8B" w:rsidP="008A7C8B">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64DD0847" w14:textId="77777777" w:rsidR="008A7C8B" w:rsidRDefault="008A7C8B" w:rsidP="008A7C8B">
      <w:pPr>
        <w:ind w:right="-720"/>
        <w:rPr>
          <w:color w:val="000000" w:themeColor="text1"/>
        </w:rPr>
      </w:pPr>
    </w:p>
    <w:p w14:paraId="0E937DFD" w14:textId="77777777" w:rsidR="008A7C8B" w:rsidRPr="00D81636" w:rsidRDefault="008A7C8B" w:rsidP="008A7C8B">
      <w:pPr>
        <w:pStyle w:val="Heading4"/>
        <w:spacing w:line="480" w:lineRule="auto"/>
        <w:ind w:right="-720"/>
        <w:rPr>
          <w:b w:val="0"/>
          <w:bCs w:val="0"/>
        </w:rPr>
      </w:pPr>
      <w:r>
        <w:t xml:space="preserve">[Vanni 4] Further, </w:t>
      </w:r>
      <w:r>
        <w:rPr>
          <w:b w:val="0"/>
          <w:bCs w:val="0"/>
        </w:rPr>
        <w:t xml:space="preserve">collaborating without barriers is the only way to address health disparities. </w:t>
      </w:r>
    </w:p>
    <w:p w14:paraId="4B54FF7E" w14:textId="77777777" w:rsidR="008A7C8B" w:rsidRPr="004C0F05" w:rsidRDefault="008A7C8B" w:rsidP="008A7C8B">
      <w:pPr>
        <w:ind w:right="-720"/>
        <w:rPr>
          <w:b/>
          <w:bCs/>
          <w:u w:val="single"/>
        </w:rPr>
      </w:pPr>
      <w:r w:rsidRPr="004C0F05">
        <w:rPr>
          <w:b/>
          <w:bCs/>
          <w:u w:val="single"/>
        </w:rPr>
        <w:t>Vanni</w:t>
      </w:r>
      <w:r>
        <w:rPr>
          <w:b/>
          <w:bCs/>
          <w:u w:val="single"/>
        </w:rPr>
        <w:t xml:space="preserve"> 4</w:t>
      </w:r>
      <w:r w:rsidRPr="001B2B17">
        <w:rPr>
          <w:b/>
          <w:bCs/>
        </w:rPr>
        <w:t>:</w:t>
      </w:r>
      <w:r w:rsidRPr="006E3FE2">
        <w:rPr>
          <w:sz w:val="16"/>
        </w:rPr>
        <w:t xml:space="preserve"> Vanni, Amaka. [Dr. Vanni obtained her PhD and LLM degrees in International Economic Law from the University of Warwick. She is the current President of the African International Economic Law Network (AfIELN).] “On Intellectual Property Rights, Access to Medicines and Vaccine Imperialism”, </w:t>
      </w:r>
      <w:r w:rsidRPr="006E3FE2">
        <w:rPr>
          <w:i/>
          <w:iCs/>
          <w:sz w:val="16"/>
        </w:rPr>
        <w:t>Third World Approaches to International Law Review</w:t>
      </w:r>
      <w:r w:rsidRPr="006E3FE2">
        <w:rPr>
          <w:sz w:val="16"/>
        </w:rPr>
        <w:t>, March 23, 2021. EM</w:t>
      </w:r>
    </w:p>
    <w:p w14:paraId="16DA618A" w14:textId="77777777" w:rsidR="008A7C8B" w:rsidRPr="004C0F05" w:rsidRDefault="008A7C8B" w:rsidP="008A7C8B">
      <w:pPr>
        <w:ind w:right="-720"/>
        <w:rPr>
          <w:b/>
          <w:bCs/>
          <w:u w:val="single"/>
        </w:rPr>
      </w:pPr>
    </w:p>
    <w:p w14:paraId="52DC99AA" w14:textId="77777777" w:rsidR="008A7C8B" w:rsidRDefault="008A7C8B" w:rsidP="008A7C8B">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r w:rsidRPr="0019710A">
        <w:rPr>
          <w:b/>
          <w:bCs/>
          <w:highlight w:val="yellow"/>
          <w:u w:val="single"/>
        </w:rPr>
        <w:t>K</w:t>
      </w:r>
      <w:r w:rsidRPr="004C0F05">
        <w:rPr>
          <w:b/>
          <w:bCs/>
          <w:u w:val="single"/>
        </w:rPr>
        <w:t>ing</w:t>
      </w:r>
      <w:r>
        <w:rPr>
          <w:b/>
          <w:bCs/>
          <w:u w:val="single"/>
        </w:rPr>
        <w:t>c</w:t>
      </w:r>
      <w:r w:rsidRPr="004C0F05">
        <w:rPr>
          <w:b/>
          <w:bCs/>
          <w:u w:val="single"/>
        </w:rPr>
        <w:t xml:space="preserve">dom,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civilisation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Onur Ince observes, the conceptual locus of political violence operative in the global genealogy of capitalism.</w:t>
      </w:r>
    </w:p>
    <w:p w14:paraId="73FFE0E0" w14:textId="77777777" w:rsidR="008A7C8B" w:rsidRDefault="008A7C8B" w:rsidP="008A7C8B">
      <w:pPr>
        <w:ind w:right="-720"/>
        <w:rPr>
          <w:color w:val="000000" w:themeColor="text1"/>
        </w:rPr>
      </w:pPr>
    </w:p>
    <w:p w14:paraId="3A62F493" w14:textId="77777777" w:rsidR="008A7C8B" w:rsidRPr="001B3AFB" w:rsidRDefault="008A7C8B" w:rsidP="008A7C8B">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aff spills over to create momentum to reform it. </w:t>
      </w:r>
    </w:p>
    <w:p w14:paraId="014D8758" w14:textId="77777777" w:rsidR="008A7C8B" w:rsidRPr="008E3884" w:rsidRDefault="008A7C8B" w:rsidP="008A7C8B">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164DE994" w14:textId="77777777" w:rsidR="008A7C8B" w:rsidRPr="00FE51A3" w:rsidRDefault="008A7C8B" w:rsidP="008A7C8B">
      <w:pPr>
        <w:ind w:right="-720"/>
        <w:rPr>
          <w:rFonts w:asciiTheme="majorHAnsi" w:hAnsiTheme="majorHAnsi" w:cstheme="majorHAnsi"/>
        </w:rPr>
      </w:pPr>
    </w:p>
    <w:p w14:paraId="4606857E" w14:textId="77777777" w:rsidR="008A7C8B" w:rsidRPr="008E3884" w:rsidRDefault="008A7C8B" w:rsidP="008A7C8B">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Okonjo-Iweala,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to boost production and end the pandemic sooner rather than later. According to 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Xolelwa Mlumbi-Peter,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Okonjo-Iweala's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033C16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7C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C8B"/>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71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EE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F0F88"/>
  <w14:defaultImageDpi w14:val="300"/>
  <w15:docId w15:val="{C7325DCE-FAC4-054C-8F3A-834BF902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EE2"/>
    <w:rPr>
      <w:rFonts w:ascii="Times New Roman" w:hAnsi="Times New Roman" w:cs="Times New Roman"/>
    </w:rPr>
  </w:style>
  <w:style w:type="paragraph" w:styleId="Heading1">
    <w:name w:val="heading 1"/>
    <w:aliases w:val="Pocket"/>
    <w:basedOn w:val="Normal"/>
    <w:next w:val="Normal"/>
    <w:link w:val="Heading1Char"/>
    <w:uiPriority w:val="9"/>
    <w:qFormat/>
    <w:rsid w:val="00D95E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D95EE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95EE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D95EE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95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EE2"/>
  </w:style>
  <w:style w:type="character" w:customStyle="1" w:styleId="Heading1Char">
    <w:name w:val="Heading 1 Char"/>
    <w:aliases w:val="Pocket Char"/>
    <w:basedOn w:val="DefaultParagraphFont"/>
    <w:link w:val="Heading1"/>
    <w:uiPriority w:val="9"/>
    <w:rsid w:val="00D95EE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D95EE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95EE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95EE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95EE2"/>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D95EE2"/>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D95EE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95EE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D95EE2"/>
    <w:rPr>
      <w:color w:val="auto"/>
      <w:u w:val="none"/>
    </w:rPr>
  </w:style>
  <w:style w:type="paragraph" w:styleId="DocumentMap">
    <w:name w:val="Document Map"/>
    <w:basedOn w:val="Normal"/>
    <w:link w:val="DocumentMapChar"/>
    <w:uiPriority w:val="99"/>
    <w:semiHidden/>
    <w:unhideWhenUsed/>
    <w:rsid w:val="00D95EE2"/>
    <w:rPr>
      <w:rFonts w:ascii="Lucida Grande" w:hAnsi="Lucida Grande" w:cs="Lucida Grande"/>
    </w:rPr>
  </w:style>
  <w:style w:type="character" w:customStyle="1" w:styleId="DocumentMapChar">
    <w:name w:val="Document Map Char"/>
    <w:basedOn w:val="DefaultParagraphFont"/>
    <w:link w:val="DocumentMap"/>
    <w:uiPriority w:val="99"/>
    <w:semiHidden/>
    <w:rsid w:val="00D95EE2"/>
    <w:rPr>
      <w:rFonts w:ascii="Lucida Grande" w:hAnsi="Lucida Grande" w:cs="Lucida Grande"/>
    </w:rPr>
  </w:style>
  <w:style w:type="paragraph" w:customStyle="1" w:styleId="textbold">
    <w:name w:val="text bold"/>
    <w:basedOn w:val="Normal"/>
    <w:link w:val="Emphasis"/>
    <w:uiPriority w:val="20"/>
    <w:qFormat/>
    <w:rsid w:val="008A7C8B"/>
    <w:pPr>
      <w:ind w:left="720"/>
    </w:pPr>
    <w:rPr>
      <w:b/>
      <w:iCs/>
      <w:u w:val="single"/>
      <w:bdr w:val="single" w:sz="18" w:space="0" w:color="auto"/>
    </w:rPr>
  </w:style>
  <w:style w:type="paragraph" w:styleId="NoSpacing">
    <w:name w:val="No Spacing"/>
    <w:aliases w:val="Tag and Cite,DDI Tag,Tag Title,nonunderlined,No Spacing51,No Spacing8,No Spacing22,Dont u,No Spacing1111111,Card Format,Small Text,No Spacin,Dont use"/>
    <w:link w:val="NoSpacingChar"/>
    <w:uiPriority w:val="1"/>
    <w:qFormat/>
    <w:rsid w:val="008A7C8B"/>
  </w:style>
  <w:style w:type="character" w:customStyle="1" w:styleId="TitleChar">
    <w:name w:val="Title Char"/>
    <w:aliases w:val="Cites and Cards Char,UNDERLINE Char,Bold Underlined Char,title Char"/>
    <w:basedOn w:val="DefaultParagraphFont"/>
    <w:link w:val="Title"/>
    <w:uiPriority w:val="6"/>
    <w:qFormat/>
    <w:rsid w:val="008A7C8B"/>
    <w:rPr>
      <w:u w:val="single"/>
    </w:rPr>
  </w:style>
  <w:style w:type="paragraph" w:styleId="Title">
    <w:name w:val="Title"/>
    <w:aliases w:val="Cites and Cards,UNDERLINE,Bold Underlined,title"/>
    <w:basedOn w:val="Normal"/>
    <w:next w:val="Normal"/>
    <w:link w:val="TitleChar"/>
    <w:uiPriority w:val="6"/>
    <w:qFormat/>
    <w:rsid w:val="008A7C8B"/>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8A7C8B"/>
    <w:rPr>
      <w:rFonts w:asciiTheme="majorHAnsi" w:eastAsiaTheme="majorEastAsia" w:hAnsiTheme="majorHAnsi" w:cstheme="majorBidi"/>
      <w:spacing w:val="-10"/>
      <w:kern w:val="28"/>
      <w:sz w:val="56"/>
      <w:szCs w:val="56"/>
    </w:rPr>
  </w:style>
  <w:style w:type="character" w:customStyle="1" w:styleId="NoSpacingChar">
    <w:name w:val="No Spacing Char"/>
    <w:aliases w:val="Tag and Cite Char,DDI Tag Char,Tag Title Char,nonunderlined Char,No Spacing51 Char,No Spacing8 Char,No Spacing22 Char,Dont u Char,No Spacing1111111 Char,Card Format Char,Small Text Char,No Spacin Char,Dont use Char"/>
    <w:basedOn w:val="DefaultParagraphFont"/>
    <w:link w:val="NoSpacing"/>
    <w:uiPriority w:val="1"/>
    <w:qFormat/>
    <w:rsid w:val="008A7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digital-colonialism-and-the-world-trade-organiz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8/01/06/business/humira-drug-price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ak.org/wp-content/uploads/2018/08/I-MAK-Overpatented-Overpriced-Report.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jamanetwork.com/journals/jama/article-abstract/2674671"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8059</Words>
  <Characters>45942</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2</cp:revision>
  <dcterms:created xsi:type="dcterms:W3CDTF">2021-09-18T21:24:00Z</dcterms:created>
  <dcterms:modified xsi:type="dcterms:W3CDTF">2021-09-18T21:24:00Z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