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C5E92" w14:textId="77777777" w:rsidR="00571A3D" w:rsidRDefault="00571A3D" w:rsidP="00571A3D">
      <w:pPr>
        <w:pStyle w:val="Heading2"/>
        <w:ind w:right="-720"/>
        <w:rPr>
          <w:u w:val="single"/>
        </w:rPr>
      </w:pPr>
      <w:r>
        <w:rPr>
          <w:u w:val="single"/>
        </w:rPr>
        <w:t>A. Link</w:t>
      </w:r>
    </w:p>
    <w:p w14:paraId="4834D231" w14:textId="77777777" w:rsidR="00571A3D" w:rsidRDefault="00571A3D" w:rsidP="00571A3D">
      <w:pPr>
        <w:ind w:right="-720"/>
      </w:pPr>
    </w:p>
    <w:p w14:paraId="2D7082C2" w14:textId="77777777" w:rsidR="00571A3D" w:rsidRDefault="00571A3D" w:rsidP="00571A3D">
      <w:pPr>
        <w:pStyle w:val="Heading4"/>
        <w:spacing w:line="480" w:lineRule="auto"/>
        <w:ind w:right="-720"/>
        <w:rPr>
          <w:b w:val="0"/>
        </w:rPr>
      </w:pPr>
      <w:r>
        <w:t xml:space="preserve">[Link] </w:t>
      </w:r>
      <w:r>
        <w:rPr>
          <w:b w:val="0"/>
        </w:rPr>
        <w:t xml:space="preserve">They wouldn’t disclose anything about the aff because they said it’s new – I didn’t know anything about the advocacy, whether it was whole res, etc. Screenshot in the doc.   </w:t>
      </w:r>
    </w:p>
    <w:p w14:paraId="505527F7" w14:textId="77777777" w:rsidR="00571A3D" w:rsidRDefault="00571A3D" w:rsidP="00571A3D">
      <w:pPr>
        <w:ind w:right="-720"/>
      </w:pPr>
    </w:p>
    <w:p w14:paraId="6DEB0040" w14:textId="77777777" w:rsidR="00571A3D" w:rsidRPr="009A7A41" w:rsidRDefault="00571A3D" w:rsidP="00571A3D">
      <w:pPr>
        <w:ind w:right="-720"/>
        <w:rPr>
          <w:rFonts w:eastAsia="Times New Roman"/>
        </w:rPr>
      </w:pPr>
    </w:p>
    <w:p w14:paraId="6B758910" w14:textId="2FFE8DFE" w:rsidR="00571A3D" w:rsidRDefault="00571A3D" w:rsidP="00571A3D">
      <w:pPr>
        <w:ind w:right="-720"/>
        <w:jc w:val="center"/>
      </w:pPr>
    </w:p>
    <w:p w14:paraId="171827B9" w14:textId="77777777" w:rsidR="00571A3D" w:rsidRPr="009A7A41" w:rsidRDefault="00571A3D" w:rsidP="00571A3D">
      <w:pPr>
        <w:pStyle w:val="Heading2"/>
        <w:ind w:right="-720"/>
        <w:rPr>
          <w:u w:val="single"/>
        </w:rPr>
      </w:pPr>
      <w:r>
        <w:rPr>
          <w:u w:val="single"/>
        </w:rPr>
        <w:lastRenderedPageBreak/>
        <w:t>B. Impacts</w:t>
      </w:r>
    </w:p>
    <w:p w14:paraId="14B88FE5" w14:textId="77777777" w:rsidR="00571A3D" w:rsidRDefault="00571A3D" w:rsidP="00571A3D">
      <w:pPr>
        <w:ind w:right="-720"/>
      </w:pPr>
    </w:p>
    <w:p w14:paraId="0774F3B3" w14:textId="77777777" w:rsidR="00571A3D" w:rsidRPr="009A7A41" w:rsidRDefault="00571A3D" w:rsidP="00571A3D">
      <w:pPr>
        <w:pStyle w:val="Heading4"/>
        <w:spacing w:line="480" w:lineRule="auto"/>
        <w:ind w:right="-720"/>
        <w:rPr>
          <w:b w:val="0"/>
        </w:rPr>
      </w:pPr>
      <w:r>
        <w:t xml:space="preserve">1. [Rury &amp; Rife] First, OPPORTUNITY HOARDING: </w:t>
      </w:r>
      <w:r>
        <w:rPr>
          <w:b w:val="0"/>
        </w:rPr>
        <w:t>they have full access to everything I’ve read because I’ve disclosed it, but I have NO idea what they’ve read. And they can’t say it was just my choice to disclose – they’re benefiting from it, which is EXCLUSIVE CAPITALISM.</w:t>
      </w:r>
    </w:p>
    <w:p w14:paraId="2CB5D3A6" w14:textId="77777777" w:rsidR="00571A3D" w:rsidRPr="00807C76" w:rsidRDefault="00571A3D" w:rsidP="00571A3D">
      <w:pPr>
        <w:ind w:right="-720"/>
        <w:rPr>
          <w:sz w:val="16"/>
        </w:rPr>
      </w:pPr>
      <w:r>
        <w:rPr>
          <w:rStyle w:val="StyleUnderline"/>
        </w:rPr>
        <w:t>Rury &amp; Rife</w:t>
      </w:r>
      <w:r>
        <w:rPr>
          <w:rStyle w:val="StyleUnderline"/>
          <w:u w:val="none"/>
        </w:rPr>
        <w:t>:</w:t>
      </w:r>
      <w:r w:rsidRPr="00807C76">
        <w:rPr>
          <w:rStyle w:val="StyleUnderline"/>
          <w:sz w:val="16"/>
          <w:u w:val="none"/>
        </w:rPr>
        <w:t xml:space="preserve"> </w:t>
      </w:r>
      <w:r w:rsidRPr="00807C76">
        <w:rPr>
          <w:rStyle w:val="StyleUnderline"/>
          <w:b w:val="0"/>
          <w:sz w:val="16"/>
          <w:u w:val="none"/>
        </w:rPr>
        <w:t xml:space="preserve">Rury, John L. [Professor of Education and History, University of Kansas], and Aaron Tyler Rife [Assistant Professor, Wichita State University]. “Race, Schools, and Opportunity Hoarding: Evidence From a Post-War American Metropolis.” </w:t>
      </w:r>
      <w:r w:rsidRPr="00807C76">
        <w:rPr>
          <w:rStyle w:val="StyleUnderline"/>
          <w:b w:val="0"/>
          <w:i/>
          <w:sz w:val="16"/>
          <w:u w:val="none"/>
        </w:rPr>
        <w:t>History of Education</w:t>
      </w:r>
      <w:r w:rsidRPr="00807C76">
        <w:rPr>
          <w:rStyle w:val="StyleUnderline"/>
          <w:b w:val="0"/>
          <w:sz w:val="16"/>
          <w:u w:val="none"/>
        </w:rPr>
        <w:t>,</w:t>
      </w:r>
      <w:r w:rsidRPr="00807C76">
        <w:rPr>
          <w:rStyle w:val="StyleUnderline"/>
          <w:b w:val="0"/>
          <w:i/>
          <w:sz w:val="16"/>
          <w:u w:val="none"/>
        </w:rPr>
        <w:t xml:space="preserve"> Journal of the History of Education Society</w:t>
      </w:r>
      <w:r w:rsidRPr="00807C76">
        <w:rPr>
          <w:rStyle w:val="StyleUnderline"/>
          <w:b w:val="0"/>
          <w:sz w:val="16"/>
          <w:u w:val="none"/>
        </w:rPr>
        <w:t>, Vol. 47, Issue 1, 2018. CH</w:t>
      </w:r>
    </w:p>
    <w:p w14:paraId="568554EE" w14:textId="77777777" w:rsidR="00571A3D" w:rsidRPr="00807C76" w:rsidRDefault="00571A3D" w:rsidP="00571A3D">
      <w:pPr>
        <w:ind w:right="-720"/>
      </w:pPr>
    </w:p>
    <w:p w14:paraId="54180F31" w14:textId="77777777" w:rsidR="00571A3D" w:rsidRPr="00807C76" w:rsidRDefault="00571A3D" w:rsidP="00571A3D">
      <w:pPr>
        <w:spacing w:line="480" w:lineRule="auto"/>
        <w:ind w:right="-720"/>
        <w:rPr>
          <w:sz w:val="16"/>
        </w:rPr>
      </w:pPr>
      <w:r w:rsidRPr="00807C76">
        <w:rPr>
          <w:rStyle w:val="StyleUnderline"/>
          <w:highlight w:val="yellow"/>
        </w:rPr>
        <w:t>Opportunity hoarding</w:t>
      </w:r>
      <w:r w:rsidRPr="00807C76">
        <w:rPr>
          <w:rStyle w:val="StyleUnderline"/>
        </w:rPr>
        <w:t xml:space="preserve"> was originally articulated and defined by sociologist Charles Tilly. In his words, it </w:t>
      </w:r>
      <w:r w:rsidRPr="00807C76">
        <w:rPr>
          <w:rStyle w:val="StyleUnderline"/>
          <w:highlight w:val="yellow"/>
        </w:rPr>
        <w:t>represents a mechanism of social inequality that ‘operates when members of a</w:t>
      </w:r>
      <w:r w:rsidRPr="00807C76">
        <w:rPr>
          <w:rStyle w:val="StyleUnderline"/>
        </w:rPr>
        <w:t xml:space="preserve"> categorically bounded </w:t>
      </w:r>
      <w:r w:rsidRPr="00807C76">
        <w:rPr>
          <w:rStyle w:val="StyleUnderline"/>
          <w:highlight w:val="yellow"/>
        </w:rPr>
        <w:t>network acquire access to a resource that is valuable,</w:t>
      </w:r>
      <w:r w:rsidRPr="00807C76">
        <w:rPr>
          <w:rStyle w:val="StyleUnderline"/>
        </w:rPr>
        <w:t xml:space="preserve"> renewable, </w:t>
      </w:r>
      <w:r w:rsidRPr="00807C76">
        <w:rPr>
          <w:rStyle w:val="StyleUnderline"/>
          <w:highlight w:val="yellow"/>
        </w:rPr>
        <w:t>subject to monopoly,</w:t>
      </w:r>
      <w:r w:rsidRPr="00807C76">
        <w:rPr>
          <w:rStyle w:val="StyleUnderline"/>
        </w:rPr>
        <w:t xml:space="preserve"> supportive of network activities, </w:t>
      </w:r>
      <w:r w:rsidRPr="00807C76">
        <w:rPr>
          <w:rStyle w:val="StyleUnderline"/>
          <w:highlight w:val="yellow"/>
        </w:rPr>
        <w:t>and enhanced by the network’s modus operandi’.</w:t>
      </w:r>
      <w:r w:rsidRPr="00807C76">
        <w:rPr>
          <w:rStyle w:val="StyleUnderline"/>
        </w:rPr>
        <w:t>4</w:t>
      </w:r>
      <w:r w:rsidRPr="00807C76">
        <w:rPr>
          <w:sz w:val="16"/>
        </w:rPr>
        <w:t xml:space="preserve"> 4 Charles Tilly, Durable Inequality (Berkeley: University of California Press, 1998), 10. View all notes </w:t>
      </w:r>
      <w:r w:rsidRPr="00807C76">
        <w:rPr>
          <w:rStyle w:val="StyleUnderline"/>
          <w:highlight w:val="yellow"/>
        </w:rPr>
        <w:t>Such a resource could</w:t>
      </w:r>
      <w:r w:rsidRPr="00807C76">
        <w:rPr>
          <w:sz w:val="16"/>
        </w:rPr>
        <w:t xml:space="preserve"> be an occupational designation, a residential area, an educational credential, a lifestyle classification, or other categories that </w:t>
      </w:r>
      <w:r w:rsidRPr="00807C76">
        <w:rPr>
          <w:rStyle w:val="StyleUnderline"/>
          <w:highlight w:val="yellow"/>
        </w:rPr>
        <w:t>convey distinction, exclude other groups</w:t>
      </w:r>
      <w:r w:rsidRPr="00807C76">
        <w:rPr>
          <w:rStyle w:val="StyleUnderline"/>
        </w:rPr>
        <w:t xml:space="preserve"> and are subject to conditions described above</w:t>
      </w:r>
      <w:r w:rsidRPr="00807C76">
        <w:rPr>
          <w:rStyle w:val="StyleUnderline"/>
          <w:highlight w:val="yellow"/>
        </w:rPr>
        <w:t>. Consequently,</w:t>
      </w:r>
      <w:r w:rsidRPr="00807C76">
        <w:rPr>
          <w:rStyle w:val="StyleUnderline"/>
        </w:rPr>
        <w:t xml:space="preserve"> the concept of </w:t>
      </w:r>
      <w:r w:rsidRPr="00807C76">
        <w:rPr>
          <w:rStyle w:val="StyleUnderline"/>
          <w:highlight w:val="yellow"/>
        </w:rPr>
        <w:t>opportunity hoarding is applicable to a range of</w:t>
      </w:r>
      <w:r w:rsidRPr="00807C76">
        <w:rPr>
          <w:rStyle w:val="StyleUnderline"/>
        </w:rPr>
        <w:t xml:space="preserve"> social </w:t>
      </w:r>
      <w:r w:rsidRPr="00807C76">
        <w:rPr>
          <w:rStyle w:val="StyleUnderline"/>
          <w:highlight w:val="yellow"/>
        </w:rPr>
        <w:t>settings</w:t>
      </w:r>
      <w:r w:rsidRPr="00807C76">
        <w:rPr>
          <w:rStyle w:val="StyleUnderline"/>
        </w:rPr>
        <w:t xml:space="preserve"> and circumstances</w:t>
      </w:r>
      <w:r w:rsidRPr="00807C76">
        <w:rPr>
          <w:rStyle w:val="StyleUnderline"/>
          <w:highlight w:val="yellow"/>
        </w:rPr>
        <w:t>, contributing advantages to</w:t>
      </w:r>
      <w:r w:rsidRPr="00807C76">
        <w:rPr>
          <w:rStyle w:val="StyleUnderline"/>
        </w:rPr>
        <w:t xml:space="preserve"> members of both </w:t>
      </w:r>
      <w:r w:rsidRPr="00807C76">
        <w:rPr>
          <w:rStyle w:val="StyleUnderline"/>
          <w:highlight w:val="yellow"/>
        </w:rPr>
        <w:t>elites</w:t>
      </w:r>
      <w:r w:rsidRPr="00807C76">
        <w:rPr>
          <w:rStyle w:val="StyleUnderline"/>
        </w:rPr>
        <w:t xml:space="preserve"> and non-elites </w:t>
      </w:r>
      <w:r w:rsidRPr="00807C76">
        <w:rPr>
          <w:rStyle w:val="StyleUnderline"/>
          <w:highlight w:val="yellow"/>
        </w:rPr>
        <w:t>who can restrict access to resources</w:t>
      </w:r>
      <w:r w:rsidRPr="00807C76">
        <w:rPr>
          <w:rStyle w:val="StyleUnderline"/>
        </w:rPr>
        <w:t xml:space="preserve"> and opportunities </w:t>
      </w:r>
      <w:r w:rsidRPr="00807C76">
        <w:rPr>
          <w:rStyle w:val="StyleUnderline"/>
          <w:highlight w:val="yellow"/>
        </w:rPr>
        <w:t>to eligible participants.</w:t>
      </w:r>
      <w:r w:rsidRPr="00807C76">
        <w:rPr>
          <w:rStyle w:val="StyleUnderline"/>
          <w:sz w:val="16"/>
          <w:u w:val="none"/>
        </w:rPr>
        <w:t xml:space="preserve"> </w:t>
      </w:r>
      <w:r w:rsidRPr="00807C76">
        <w:rPr>
          <w:sz w:val="16"/>
        </w:rPr>
        <w:t xml:space="preserve">Tilly employs the term somewhat differently from others, however, and distinctions in its definition and use are important.  </w:t>
      </w:r>
    </w:p>
    <w:p w14:paraId="3A0BB7BF" w14:textId="77777777" w:rsidR="00571A3D" w:rsidRDefault="00571A3D" w:rsidP="00571A3D">
      <w:pPr>
        <w:ind w:right="-720"/>
        <w:rPr>
          <w:b/>
        </w:rPr>
      </w:pPr>
    </w:p>
    <w:p w14:paraId="6E94F845" w14:textId="31F77B13" w:rsidR="00571A3D" w:rsidRDefault="00571A3D" w:rsidP="00571A3D">
      <w:pPr>
        <w:spacing w:line="480" w:lineRule="auto"/>
        <w:ind w:right="-720"/>
      </w:pPr>
      <w:r>
        <w:rPr>
          <w:b/>
        </w:rPr>
        <w:t xml:space="preserve">TURNS CASE – THEIR PERFORMANCE ACTIVELY undermines their strategy = form of privarization ]. INDEPENDENT REASON TO DROP THEM – </w:t>
      </w:r>
      <w:r>
        <w:t xml:space="preserve">they’re not consistent </w:t>
      </w:r>
      <w:r>
        <w:lastRenderedPageBreak/>
        <w:t>with their own framework, and they don’t get to weigh substance against the K, since I question their ability to read it in the first place.</w:t>
      </w:r>
    </w:p>
    <w:p w14:paraId="64055FC2" w14:textId="77777777" w:rsidR="00571A3D" w:rsidRDefault="00571A3D" w:rsidP="00571A3D">
      <w:pPr>
        <w:pStyle w:val="Heading4"/>
        <w:spacing w:line="480" w:lineRule="auto"/>
        <w:ind w:right="-720"/>
        <w:rPr>
          <w:b w:val="0"/>
        </w:rPr>
      </w:pPr>
      <w:r>
        <w:t xml:space="preserve">2. [Nails] Second, CRITICAL CONTESTATION – </w:t>
      </w:r>
      <w:r>
        <w:rPr>
          <w:b w:val="0"/>
        </w:rPr>
        <w:t>they never have to withstand the best objections to their aff/offs if no one can do research against them in advance.</w:t>
      </w:r>
    </w:p>
    <w:p w14:paraId="3D377682" w14:textId="77777777" w:rsidR="00571A3D" w:rsidRPr="004429D3" w:rsidRDefault="00571A3D" w:rsidP="00571A3D">
      <w:pPr>
        <w:ind w:right="-720"/>
        <w:rPr>
          <w:sz w:val="16"/>
        </w:rPr>
      </w:pPr>
      <w:r>
        <w:rPr>
          <w:rStyle w:val="StyleUnderline"/>
        </w:rPr>
        <w:t>Nails</w:t>
      </w:r>
      <w:r>
        <w:rPr>
          <w:rStyle w:val="StyleUnderline"/>
          <w:u w:val="none"/>
        </w:rPr>
        <w:t>:</w:t>
      </w:r>
      <w:r w:rsidRPr="004429D3">
        <w:rPr>
          <w:rStyle w:val="StyleUnderline"/>
          <w:sz w:val="16"/>
          <w:u w:val="none"/>
        </w:rPr>
        <w:t xml:space="preserve"> </w:t>
      </w:r>
      <w:r w:rsidRPr="004429D3">
        <w:rPr>
          <w:rStyle w:val="StyleUnderline"/>
          <w:b w:val="0"/>
          <w:sz w:val="16"/>
          <w:u w:val="none"/>
        </w:rPr>
        <w:t>Nails, Jacob. [Former Policy Debater, Georgia State University] “</w:t>
      </w:r>
      <w:r w:rsidRPr="004429D3">
        <w:rPr>
          <w:sz w:val="16"/>
        </w:rPr>
        <w:t>A Defense of Disclosure (Including Third-Party Disclosure).” NSD Update, 2013. CH</w:t>
      </w:r>
    </w:p>
    <w:p w14:paraId="13CA3BAF" w14:textId="77777777" w:rsidR="00571A3D" w:rsidRDefault="00571A3D" w:rsidP="00571A3D">
      <w:pPr>
        <w:spacing w:line="480" w:lineRule="auto"/>
        <w:ind w:right="-720"/>
        <w:rPr>
          <w:sz w:val="16"/>
        </w:rPr>
      </w:pPr>
    </w:p>
    <w:p w14:paraId="506075F9" w14:textId="77777777" w:rsidR="00571A3D" w:rsidRPr="00DE3A09" w:rsidRDefault="00571A3D" w:rsidP="00571A3D">
      <w:pPr>
        <w:spacing w:line="480" w:lineRule="auto"/>
        <w:ind w:right="-720"/>
        <w:rPr>
          <w:sz w:val="16"/>
        </w:rPr>
      </w:pPr>
      <w:r w:rsidRPr="00DE3A09">
        <w:rPr>
          <w:sz w:val="16"/>
        </w:rPr>
        <w:t xml:space="preserve">I fall squarely on the side of disclosure. I find that </w:t>
      </w:r>
      <w:r w:rsidRPr="004429D3">
        <w:rPr>
          <w:b/>
          <w:highlight w:val="yellow"/>
          <w:u w:val="single"/>
        </w:rPr>
        <w:t>the largest advantage of</w:t>
      </w:r>
      <w:r w:rsidRPr="004429D3">
        <w:rPr>
          <w:b/>
          <w:u w:val="single"/>
        </w:rPr>
        <w:t xml:space="preserve"> widespread </w:t>
      </w:r>
      <w:r w:rsidRPr="004429D3">
        <w:rPr>
          <w:b/>
          <w:highlight w:val="yellow"/>
          <w:u w:val="single"/>
        </w:rPr>
        <w:t>disclosure is</w:t>
      </w:r>
      <w:r w:rsidRPr="00A57D17">
        <w:rPr>
          <w:b/>
          <w:u w:val="single"/>
        </w:rPr>
        <w:t xml:space="preserve"> the </w:t>
      </w:r>
      <w:r w:rsidRPr="004429D3">
        <w:rPr>
          <w:b/>
          <w:highlight w:val="yellow"/>
          <w:u w:val="single"/>
        </w:rPr>
        <w:t>education</w:t>
      </w:r>
      <w:r w:rsidRPr="00A57D17">
        <w:rPr>
          <w:b/>
          <w:u w:val="single"/>
        </w:rPr>
        <w:t>al value it provides</w:t>
      </w:r>
      <w:r w:rsidRPr="004429D3">
        <w:rPr>
          <w:b/>
          <w:highlight w:val="yellow"/>
          <w:u w:val="single"/>
        </w:rPr>
        <w:t>.</w:t>
      </w:r>
      <w:r w:rsidRPr="00DE3A09">
        <w:rPr>
          <w:sz w:val="16"/>
        </w:rPr>
        <w:t xml:space="preserve"> First, </w:t>
      </w:r>
      <w:r w:rsidRPr="00FF73A3">
        <w:rPr>
          <w:b/>
          <w:highlight w:val="yellow"/>
          <w:u w:val="single"/>
        </w:rPr>
        <w:t xml:space="preserve">disclosure streamlines research. </w:t>
      </w:r>
      <w:r w:rsidRPr="00A57D17">
        <w:rPr>
          <w:b/>
          <w:u w:val="single"/>
        </w:rPr>
        <w:t xml:space="preserve">Rather than every team and every lone wolf researching completely in the dark, </w:t>
      </w:r>
      <w:r w:rsidRPr="00FF73A3">
        <w:rPr>
          <w:b/>
          <w:highlight w:val="yellow"/>
          <w:u w:val="single"/>
        </w:rPr>
        <w:t>the wiki provides a</w:t>
      </w:r>
      <w:r w:rsidRPr="004429D3">
        <w:rPr>
          <w:b/>
          <w:u w:val="single"/>
        </w:rPr>
        <w:t xml:space="preserve"> public </w:t>
      </w:r>
      <w:r w:rsidRPr="00FF73A3">
        <w:rPr>
          <w:b/>
          <w:highlight w:val="yellow"/>
          <w:u w:val="single"/>
        </w:rPr>
        <w:t>body of knowledge that everyone can</w:t>
      </w:r>
      <w:r w:rsidRPr="004429D3">
        <w:rPr>
          <w:b/>
          <w:u w:val="single"/>
        </w:rPr>
        <w:t xml:space="preserve"> contribute to and </w:t>
      </w:r>
      <w:r w:rsidRPr="00FF73A3">
        <w:rPr>
          <w:b/>
          <w:highlight w:val="yellow"/>
          <w:u w:val="single"/>
        </w:rPr>
        <w:t>build off of.</w:t>
      </w:r>
      <w:r w:rsidRPr="00DE3A09">
        <w:rPr>
          <w:sz w:val="16"/>
        </w:rPr>
        <w:t xml:space="preserve"> Students can look through the different studies on the topic and choose the best ones on an informed basis without the prohibitively large burden of personally surveying all of the literature. </w:t>
      </w:r>
      <w:r w:rsidRPr="00A57D17">
        <w:rPr>
          <w:b/>
          <w:u w:val="single"/>
        </w:rPr>
        <w:t>The best arguments are identified and replicated, which is a natural result of an open marketplace of ideas. Quality of evidence increases across the board. In theory,</w:t>
      </w:r>
      <w:r w:rsidRPr="00DE3A09">
        <w:rPr>
          <w:sz w:val="16"/>
        </w:rPr>
        <w:t xml:space="preserve"> the increased quality of information </w:t>
      </w:r>
      <w:r w:rsidRPr="00A57D17">
        <w:rPr>
          <w:b/>
          <w:u w:val="single"/>
        </w:rPr>
        <w:t>could trade off with quantity</w:t>
      </w:r>
      <w:r w:rsidRPr="00DE3A09">
        <w:rPr>
          <w:sz w:val="16"/>
        </w:rPr>
        <w:t xml:space="preserve">. If debaters could just look to the wiki for evidence, it might remove the competitive incentive to do one’s own research. </w:t>
      </w:r>
      <w:r w:rsidRPr="00A57D17">
        <w:rPr>
          <w:b/>
          <w:u w:val="single"/>
        </w:rPr>
        <w:t>Empirically</w:t>
      </w:r>
      <w:r w:rsidRPr="00DE3A09">
        <w:rPr>
          <w:sz w:val="16"/>
        </w:rPr>
        <w:t>, however</w:t>
      </w:r>
      <w:r w:rsidRPr="00A57D17">
        <w:rPr>
          <w:b/>
          <w:u w:val="single"/>
        </w:rPr>
        <w:t>, the opposite has been true.</w:t>
      </w:r>
      <w:r w:rsidRPr="00DE3A09">
        <w:rPr>
          <w:sz w:val="16"/>
        </w:rPr>
        <w:t xml:space="preserve"> In fact, a second advantage of </w:t>
      </w:r>
      <w:r w:rsidRPr="00FF73A3">
        <w:rPr>
          <w:b/>
          <w:highlight w:val="yellow"/>
          <w:u w:val="single"/>
        </w:rPr>
        <w:t>disclosure</w:t>
      </w:r>
      <w:r w:rsidRPr="004429D3">
        <w:rPr>
          <w:b/>
          <w:u w:val="single"/>
        </w:rPr>
        <w:t xml:space="preserve"> </w:t>
      </w:r>
      <w:r w:rsidRPr="00F82171">
        <w:rPr>
          <w:b/>
          <w:u w:val="single"/>
        </w:rPr>
        <w:t xml:space="preserve">is that it </w:t>
      </w:r>
      <w:r w:rsidRPr="00FF73A3">
        <w:rPr>
          <w:b/>
          <w:highlight w:val="yellow"/>
          <w:u w:val="single"/>
        </w:rPr>
        <w:t>motivates research.</w:t>
      </w:r>
      <w:r w:rsidRPr="00DE3A09">
        <w:rPr>
          <w:sz w:val="16"/>
        </w:rPr>
        <w:t xml:space="preserve"> Debaters cannot expect to make it a whole topic with the same stock AC –</w:t>
      </w:r>
      <w:r w:rsidRPr="00DE3A09">
        <w:rPr>
          <w:b/>
          <w:sz w:val="16"/>
        </w:rPr>
        <w:t xml:space="preserve"> </w:t>
      </w:r>
      <w:r w:rsidRPr="00A57D17">
        <w:rPr>
          <w:b/>
          <w:u w:val="single"/>
        </w:rPr>
        <w:t>that is, unless they are continually updating and frontlining it.</w:t>
      </w:r>
      <w:r w:rsidRPr="00DE3A09">
        <w:rPr>
          <w:sz w:val="16"/>
        </w:rPr>
        <w:t xml:space="preserve"> Likewise, </w:t>
      </w:r>
      <w:r w:rsidRPr="00FF73A3">
        <w:rPr>
          <w:b/>
          <w:highlight w:val="yellow"/>
          <w:u w:val="single"/>
        </w:rPr>
        <w:t>debaters with access to</w:t>
      </w:r>
      <w:r w:rsidRPr="004429D3">
        <w:rPr>
          <w:b/>
          <w:u w:val="single"/>
        </w:rPr>
        <w:t xml:space="preserve"> their </w:t>
      </w:r>
      <w:r w:rsidRPr="00FF73A3">
        <w:rPr>
          <w:b/>
          <w:highlight w:val="yellow"/>
          <w:u w:val="single"/>
        </w:rPr>
        <w:t xml:space="preserve">opponents’ cases can do more </w:t>
      </w:r>
      <w:r w:rsidRPr="004429D3">
        <w:rPr>
          <w:rStyle w:val="Emphasis"/>
          <w:highlight w:val="yellow"/>
        </w:rPr>
        <w:t>targeted and specific research</w:t>
      </w:r>
      <w:r w:rsidRPr="00FF73A3">
        <w:rPr>
          <w:b/>
          <w:highlight w:val="yellow"/>
          <w:u w:val="single"/>
        </w:rPr>
        <w:t>.</w:t>
      </w:r>
      <w:r w:rsidRPr="00A57D17">
        <w:rPr>
          <w:b/>
          <w:u w:val="single"/>
        </w:rPr>
        <w:t xml:space="preserve"> Students can go to a new level of depth, researching not just the pros and cons of the topic but the specific authors, arguments, and adovcacies employed by other debaters.</w:t>
      </w:r>
      <w:r w:rsidRPr="00DE3A09">
        <w:rPr>
          <w:sz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i.e. more likely to produce useful evidence because it is more directed. In any case, if publicly accessible evidence jeopardized research, backfiles and briefs would have done LD in a long time ago. Lastly, and to my mind most significantly, </w:t>
      </w:r>
      <w:r w:rsidRPr="00FF73A3">
        <w:rPr>
          <w:b/>
          <w:highlight w:val="yellow"/>
          <w:u w:val="single"/>
        </w:rPr>
        <w:t xml:space="preserve">disclosure </w:t>
      </w:r>
      <w:r w:rsidRPr="00FF73A3">
        <w:rPr>
          <w:b/>
          <w:highlight w:val="yellow"/>
          <w:u w:val="single"/>
        </w:rPr>
        <w:lastRenderedPageBreak/>
        <w:t>weeds out anti-educational arguments</w:t>
      </w:r>
      <w:r w:rsidRPr="00DE3A09">
        <w:rPr>
          <w:b/>
          <w:u w:val="single"/>
        </w:rPr>
        <w:t>.</w:t>
      </w:r>
      <w:r w:rsidRPr="00A57D17">
        <w:rPr>
          <w:b/>
          <w:u w:val="single"/>
        </w:rPr>
        <w:t xml:space="preserve"> I have in mind the sort of theory spikes </w:t>
      </w:r>
      <w:r w:rsidRPr="00DE3A09">
        <w:rPr>
          <w:b/>
          <w:highlight w:val="yellow"/>
          <w:u w:val="single"/>
        </w:rPr>
        <w:t>and underdeveloped analytics</w:t>
      </w:r>
      <w:r w:rsidRPr="00A57D17">
        <w:rPr>
          <w:b/>
          <w:u w:val="single"/>
        </w:rPr>
        <w:t xml:space="preserve"> whose strategic value comes only from the fact that the time to think of and enunciate responses to them takes longer than the time spent making the arguments themselves</w:t>
      </w:r>
      <w:r w:rsidRPr="00DE3A09">
        <w:rPr>
          <w:b/>
          <w:highlight w:val="yellow"/>
          <w:u w:val="single"/>
        </w:rPr>
        <w:t>.</w:t>
      </w:r>
      <w:r w:rsidRPr="00DE3A09">
        <w:rPr>
          <w:b/>
          <w:u w:val="single"/>
        </w:rPr>
        <w:t xml:space="preserve"> If these arguments were made on a level playing field where each side had equal time to craft answers, they would seldom win rounds, which is a testimony to the real world applicability (or lack thereof) of such strategies.</w:t>
      </w:r>
      <w:r w:rsidRPr="00A57D17">
        <w:rPr>
          <w:b/>
          <w:u w:val="single"/>
        </w:rPr>
        <w:t xml:space="preserve"> </w:t>
      </w:r>
      <w:r w:rsidRPr="00DE3A09">
        <w:rPr>
          <w:sz w:val="16"/>
        </w:rPr>
        <w:t xml:space="preserve">A model in which arguments have to withstand close scrutiny to win rounds creates incentive to find the best arguments on the topic rather than the shadiest. Having transitioned from LD to policy where disclosure is more universal, I can say that </w:t>
      </w:r>
      <w:r w:rsidRPr="00FF73A3">
        <w:rPr>
          <w:b/>
          <w:highlight w:val="yellow"/>
          <w:u w:val="single"/>
        </w:rPr>
        <w:t>debates are more substantive, developed, and responsive when both sides know what they’re getting into prior to the round</w:t>
      </w:r>
      <w:r w:rsidRPr="00DE3A09">
        <w:rPr>
          <w:sz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sidRPr="00A57D17">
        <w:rPr>
          <w:b/>
          <w:u w:val="single"/>
        </w:rPr>
        <w:t xml:space="preserve">Debaters who produce better research are more deserving of a win. </w:t>
      </w:r>
      <w:r w:rsidRPr="00DE3A09">
        <w:rPr>
          <w:b/>
          <w:highlight w:val="yellow"/>
          <w:u w:val="single"/>
        </w:rPr>
        <w:t>Debaters who can make smart arguments and defend them from criticism should win</w:t>
      </w:r>
      <w:r w:rsidRPr="00A57D17">
        <w:rPr>
          <w:b/>
          <w:u w:val="single"/>
        </w:rPr>
        <w:t xml:space="preserve"> out over debaters who hide behind obfuscation</w:t>
      </w:r>
      <w:r w:rsidRPr="00DE3A09">
        <w:rPr>
          <w:b/>
          <w:highlight w:val="yellow"/>
          <w:u w:val="single"/>
        </w:rPr>
        <w:t>.</w:t>
      </w:r>
      <w:r w:rsidRPr="00DE3A09">
        <w:rPr>
          <w:sz w:val="16"/>
        </w:rPr>
        <w:t xml:space="preserve"> That so many rounds these days are resolved on frivolous theory and dropped, single-sentence blips suggests that wins are not going to the “better debaters” in any meaningful sense of the term. The structure of LD in the status quo doesn’t incentivize better debating.</w:t>
      </w:r>
    </w:p>
    <w:p w14:paraId="1F9AC3A6" w14:textId="77777777" w:rsidR="00571A3D" w:rsidRDefault="00571A3D" w:rsidP="00571A3D">
      <w:pPr>
        <w:ind w:right="-720"/>
      </w:pPr>
    </w:p>
    <w:p w14:paraId="0F508A41" w14:textId="77777777" w:rsidR="00571A3D" w:rsidRDefault="00571A3D" w:rsidP="00571A3D">
      <w:pPr>
        <w:spacing w:line="480" w:lineRule="auto"/>
        <w:ind w:right="-720"/>
      </w:pPr>
      <w:r>
        <w:rPr>
          <w:b/>
        </w:rPr>
        <w:t xml:space="preserve">TURNS CASE – </w:t>
      </w:r>
      <w:r>
        <w:t xml:space="preserve">if their method is good, that’s ALL THE MORE REASON they should disclose it and modify it to withstand well-researched objections. </w:t>
      </w:r>
      <w:r>
        <w:rPr>
          <w:b/>
        </w:rPr>
        <w:t xml:space="preserve">AND </w:t>
      </w:r>
      <w:r>
        <w:t xml:space="preserve">turn the “think on your feet” advantage – they had 5 months to prep this aff and I had 4 minutes. They had time to script an answer to every possible response to the aff – that’s WAY LESS independent thinking. </w:t>
      </w:r>
      <w:r>
        <w:rPr>
          <w:b/>
        </w:rPr>
        <w:t xml:space="preserve">AND </w:t>
      </w:r>
      <w:r>
        <w:t xml:space="preserve">generics don’t solve – I couldn’t cut an update to my generics that was specific to the aff, and they can always say my generics don’t answer the nuances of their case. </w:t>
      </w:r>
    </w:p>
    <w:p w14:paraId="1FD49603" w14:textId="77777777" w:rsidR="00571A3D" w:rsidRDefault="00571A3D" w:rsidP="00571A3D">
      <w:pPr>
        <w:pStyle w:val="Heading4"/>
        <w:spacing w:line="480" w:lineRule="auto"/>
        <w:ind w:right="-720"/>
        <w:rPr>
          <w:b w:val="0"/>
        </w:rPr>
      </w:pPr>
      <w:r>
        <w:lastRenderedPageBreak/>
        <w:t>3. [Bergland]</w:t>
      </w:r>
      <w:r>
        <w:rPr>
          <w:b w:val="0"/>
        </w:rPr>
        <w:t xml:space="preserve"> </w:t>
      </w:r>
      <w:r>
        <w:t xml:space="preserve">Third, ABLEISM: </w:t>
      </w:r>
      <w:r>
        <w:rPr>
          <w:b w:val="0"/>
        </w:rPr>
        <w:t>they make debate unsafe for people with anxiety, since that’s based on fear of the unknown.</w:t>
      </w:r>
    </w:p>
    <w:p w14:paraId="398BC5FC" w14:textId="77777777" w:rsidR="00571A3D" w:rsidRPr="006826B0" w:rsidRDefault="00571A3D" w:rsidP="00571A3D">
      <w:pPr>
        <w:ind w:right="-720"/>
        <w:rPr>
          <w:rStyle w:val="StyleUnderline"/>
          <w:b w:val="0"/>
          <w:sz w:val="16"/>
          <w:u w:val="none"/>
        </w:rPr>
      </w:pPr>
      <w:r>
        <w:rPr>
          <w:rStyle w:val="StyleUnderline"/>
        </w:rPr>
        <w:t>Bergland, bracketed for gendered language</w:t>
      </w:r>
      <w:r>
        <w:rPr>
          <w:rStyle w:val="StyleUnderline"/>
          <w:u w:val="none"/>
        </w:rPr>
        <w:t>:</w:t>
      </w:r>
      <w:r w:rsidRPr="006826B0">
        <w:rPr>
          <w:rStyle w:val="StyleUnderline"/>
          <w:sz w:val="16"/>
          <w:u w:val="none"/>
        </w:rPr>
        <w:t xml:space="preserve"> </w:t>
      </w:r>
      <w:r w:rsidRPr="006826B0">
        <w:rPr>
          <w:rStyle w:val="StyleUnderline"/>
          <w:b w:val="0"/>
          <w:sz w:val="16"/>
          <w:u w:val="none"/>
        </w:rPr>
        <w:t>Bergland, Christopher. [Public Health Advocate] “Study: Fear of the Unknown Compounds Many Anxiety Disorders.” Psychology Today, November 21, 2016. CH</w:t>
      </w:r>
    </w:p>
    <w:p w14:paraId="423726AB" w14:textId="77777777" w:rsidR="00571A3D" w:rsidRDefault="00571A3D" w:rsidP="00571A3D">
      <w:pPr>
        <w:ind w:right="-720"/>
      </w:pPr>
    </w:p>
    <w:p w14:paraId="58D34AF5" w14:textId="77777777" w:rsidR="00571A3D" w:rsidRDefault="00571A3D" w:rsidP="00571A3D">
      <w:pPr>
        <w:spacing w:line="480" w:lineRule="auto"/>
        <w:ind w:right="-720"/>
        <w:rPr>
          <w:rStyle w:val="StyleUnderline"/>
        </w:rPr>
      </w:pPr>
      <w:r w:rsidRPr="006826B0">
        <w:rPr>
          <w:rStyle w:val="StyleUnderline"/>
        </w:rPr>
        <w:t xml:space="preserve">Having an increased sensitivity to ambiguous, uncertain threats—or a hypervigilant </w:t>
      </w:r>
      <w:r w:rsidRPr="006826B0">
        <w:rPr>
          <w:rStyle w:val="StyleUnderline"/>
          <w:highlight w:val="yellow"/>
        </w:rPr>
        <w:t>fear of the unknown</w:t>
      </w:r>
      <w:r w:rsidRPr="006826B0">
        <w:rPr>
          <w:rStyle w:val="StyleUnderline"/>
        </w:rPr>
        <w:t>—</w:t>
      </w:r>
      <w:r w:rsidRPr="00606A86">
        <w:rPr>
          <w:rStyle w:val="StyleUnderline"/>
          <w:highlight w:val="yellow"/>
        </w:rPr>
        <w:t>is at the root of most fear-based psychopathologies</w:t>
      </w:r>
      <w:r w:rsidRPr="006826B0">
        <w:rPr>
          <w:rStyle w:val="StyleUnderline"/>
        </w:rPr>
        <w:t xml:space="preserve"> according to a new study from the University of Illinois at Chicago (UIC).</w:t>
      </w:r>
      <w:r w:rsidRPr="00606A86">
        <w:rPr>
          <w:sz w:val="16"/>
        </w:rPr>
        <w:t xml:space="preserve"> The November 2016 findings were published this week in the Journal of Abnormal Psychology. </w:t>
      </w:r>
      <w:r w:rsidRPr="00606A86">
        <w:rPr>
          <w:rStyle w:val="StyleUnderline"/>
        </w:rPr>
        <w:t xml:space="preserve">The </w:t>
      </w:r>
      <w:r w:rsidRPr="00606A86">
        <w:rPr>
          <w:rStyle w:val="StyleUnderline"/>
          <w:highlight w:val="yellow"/>
        </w:rPr>
        <w:t>researchers found that a wide range of anxiety disorders</w:t>
      </w:r>
      <w:r w:rsidRPr="00606A86">
        <w:rPr>
          <w:rStyle w:val="StyleUnderline"/>
        </w:rPr>
        <w:t xml:space="preserve">—including panic disorder, social anxiety disorder, and specific phobias—all </w:t>
      </w:r>
      <w:r w:rsidRPr="00606A86">
        <w:rPr>
          <w:rStyle w:val="StyleUnderline"/>
          <w:highlight w:val="yellow"/>
        </w:rPr>
        <w:t>share</w:t>
      </w:r>
      <w:r w:rsidRPr="00606A86">
        <w:rPr>
          <w:rStyle w:val="StyleUnderline"/>
        </w:rPr>
        <w:t xml:space="preserve"> a common response to generalized feelings of </w:t>
      </w:r>
      <w:r w:rsidRPr="00606A86">
        <w:rPr>
          <w:rStyle w:val="StyleUnderline"/>
          <w:highlight w:val="yellow"/>
        </w:rPr>
        <w:t>apprehension and heightened reactivity triggered by</w:t>
      </w:r>
      <w:r w:rsidRPr="00606A86">
        <w:rPr>
          <w:rStyle w:val="StyleUnderline"/>
        </w:rPr>
        <w:t xml:space="preserve"> the </w:t>
      </w:r>
      <w:r w:rsidRPr="00606A86">
        <w:rPr>
          <w:rStyle w:val="StyleUnderline"/>
          <w:highlight w:val="yellow"/>
        </w:rPr>
        <w:t>unpredictability</w:t>
      </w:r>
      <w:r w:rsidRPr="00606A86">
        <w:rPr>
          <w:rStyle w:val="StyleUnderline"/>
        </w:rPr>
        <w:t xml:space="preserve"> of ambiguous threats</w:t>
      </w:r>
      <w:r w:rsidRPr="00606A86">
        <w:rPr>
          <w:rStyle w:val="StyleUnderline"/>
          <w:highlight w:val="yellow"/>
        </w:rPr>
        <w:t>.</w:t>
      </w:r>
      <w:r w:rsidRPr="00606A86">
        <w:rPr>
          <w:sz w:val="16"/>
        </w:rPr>
        <w:t xml:space="preserve"> In the impact statement for this study, the researchers said, “This study suggests that individuals with current, fear-based internalizing disorders display exaggerated anticipatory anxiety in response to uncertain or ambiguous threat. The findings also suggest that this is not the case for individuals with distress/misery disorders as they were found to display relatively normal responses to uncertain threat. Responding to uncertain threat may be a key neurobiological factor that distinguishes fear-based from distress/misery disorders.” </w:t>
      </w:r>
      <w:r w:rsidRPr="00606A86">
        <w:rPr>
          <w:rStyle w:val="StyleUnderline"/>
        </w:rPr>
        <w:t xml:space="preserve">For example, </w:t>
      </w:r>
      <w:r w:rsidRPr="00606A86">
        <w:rPr>
          <w:rStyle w:val="StyleUnderline"/>
          <w:highlight w:val="yellow"/>
        </w:rPr>
        <w:t>when someone is hypersensitive to</w:t>
      </w:r>
      <w:r w:rsidRPr="00606A86">
        <w:rPr>
          <w:rStyle w:val="StyleUnderline"/>
        </w:rPr>
        <w:t xml:space="preserve"> the risk of experiencing </w:t>
      </w:r>
      <w:r w:rsidRPr="00606A86">
        <w:rPr>
          <w:rStyle w:val="StyleUnderline"/>
          <w:highlight w:val="yellow"/>
        </w:rPr>
        <w:t>an uncertain threat</w:t>
      </w:r>
      <w:r w:rsidRPr="00606A86">
        <w:rPr>
          <w:rStyle w:val="StyleUnderline"/>
        </w:rPr>
        <w:t xml:space="preserve"> he or she </w:t>
      </w:r>
      <w:r w:rsidRPr="00606A86">
        <w:rPr>
          <w:rStyle w:val="StyleUnderline"/>
          <w:highlight w:val="yellow"/>
        </w:rPr>
        <w:t>[they] can spend the entire day in a state of free-floating anxiety</w:t>
      </w:r>
      <w:r w:rsidRPr="00606A86">
        <w:rPr>
          <w:rStyle w:val="StyleUnderline"/>
        </w:rPr>
        <w:t xml:space="preserve"> catastrophizing about something bad that could happen to him or her based on an unknown entity</w:t>
      </w:r>
      <w:r w:rsidRPr="00606A86">
        <w:rPr>
          <w:rStyle w:val="StyleUnderline"/>
          <w:highlight w:val="yellow"/>
        </w:rPr>
        <w:t>.</w:t>
      </w:r>
      <w:r w:rsidRPr="00606A86">
        <w:rPr>
          <w:sz w:val="16"/>
        </w:rPr>
        <w:t xml:space="preserve"> These findings are especially poignant at a time when there is so much fear-based rhetoric fueling a collective state of uncertainty and fear of the unknown. The good news is that the outcome of this research could lead to more effective treatments that target the common root of fear-based psychopathology. In a statement to University of Illinois Chicago, Stephanie Gorka, research assistant professor of psychiatry and a clinical psychologist in the UIC College of Medicine and corresponding author on this study on the common roots of fear-based psychopathology said, "It's what we call anticipatory anxiety. It could be something like not knowing exactly when your doctor will call with test results. . . We may, one day, open up clinics that focus on treating the underlying common neurobiology of the patient's symptoms instead of individual diagnoses. A treatment, or set of treatments, focused on sensitivity to an uncertain threat could result in a more impactful and efficient way of treating a variety of anxiety disorders and symptoms.” Panic disorders are a perfect example of anticipatory anxiety. When someone is constantly anxious over the unpredictability of when and where he or she might have a panic attack; the fear of fear itself becomes the biggest problem. </w:t>
      </w:r>
      <w:r w:rsidRPr="00606A86">
        <w:rPr>
          <w:rStyle w:val="StyleUnderline"/>
          <w:highlight w:val="yellow"/>
        </w:rPr>
        <w:t>The fear of having a panic attack</w:t>
      </w:r>
      <w:r w:rsidRPr="00606A86">
        <w:rPr>
          <w:rStyle w:val="StyleUnderline"/>
        </w:rPr>
        <w:t xml:space="preserve"> in public </w:t>
      </w:r>
      <w:r w:rsidRPr="00606A86">
        <w:rPr>
          <w:rStyle w:val="StyleUnderline"/>
          <w:highlight w:val="yellow"/>
        </w:rPr>
        <w:t xml:space="preserve">can lead someone to become agoraphobic </w:t>
      </w:r>
      <w:r w:rsidRPr="00606A86">
        <w:rPr>
          <w:rStyle w:val="StyleUnderline"/>
          <w:highlight w:val="yellow"/>
        </w:rPr>
        <w:lastRenderedPageBreak/>
        <w:t>and never stray from ''safe spaces." This can create a downward spiral of social isolation, depression, and paralysis to perform instrumental activities of daily living</w:t>
      </w:r>
      <w:r w:rsidRPr="00606A86">
        <w:rPr>
          <w:rStyle w:val="StyleUnderline"/>
        </w:rPr>
        <w:t xml:space="preserve"> (IADLs)</w:t>
      </w:r>
      <w:r w:rsidRPr="00606A86">
        <w:rPr>
          <w:rStyle w:val="StyleUnderline"/>
          <w:highlight w:val="yellow"/>
        </w:rPr>
        <w:t>.</w:t>
      </w:r>
      <w:r w:rsidRPr="00606A86">
        <w:rPr>
          <w:rStyle w:val="StyleUnderline"/>
        </w:rPr>
        <w:t xml:space="preserve"> </w:t>
      </w:r>
    </w:p>
    <w:p w14:paraId="3CEF74DE" w14:textId="77777777" w:rsidR="00571A3D" w:rsidRDefault="00571A3D" w:rsidP="00571A3D">
      <w:pPr>
        <w:ind w:right="-720"/>
        <w:rPr>
          <w:b/>
        </w:rPr>
      </w:pPr>
    </w:p>
    <w:p w14:paraId="496336A6" w14:textId="77777777" w:rsidR="00571A3D" w:rsidRPr="00D81250" w:rsidRDefault="00571A3D" w:rsidP="00571A3D">
      <w:pPr>
        <w:spacing w:line="480" w:lineRule="auto"/>
        <w:ind w:right="-720"/>
        <w:rPr>
          <w:b/>
        </w:rPr>
      </w:pPr>
      <w:r>
        <w:rPr>
          <w:b/>
        </w:rPr>
        <w:t>THAT’S AN INDEPENDENT REASON TO DROP THEM – THEY MAKE THE DEBATE SPACE UNSAFE, AND PEOPLE WITH DISABILITIES HAVE TO BE HERE IN ORDER TO HAVE DEBATE AT ALL – PRECLUDES OTHER IMPACTS BECAUSE WE CAN’T HAVE DEBATE WITHOUT DEBATERS.</w:t>
      </w:r>
    </w:p>
    <w:p w14:paraId="7E345B83" w14:textId="77777777" w:rsidR="00571A3D" w:rsidRDefault="00571A3D" w:rsidP="00571A3D">
      <w:pPr>
        <w:pStyle w:val="Heading2"/>
        <w:ind w:right="-720"/>
        <w:rPr>
          <w:u w:val="single"/>
        </w:rPr>
      </w:pPr>
      <w:r>
        <w:rPr>
          <w:u w:val="single"/>
        </w:rPr>
        <w:lastRenderedPageBreak/>
        <w:t>C. Implication</w:t>
      </w:r>
    </w:p>
    <w:p w14:paraId="39A7AF4B" w14:textId="77777777" w:rsidR="00571A3D" w:rsidRDefault="00571A3D" w:rsidP="00571A3D">
      <w:pPr>
        <w:ind w:right="-720"/>
      </w:pPr>
    </w:p>
    <w:p w14:paraId="70FCB014" w14:textId="77777777" w:rsidR="00571A3D" w:rsidRPr="00271ED5" w:rsidRDefault="00571A3D" w:rsidP="00571A3D">
      <w:pPr>
        <w:pStyle w:val="Heading4"/>
        <w:spacing w:line="480" w:lineRule="auto"/>
        <w:ind w:right="-720"/>
      </w:pPr>
      <w:r>
        <w:t xml:space="preserve">[Implication] REJECT THEIR PERFORMANCE AND DROP THE DEBATER – </w:t>
      </w:r>
      <w:r>
        <w:rPr>
          <w:b w:val="0"/>
        </w:rPr>
        <w:t xml:space="preserve">they should lose for performatively contradicting their benefits AND for making debate less educational. A loss at least creates a risk that they’ll disclose in the future – that’s worth it if it improves the quality of in-round education. </w:t>
      </w:r>
      <w:r>
        <w:t xml:space="preserve">AND </w:t>
      </w:r>
      <w:r>
        <w:rPr>
          <w:b w:val="0"/>
        </w:rPr>
        <w:t xml:space="preserve">drop them for denying substantive engagement – </w:t>
      </w:r>
      <w:r>
        <w:rPr>
          <w:rFonts w:eastAsiaTheme="minorEastAsia" w:cs="Times New Roman"/>
          <w:b w:val="0"/>
          <w:bCs w:val="0"/>
          <w:szCs w:val="24"/>
        </w:rPr>
        <w:t>you wouldn’t vote for a debater who took their opponent’s computer or stole their flow in round, so don’t vote for similar practices that stop debate from happening.</w:t>
      </w:r>
    </w:p>
    <w:p w14:paraId="7B623FF8" w14:textId="79EB9147" w:rsidR="00E42E4C" w:rsidRDefault="00571A3D" w:rsidP="00571A3D">
      <w:pPr>
        <w:pStyle w:val="Heading2"/>
      </w:pPr>
      <w:r>
        <w:lastRenderedPageBreak/>
        <w:t>2</w:t>
      </w:r>
    </w:p>
    <w:p w14:paraId="0622A2A1" w14:textId="77777777" w:rsidR="00571A3D" w:rsidRDefault="00571A3D" w:rsidP="00571A3D">
      <w:pPr>
        <w:pStyle w:val="Heading3"/>
      </w:pPr>
      <w:r>
        <w:lastRenderedPageBreak/>
        <w:t xml:space="preserve">Framework </w:t>
      </w:r>
    </w:p>
    <w:p w14:paraId="79C5A891" w14:textId="77777777" w:rsidR="00571A3D" w:rsidRPr="002C1012" w:rsidRDefault="00571A3D" w:rsidP="00571A3D">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2EE0CEB5" w14:textId="77777777" w:rsidR="00571A3D" w:rsidRPr="002C1012" w:rsidRDefault="00571A3D" w:rsidP="00571A3D">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0166D30B" w14:textId="77777777" w:rsidR="00571A3D" w:rsidRPr="002C1012" w:rsidRDefault="00571A3D" w:rsidP="00571A3D">
      <w:pPr>
        <w:ind w:right="-720"/>
      </w:pPr>
    </w:p>
    <w:p w14:paraId="60BB05F1" w14:textId="77777777" w:rsidR="00571A3D" w:rsidRPr="002C1012" w:rsidRDefault="00571A3D" w:rsidP="00571A3D">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 xml:space="preserve">We cannot wish away the </w:t>
      </w:r>
      <w:r w:rsidRPr="002C1012">
        <w:rPr>
          <w:rStyle w:val="TitleChar"/>
          <w:rFonts w:ascii="Times New Roman" w:hAnsi="Times New Roman" w:cs="Times New Roman"/>
          <w:b/>
          <w:bCs/>
        </w:rPr>
        <w:lastRenderedPageBreak/>
        <w:t>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01DFCA32" w14:textId="77777777" w:rsidR="00571A3D" w:rsidRPr="002C1012" w:rsidRDefault="00571A3D" w:rsidP="00571A3D">
      <w:pPr>
        <w:pStyle w:val="NoSpacing"/>
        <w:ind w:right="-720"/>
        <w:rPr>
          <w:rFonts w:ascii="Times New Roman" w:hAnsi="Times New Roman" w:cs="Times New Roman"/>
          <w:sz w:val="16"/>
          <w:szCs w:val="16"/>
        </w:rPr>
      </w:pPr>
    </w:p>
    <w:p w14:paraId="015C7E5D" w14:textId="77777777" w:rsidR="00571A3D" w:rsidRPr="002C1012" w:rsidRDefault="00571A3D" w:rsidP="00571A3D">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546870FB" w14:textId="77777777" w:rsidR="00571A3D" w:rsidRPr="00062883" w:rsidRDefault="00571A3D" w:rsidP="00571A3D">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IPPs, since a</w:t>
      </w:r>
      <w:r w:rsidRPr="00062883">
        <w:rPr>
          <w:b w:val="0"/>
          <w:bCs w:val="0"/>
        </w:rPr>
        <w:t xml:space="preserve">nything else </w:t>
      </w:r>
      <w:r>
        <w:rPr>
          <w:b w:val="0"/>
          <w:bCs w:val="0"/>
        </w:rPr>
        <w:t>results in serial policy failure by ignoring why violence happens –</w:t>
      </w:r>
      <w:r w:rsidRPr="00062883">
        <w:rPr>
          <w:b w:val="0"/>
          <w:bCs w:val="0"/>
        </w:rPr>
        <w:t>Band-Aid solutions</w:t>
      </w:r>
      <w:r>
        <w:rPr>
          <w:b w:val="0"/>
          <w:bCs w:val="0"/>
        </w:rPr>
        <w:t xml:space="preserve"> don’t work</w:t>
      </w:r>
      <w:r w:rsidRPr="00062883">
        <w:rPr>
          <w:b w:val="0"/>
          <w:bCs w:val="0"/>
        </w:rPr>
        <w:t>.</w:t>
      </w:r>
    </w:p>
    <w:p w14:paraId="45C32AB0" w14:textId="77777777" w:rsidR="00571A3D" w:rsidRPr="002C1012" w:rsidRDefault="00571A3D" w:rsidP="00571A3D">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6B49830B" w14:textId="77777777" w:rsidR="00571A3D" w:rsidRPr="002C1012" w:rsidRDefault="00571A3D" w:rsidP="00571A3D">
      <w:pPr>
        <w:ind w:right="-720"/>
      </w:pPr>
    </w:p>
    <w:p w14:paraId="7E35266B" w14:textId="77777777" w:rsidR="00571A3D" w:rsidRPr="002C1012" w:rsidRDefault="00571A3D" w:rsidP="00571A3D">
      <w:pPr>
        <w:spacing w:line="480" w:lineRule="auto"/>
        <w:ind w:right="-720"/>
        <w:jc w:val="both"/>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 xml:space="preserve">We have not seen the end of racist fraternity and sorority actions on college campuses. That’s because the actions taken </w:t>
      </w:r>
      <w:r w:rsidRPr="002C1012">
        <w:rPr>
          <w:rStyle w:val="StyleUnderline"/>
        </w:rPr>
        <w:lastRenderedPageBreak/>
        <w:t>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580FC697" w14:textId="77777777" w:rsidR="00571A3D" w:rsidRPr="002C1012" w:rsidRDefault="00571A3D" w:rsidP="00571A3D">
      <w:pPr>
        <w:pStyle w:val="Heading4"/>
        <w:spacing w:line="480" w:lineRule="auto"/>
        <w:ind w:right="-720"/>
        <w:rPr>
          <w:rFonts w:cs="Times New Roman"/>
          <w:b w:val="0"/>
          <w:bCs w:val="0"/>
        </w:rPr>
      </w:pPr>
      <w:r w:rsidRPr="002C1012">
        <w:rPr>
          <w:rFonts w:cs="Times New Roman"/>
        </w:rPr>
        <w:lastRenderedPageBreak/>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70426219" w14:textId="77777777" w:rsidR="00571A3D" w:rsidRDefault="00571A3D" w:rsidP="00571A3D">
      <w:pPr>
        <w:pStyle w:val="Heading3"/>
      </w:pPr>
      <w:r>
        <w:lastRenderedPageBreak/>
        <w:t xml:space="preserve">A. Links </w:t>
      </w:r>
    </w:p>
    <w:p w14:paraId="3DBA51B8" w14:textId="77777777" w:rsidR="00571A3D" w:rsidRPr="002C24C5" w:rsidRDefault="00571A3D" w:rsidP="00571A3D">
      <w:pPr>
        <w:pStyle w:val="Heading4"/>
        <w:spacing w:line="480" w:lineRule="auto"/>
        <w:rPr>
          <w:rFonts w:cs="Times New Roman"/>
          <w:b w:val="0"/>
          <w:bCs w:val="0"/>
          <w:szCs w:val="24"/>
        </w:rPr>
      </w:pPr>
      <w:r>
        <w:rPr>
          <w:rFonts w:cs="Times New Roman"/>
          <w:szCs w:val="24"/>
        </w:rPr>
        <w:t xml:space="preserve">[Bello] </w:t>
      </w:r>
      <w:r w:rsidRPr="002C24C5">
        <w:rPr>
          <w:rFonts w:cs="Times New Roman"/>
          <w:b w:val="0"/>
          <w:bCs w:val="0"/>
          <w:szCs w:val="24"/>
        </w:rPr>
        <w:t>The WTO is a fundamentally unnecessary institution that functions solely to preserve US neoliberal hegemony. Reform is the wrong approach and merely props up WTO legitimacy—</w:t>
      </w:r>
      <w:r w:rsidRPr="002C24C5">
        <w:rPr>
          <w:rFonts w:cs="Times New Roman"/>
          <w:szCs w:val="24"/>
        </w:rPr>
        <w:t>every empiric flow neg.</w:t>
      </w:r>
    </w:p>
    <w:p w14:paraId="2FDDC468" w14:textId="77777777" w:rsidR="00571A3D" w:rsidRPr="002C24C5" w:rsidRDefault="00571A3D" w:rsidP="00571A3D">
      <w:pPr>
        <w:rPr>
          <w:sz w:val="16"/>
        </w:rPr>
      </w:pPr>
      <w:r>
        <w:rPr>
          <w:b/>
          <w:bCs/>
          <w:u w:val="single"/>
        </w:rPr>
        <w:t xml:space="preserve">Bello: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69C484F9" w14:textId="77777777" w:rsidR="00571A3D" w:rsidRPr="00B12BA8" w:rsidRDefault="00571A3D" w:rsidP="00571A3D"/>
    <w:p w14:paraId="332E3154" w14:textId="77777777" w:rsidR="00571A3D" w:rsidRDefault="00571A3D" w:rsidP="00571A3D">
      <w:pPr>
        <w:spacing w:line="480" w:lineRule="auto"/>
        <w:jc w:val="both"/>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0774B9">
        <w:rPr>
          <w:rStyle w:val="StyleUnderline"/>
          <w:highlight w:val="yellow"/>
        </w:rPr>
        <w:t>World trade did not need the WTO</w:t>
      </w:r>
      <w:r w:rsidRPr="00EA2E6F">
        <w:rPr>
          <w:rStyle w:val="StyleUnderline"/>
        </w:rPr>
        <w:t xml:space="preserve"> to expand 17-fold between 1948 and 1997, from $124 billion to $10,772 billion. (3) This expansion took place under the flexible GATT trade regime. </w:t>
      </w:r>
      <w:r w:rsidRPr="000774B9">
        <w:rPr>
          <w:rStyle w:val="StyleUnderline"/>
          <w:highlight w:val="yellow"/>
        </w:rPr>
        <w:t>The WTO</w:t>
      </w:r>
      <w:r w:rsidRPr="00EA2E6F">
        <w:rPr>
          <w:rStyle w:val="StyleUnderline"/>
        </w:rPr>
        <w:t xml:space="preserve">'s founding in 1995 </w:t>
      </w:r>
      <w:r w:rsidRPr="000774B9">
        <w:rPr>
          <w:rStyle w:val="StyleUnderline"/>
          <w:highlight w:val="yellow"/>
        </w:rPr>
        <w:t>did not respond to a collapse</w:t>
      </w:r>
      <w:r w:rsidRPr="00EA2E6F">
        <w:rPr>
          <w:rStyle w:val="StyleUnderline"/>
        </w:rPr>
        <w:t xml:space="preserve"> or crisis </w:t>
      </w:r>
      <w:r w:rsidRPr="000774B9">
        <w:rPr>
          <w:rStyle w:val="StyleUnderline"/>
          <w:highlight w:val="yellow"/>
        </w:rPr>
        <w:t>of world trade</w:t>
      </w:r>
      <w:r w:rsidRPr="00EA2E6F">
        <w:rPr>
          <w:rStyle w:val="StyleUnderline"/>
        </w:rPr>
        <w:t xml:space="preserve"> such as happened </w:t>
      </w:r>
      <w:r w:rsidRPr="000774B9">
        <w:rPr>
          <w:rStyle w:val="StyleUnderline"/>
          <w:highlight w:val="yellow"/>
        </w:rPr>
        <w:t>in the 1930's.</w:t>
      </w:r>
      <w:r w:rsidRPr="00EA2E6F">
        <w:rPr>
          <w:rStyle w:val="StyleUnderline"/>
        </w:rPr>
        <w:t xml:space="preserve"> </w:t>
      </w:r>
      <w:r w:rsidRPr="000774B9">
        <w:rPr>
          <w:rStyle w:val="StyleUnderline"/>
          <w:highlight w:val="yellow"/>
        </w:rPr>
        <w:t>It was not necessary for global peace, since no world war</w:t>
      </w:r>
      <w:r w:rsidRPr="00EA2E6F">
        <w:rPr>
          <w:rStyle w:val="StyleUnderline"/>
        </w:rPr>
        <w:t xml:space="preserve"> or trade-related war </w:t>
      </w:r>
      <w:r w:rsidRPr="000774B9">
        <w:rPr>
          <w:rStyle w:val="StyleUnderline"/>
          <w:highlight w:val="yellow"/>
        </w:rPr>
        <w:t>had taken place during that period.</w:t>
      </w:r>
      <w:r w:rsidRPr="00EA2E6F">
        <w:rPr>
          <w:rStyle w:val="StyleUnderline"/>
        </w:rPr>
        <w:t xml:space="preserve"> </w:t>
      </w:r>
      <w:r w:rsidRPr="000774B9">
        <w:rPr>
          <w:rStyle w:val="StyleUnderline"/>
          <w:highlight w:val="yellow"/>
        </w:rPr>
        <w:t>In the seven major inter-state wars that took place in that period</w:t>
      </w:r>
      <w:r w:rsidRPr="00EA2E6F">
        <w:rPr>
          <w:rStyle w:val="StyleUnderline"/>
        </w:rPr>
        <w:t xml:space="preserve">-the Korean War of 1950-53, the Vietnam War of 1945-75, the Suez Crisis of </w:t>
      </w:r>
      <w:r w:rsidRPr="00EA2E6F">
        <w:rPr>
          <w:rStyle w:val="StyleUnderline"/>
        </w:rPr>
        <w:lastRenderedPageBreak/>
        <w:t>1956, the 1967 Arab-Israeli War, the 1973 Arab-Israeli War, the 1982 Falklands War, and the Gulf War of 1990-</w:t>
      </w:r>
      <w:r w:rsidRPr="000774B9">
        <w:rPr>
          <w:rStyle w:val="StyleUnderline"/>
          <w:highlight w:val="yellow"/>
        </w:rPr>
        <w:t>trade conflict did not figure even remotely as a cause.</w:t>
      </w:r>
      <w:r w:rsidRPr="00EA2E6F">
        <w:rPr>
          <w:rStyle w:val="StyleUnderline"/>
        </w:rPr>
        <w:t xml:space="preserve"> GATT was, in fact, functioning reasonably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w:t>
      </w:r>
      <w:r w:rsidRPr="00EA2E6F">
        <w:rPr>
          <w:sz w:val="16"/>
        </w:rPr>
        <w:lastRenderedPageBreak/>
        <w:t xml:space="preserve">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dispute settlement mechanism serves US interests because we can now use the full weight of the international machinery to go after those trade barriers, reduce them, get them eliminated. (5) </w:t>
      </w:r>
      <w:r w:rsidRPr="00EA2E6F">
        <w:rPr>
          <w:rStyle w:val="StyleUnderline"/>
        </w:rPr>
        <w:t xml:space="preserve">In sum, </w:t>
      </w:r>
      <w:r w:rsidRPr="000774B9">
        <w:rPr>
          <w:rStyle w:val="StyleUnderline"/>
          <w:highlight w:val="yellow"/>
        </w:rPr>
        <w:t>it has been Washington's changing perception of the needs of its economic interest-groups that have shaped and reshaped the international trading regime.</w:t>
      </w:r>
      <w:r w:rsidRPr="00EA2E6F">
        <w:rPr>
          <w:sz w:val="16"/>
        </w:rPr>
        <w:t xml:space="preserve"> It was not global necessity that gave birth to the WTO in 1995. It was the US's assessment that the interests of its corporations were no longer served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w:t>
      </w:r>
      <w:r w:rsidRPr="00EF1D06">
        <w:rPr>
          <w:sz w:val="8"/>
          <w:szCs w:val="16"/>
        </w:rPr>
        <w:lastRenderedPageBreak/>
        <w:t xml:space="preserve">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w:t>
      </w:r>
      <w:r w:rsidRPr="00EA2E6F">
        <w:rPr>
          <w:rStyle w:val="StyleUnderline"/>
        </w:rPr>
        <w:lastRenderedPageBreak/>
        <w:t>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collapse of the Seattle Ministerial, Barshefsky, WTO Director General Mike Moore, and other rich country representatives have spoken about the need for WTO 'reform'. </w:t>
      </w:r>
      <w:r w:rsidRPr="00EA2E6F">
        <w:rPr>
          <w:rStyle w:val="StyleUnderline"/>
        </w:rPr>
        <w:t xml:space="preserve">But </w:t>
      </w:r>
      <w:r w:rsidRPr="000774B9">
        <w:rPr>
          <w:rStyle w:val="StyleUnderline"/>
          <w:highlight w:val="yellow"/>
        </w:rPr>
        <w:t>none have declared any intention of pushing for</w:t>
      </w:r>
      <w:r w:rsidRPr="00EA2E6F">
        <w:rPr>
          <w:rStyle w:val="StyleUnderline"/>
        </w:rPr>
        <w:t xml:space="preserve"> a one-county/one-vote majority decision-making system or a voting system weighted by population size, which would be the only </w:t>
      </w:r>
      <w:r w:rsidRPr="000774B9">
        <w:rPr>
          <w:rStyle w:val="StyleUnderline"/>
          <w:highlight w:val="yellow"/>
        </w:rPr>
        <w:t>fair</w:t>
      </w:r>
      <w:r w:rsidRPr="00EA2E6F">
        <w:rPr>
          <w:rStyle w:val="StyleUnderline"/>
        </w:rPr>
        <w:t xml:space="preserve"> and legitimate </w:t>
      </w:r>
      <w:r w:rsidRPr="000774B9">
        <w:rPr>
          <w:rStyle w:val="StyleUnderline"/>
          <w:highlight w:val="yellow"/>
        </w:rPr>
        <w:t>methods in a democratic international organization.</w:t>
      </w:r>
      <w:r w:rsidRPr="00EA2E6F">
        <w:rPr>
          <w:rStyle w:val="StyleUnderline"/>
        </w:rPr>
        <w:t xml:space="preserve"> The fact is, </w:t>
      </w:r>
      <w:r w:rsidRPr="000774B9">
        <w:rPr>
          <w:rStyle w:val="StyleUnderline"/>
          <w:highlight w:val="yellow"/>
        </w:rPr>
        <w:t>such mechanisms</w:t>
      </w:r>
      <w:r w:rsidRPr="00EA2E6F">
        <w:rPr>
          <w:rStyle w:val="StyleUnderline"/>
        </w:rPr>
        <w:t xml:space="preserve"> will never be adopted, for this </w:t>
      </w:r>
      <w:r w:rsidRPr="000774B9">
        <w:rPr>
          <w:rStyle w:val="StyleUnderline"/>
          <w:highlight w:val="yellow"/>
        </w:rPr>
        <w:t>would put the developing countries in a preponderant role in terms of decision-making.</w:t>
      </w:r>
      <w:r w:rsidRPr="00EA2E6F">
        <w:rPr>
          <w:rStyle w:val="StyleUnderline"/>
        </w:rPr>
        <w:t xml:space="preserve"> </w:t>
      </w:r>
      <w:r w:rsidRPr="00EA2E6F">
        <w:rPr>
          <w:sz w:val="16"/>
        </w:rPr>
        <w:t xml:space="preserve">Should One Try to Reform a Jurassic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 The WTO systematically protects and the trade and economic advantages of </w:t>
      </w:r>
      <w:r w:rsidRPr="00EA2E6F">
        <w:rPr>
          <w:rStyle w:val="StyleUnderline"/>
        </w:rPr>
        <w:lastRenderedPageBreak/>
        <w:t>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 xml:space="preserve">The opposite is true: </w:t>
      </w:r>
      <w:r w:rsidRPr="000774B9">
        <w:rPr>
          <w:rStyle w:val="StyleUnderline"/>
          <w:highlight w:val="yellow"/>
        </w:rPr>
        <w:t>the WTO,</w:t>
      </w:r>
      <w:r w:rsidRPr="00EA2E6F">
        <w:rPr>
          <w:rStyle w:val="StyleUnderline"/>
        </w:rPr>
        <w:t xml:space="preserve"> like many other multilateral international agreements, </w:t>
      </w:r>
      <w:r w:rsidRPr="000774B9">
        <w:rPr>
          <w:rStyle w:val="StyleUnderline"/>
          <w:highlight w:val="yellow"/>
        </w:rPr>
        <w:t xml:space="preserve">is meant </w:t>
      </w:r>
      <w:r w:rsidRPr="00EF1D06">
        <w:rPr>
          <w:rStyle w:val="StyleUnderline"/>
        </w:rPr>
        <w:t xml:space="preserve">to instututionalize and legtimize inequality. Its main purpose is </w:t>
      </w:r>
      <w:r w:rsidRPr="000774B9">
        <w:rPr>
          <w:rStyle w:val="StyleUnderline"/>
          <w:highlight w:val="yellow"/>
        </w:rPr>
        <w:t>to reduce the tremendous policing costs to the stronger powers that would be involved in disciplining many small countries</w:t>
      </w:r>
      <w:r w:rsidRPr="00EA2E6F">
        <w:rPr>
          <w:rStyle w:val="StyleUnderline"/>
        </w:rPr>
        <w:t xml:space="preserve"> in a more fluid, less structured international system. </w:t>
      </w:r>
      <w:r w:rsidRPr="00EA2E6F">
        <w:rPr>
          <w:sz w:val="16"/>
        </w:rPr>
        <w:t xml:space="preserve">It is not surprising that both the WTO and the IMF are currently mired in a severe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0E273A70" w14:textId="77777777" w:rsidR="00571A3D" w:rsidRDefault="00571A3D" w:rsidP="00571A3D">
      <w:pPr>
        <w:spacing w:line="480" w:lineRule="auto"/>
        <w:jc w:val="both"/>
        <w:rPr>
          <w:rStyle w:val="StyleUnderline"/>
          <w:b w:val="0"/>
          <w:bCs/>
          <w:sz w:val="16"/>
          <w:szCs w:val="16"/>
          <w:u w:val="none"/>
        </w:rPr>
      </w:pPr>
    </w:p>
    <w:p w14:paraId="100464E7" w14:textId="77777777" w:rsidR="00571A3D" w:rsidRDefault="00571A3D" w:rsidP="00571A3D">
      <w:pPr>
        <w:pStyle w:val="Heading3"/>
      </w:pPr>
      <w:r>
        <w:lastRenderedPageBreak/>
        <w:t xml:space="preserve">B. Impact </w:t>
      </w:r>
    </w:p>
    <w:p w14:paraId="139FB01D" w14:textId="77777777" w:rsidR="00571A3D" w:rsidRDefault="00571A3D" w:rsidP="00571A3D">
      <w:pPr>
        <w:pStyle w:val="Heading4"/>
        <w:spacing w:line="480" w:lineRule="auto"/>
        <w:rPr>
          <w:rFonts w:cs="Times New Roman"/>
        </w:rPr>
      </w:pPr>
      <w:r>
        <w:rPr>
          <w:rFonts w:cs="Times New Roman"/>
        </w:rPr>
        <w:t xml:space="preserve">[Gatwiri et al] First, PRIVATISATION: </w:t>
      </w:r>
      <w:r w:rsidRPr="00DD3C93">
        <w:rPr>
          <w:rFonts w:cs="Times New Roman"/>
          <w:b w:val="0"/>
          <w:bCs w:val="0"/>
        </w:rPr>
        <w:t>The aff’s rhetoric of helping developing economies is the Trojan Horse for privatization which destroys healthcare and is a vehicle for imperialism –</w:t>
      </w:r>
      <w:r>
        <w:rPr>
          <w:rFonts w:cs="Times New Roman"/>
          <w:b w:val="0"/>
          <w:bCs w:val="0"/>
        </w:rPr>
        <w:t xml:space="preserve"> </w:t>
      </w:r>
      <w:r w:rsidRPr="00DD3C93">
        <w:rPr>
          <w:rFonts w:cs="Times New Roman"/>
        </w:rPr>
        <w:t>Africa proves.</w:t>
      </w:r>
      <w:r>
        <w:rPr>
          <w:rFonts w:cs="Times New Roman"/>
        </w:rPr>
        <w:t xml:space="preserve"> </w:t>
      </w:r>
    </w:p>
    <w:p w14:paraId="7033F2DE" w14:textId="77777777" w:rsidR="00571A3D" w:rsidRDefault="00571A3D" w:rsidP="00571A3D">
      <w:pPr>
        <w:rPr>
          <w:i/>
          <w:iCs/>
          <w:sz w:val="16"/>
        </w:rPr>
      </w:pPr>
      <w:r>
        <w:rPr>
          <w:b/>
          <w:bCs/>
          <w:u w:val="single"/>
        </w:rPr>
        <w:t xml:space="preserve">Gatwiri et al: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13F9208B" w14:textId="77777777" w:rsidR="00571A3D" w:rsidRPr="00DD3C93" w:rsidRDefault="00571A3D" w:rsidP="00571A3D"/>
    <w:p w14:paraId="57622B91" w14:textId="77777777" w:rsidR="00571A3D" w:rsidRPr="00B12BA8" w:rsidRDefault="00571A3D" w:rsidP="00571A3D">
      <w:pPr>
        <w:spacing w:line="480" w:lineRule="auto"/>
        <w:jc w:val="both"/>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 focus on production</w:t>
      </w:r>
      <w:r w:rsidRPr="00B12BA8">
        <w:rPr>
          <w:rStyle w:val="StyleUnderline"/>
        </w:rPr>
        <w:t xml:space="preserve"> of labour </w:t>
      </w:r>
      <w:r w:rsidRPr="000774B9">
        <w:rPr>
          <w:rStyle w:val="StyleUnderline"/>
          <w:highlight w:val="yellow"/>
        </w:rPr>
        <w:t>and little on the health</w:t>
      </w:r>
      <w:r w:rsidRPr="00B12BA8">
        <w:rPr>
          <w:rStyle w:val="StyleUnderline"/>
        </w:rPr>
        <w:t xml:space="preserve"> and wellbeing of the “producers” of the said labour. Globally, the rolling out of neoliberal policies has led to a plethora of harmful socioeconomic consequences, including increased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has a harmful impact on people’s health and wellbeing. </w:t>
      </w:r>
      <w:r w:rsidRPr="000774B9">
        <w:rPr>
          <w:rStyle w:val="StyleUnderline"/>
          <w:highlight w:val="yellow"/>
        </w:rPr>
        <w:t>The</w:t>
      </w:r>
      <w:r w:rsidRPr="00B12BA8">
        <w:rPr>
          <w:rStyle w:val="StyleUnderline"/>
        </w:rPr>
        <w:t xml:space="preserve"> biggest conceptual challenge is </w:t>
      </w:r>
      <w:r w:rsidRPr="00DC06C0">
        <w:rPr>
          <w:rStyle w:val="StyleUnderline"/>
        </w:rPr>
        <w:t xml:space="preserve">that </w:t>
      </w:r>
      <w:r w:rsidRPr="000774B9">
        <w:rPr>
          <w:rStyle w:val="StyleUnderline"/>
          <w:highlight w:val="yellow"/>
        </w:rPr>
        <w:t>neoliberal ideology adopts the language of freedom</w:t>
      </w:r>
      <w:r w:rsidRPr="00B12BA8">
        <w:rPr>
          <w:rStyle w:val="StyleUnderline"/>
        </w:rPr>
        <w:t xml:space="preserve"> and choice, </w:t>
      </w:r>
      <w:r w:rsidRPr="000774B9">
        <w:rPr>
          <w:rStyle w:val="StyleUnderline"/>
          <w:highlight w:val="yellow"/>
        </w:rPr>
        <w:t>increased foreign investments, and open markets and trade to progress policies that lead to privatisation of basic needs</w:t>
      </w:r>
      <w:r w:rsidRPr="00B12BA8">
        <w:rPr>
          <w:rStyle w:val="StyleUnderline"/>
        </w:rPr>
        <w:t xml:space="preserve"> such as education, healthcare, water, electricity and housing. The rich can often afford these services </w:t>
      </w:r>
      <w:r w:rsidRPr="00B12BA8">
        <w:rPr>
          <w:rStyle w:val="StyleUnderline"/>
        </w:rPr>
        <w:lastRenderedPageBreak/>
        <w:t>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 public health</w:t>
      </w:r>
      <w:r w:rsidRPr="00B12BA8">
        <w:rPr>
          <w:rStyle w:val="StyleUnderline"/>
        </w:rPr>
        <w:t xml:space="preserve"> space in the last two decades. Most sub-Saharan African countries drastically reduced their healthcare budgets following the International Monetary Fund (IMF) and the World Bank Structural Adjustment programs (SAPs) directives. As Hartmann (2016, p. 2146) wrote, </w:t>
      </w:r>
      <w:r w:rsidRPr="000774B9">
        <w:rPr>
          <w:rStyle w:val="StyleUnderline"/>
          <w:highlight w:val="yellow"/>
        </w:rPr>
        <w:t>it “decentralized health care decision-making and funding, resulting in wide-scale privatization of health care services</w:t>
      </w:r>
      <w:r w:rsidRPr="00B12BA8">
        <w:rPr>
          <w:rStyle w:val="StyleUnderline"/>
        </w:rPr>
        <w:t>, delivery, and insurance, which led to structural segmentation and fragmentation.” SAPs have had myriad negative impacts on African economies, including, but not limited to, “inflationary pressures</w:t>
      </w:r>
      <w:r w:rsidRPr="000774B9">
        <w:rPr>
          <w:rStyle w:val="StyleUnderline"/>
          <w:highlight w:val="yellow"/>
        </w:rPr>
        <w:t>, the marginalization of the poor</w:t>
      </w:r>
      <w:r w:rsidRPr="00B12BA8">
        <w:rPr>
          <w:rStyle w:val="StyleUnderline"/>
        </w:rPr>
        <w:t xml:space="preserve"> in the distribution of educational and health benefits </w:t>
      </w:r>
      <w:r w:rsidRPr="000774B9">
        <w:rPr>
          <w:rStyle w:val="StyleUnderline"/>
          <w:highlight w:val="yellow"/>
        </w:rPr>
        <w:t>and a reduction in employment</w:t>
      </w:r>
      <w:r w:rsidRPr="00B12BA8">
        <w:rPr>
          <w:rStyle w:val="StyleUnderline"/>
        </w:rPr>
        <w:t>”</w:t>
      </w:r>
      <w:r w:rsidRPr="00B12BA8">
        <w:rPr>
          <w:sz w:val="16"/>
        </w:rPr>
        <w:t xml:space="preserve"> (Rono 2002, p. 84).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resources available. </w:t>
      </w:r>
      <w:r w:rsidRPr="000774B9">
        <w:rPr>
          <w:rStyle w:val="StyleUnderline"/>
          <w:highlight w:val="yellow"/>
        </w:rPr>
        <w:t>The increased number of private healthcare organisation</w:t>
      </w:r>
      <w:r w:rsidRPr="00B12BA8">
        <w:rPr>
          <w:rStyle w:val="StyleUnderline"/>
        </w:rPr>
        <w:t xml:space="preserve">s, coupled with a significant reduction in the role of government in the provision of healthcare services, </w:t>
      </w:r>
      <w:r w:rsidRPr="000774B9">
        <w:rPr>
          <w:rStyle w:val="StyleUnderline"/>
          <w:highlight w:val="yellow"/>
        </w:rPr>
        <w:t>contributed to extensive negative outcomes on the quality</w:t>
      </w:r>
      <w:r w:rsidRPr="00B12BA8">
        <w:rPr>
          <w:rStyle w:val="StyleUnderline"/>
        </w:rPr>
        <w:t xml:space="preserve">, effectiveness, cost </w:t>
      </w:r>
      <w:r w:rsidRPr="000774B9">
        <w:rPr>
          <w:rStyle w:val="StyleUnderline"/>
          <w:highlight w:val="yellow"/>
        </w:rPr>
        <w:t>and access of health systems</w:t>
      </w:r>
      <w:r w:rsidRPr="00B12BA8">
        <w:rPr>
          <w:rStyle w:val="StyleUnderline"/>
        </w:rPr>
        <w:t xml:space="preserve"> and services, which severely impacted on people’s wellbeing.</w:t>
      </w:r>
      <w:r w:rsidRPr="00B12BA8">
        <w:rPr>
          <w:sz w:val="16"/>
        </w:rPr>
        <w:t xml:space="preserve"> Rotarou and Sakellariou (2017, p. 497) state that the private institutions, “with their focus on increasing profits, and not on providing affordable and good-quality healthcare,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w:t>
      </w:r>
      <w:r w:rsidRPr="00B12BA8">
        <w:rPr>
          <w:sz w:val="16"/>
        </w:rPr>
        <w:lastRenderedPageBreak/>
        <w:t xml:space="preserve">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 for Africans by appropriating</w:t>
      </w:r>
      <w:r w:rsidRPr="00B12BA8">
        <w:rPr>
          <w:rStyle w:val="StyleUnderline"/>
        </w:rPr>
        <w:t xml:space="preserve"> the language of </w:t>
      </w:r>
      <w:r w:rsidRPr="000774B9">
        <w:rPr>
          <w:rStyle w:val="StyleUnderline"/>
          <w:highlight w:val="yellow"/>
        </w:rPr>
        <w:t>care</w:t>
      </w:r>
      <w:r w:rsidRPr="00B12BA8">
        <w:rPr>
          <w:rStyle w:val="StyleUnderline"/>
        </w:rPr>
        <w:t xml:space="preserve"> and inclusion. In reality, </w:t>
      </w:r>
      <w:r w:rsidRPr="000774B9">
        <w:rPr>
          <w:rStyle w:val="StyleUnderline"/>
          <w:highlight w:val="yellow"/>
        </w:rPr>
        <w:t>this “white saviour approach” is layered with nothing but racism, disempowerment, exploitation of people, and exclusion</w:t>
      </w:r>
      <w:r w:rsidRPr="00B12BA8">
        <w:rPr>
          <w:rStyle w:val="StyleUnderline"/>
        </w:rPr>
        <w:t xml:space="preserve"> of those who cannot afford those “privatised” services.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6C2E46EB" w14:textId="77777777" w:rsidR="00571A3D" w:rsidRDefault="00571A3D" w:rsidP="00571A3D">
      <w:pPr>
        <w:spacing w:line="480" w:lineRule="auto"/>
        <w:ind w:right="-720"/>
        <w:rPr>
          <w:sz w:val="16"/>
        </w:rPr>
      </w:pPr>
    </w:p>
    <w:p w14:paraId="46639F21" w14:textId="77777777" w:rsidR="00571A3D" w:rsidRPr="008A215A" w:rsidRDefault="00571A3D" w:rsidP="00571A3D">
      <w:pPr>
        <w:pStyle w:val="Heading4"/>
        <w:spacing w:line="480" w:lineRule="auto"/>
        <w:rPr>
          <w:rFonts w:cs="Calibri"/>
        </w:rPr>
      </w:pPr>
      <w:r>
        <w:rPr>
          <w:rFonts w:cs="Calibri"/>
        </w:rPr>
        <w:t>[da Silva] Second, UNEQUAL DISTRUBUTION:</w:t>
      </w:r>
      <w:r w:rsidRPr="008A215A">
        <w:rPr>
          <w:rFonts w:cs="Calibri"/>
        </w:rPr>
        <w:t xml:space="preserve"> </w:t>
      </w:r>
      <w:r w:rsidRPr="001F75A5">
        <w:rPr>
          <w:rFonts w:cs="Calibri"/>
          <w:b w:val="0"/>
          <w:bCs w:val="0"/>
        </w:rPr>
        <w:t>they refuse to consider how the so-called “benefits” of the aff will be distributed unequally and along racial lines.</w:t>
      </w:r>
    </w:p>
    <w:p w14:paraId="76DC9545" w14:textId="77777777" w:rsidR="00571A3D" w:rsidRPr="001F75A5" w:rsidRDefault="00571A3D" w:rsidP="00571A3D">
      <w:pPr>
        <w:rPr>
          <w:rFonts w:cs="Calibri"/>
          <w:sz w:val="16"/>
        </w:rPr>
      </w:pPr>
      <w:r>
        <w:rPr>
          <w:rFonts w:cs="Calibri"/>
          <w:b/>
          <w:bCs/>
          <w:u w:val="single"/>
        </w:rPr>
        <w:t xml:space="preserve">da Silva: </w:t>
      </w:r>
      <w:r w:rsidRPr="001F75A5">
        <w:rPr>
          <w:rFonts w:cs="Calibri"/>
          <w:sz w:val="16"/>
        </w:rPr>
        <w:t xml:space="preserve">da Silva, Denis [Professor and Director of the Institute for Gender, Race, Sexuality, and Social Justice at the University of British Columbia, University of Minnesota Press,] “Toward a Global Idea of Race”, </w:t>
      </w:r>
      <w:hyperlink r:id="rId10" w:history="1">
        <w:r w:rsidRPr="001F75A5">
          <w:rPr>
            <w:rStyle w:val="Hyperlink"/>
            <w:rFonts w:cs="Calibri"/>
            <w:sz w:val="16"/>
          </w:rPr>
          <w:t>https://www.upress.umn.edu/book-division/books/toward-a-global-idea-of-race</w:t>
        </w:r>
      </w:hyperlink>
      <w:r w:rsidRPr="001F75A5">
        <w:rPr>
          <w:rFonts w:cs="Calibri"/>
          <w:sz w:val="16"/>
        </w:rPr>
        <w:t>, 2007 VD</w:t>
      </w:r>
    </w:p>
    <w:p w14:paraId="07576192" w14:textId="77777777" w:rsidR="00571A3D" w:rsidRPr="008A215A" w:rsidRDefault="00571A3D" w:rsidP="00571A3D">
      <w:pPr>
        <w:rPr>
          <w:rStyle w:val="Style13ptBold"/>
          <w:rFonts w:cs="Calibri"/>
          <w:b w:val="0"/>
          <w:bCs/>
        </w:rPr>
      </w:pPr>
    </w:p>
    <w:p w14:paraId="3E46C7ED" w14:textId="77777777" w:rsidR="00571A3D" w:rsidRPr="001F75A5" w:rsidRDefault="00571A3D" w:rsidP="00571A3D">
      <w:pPr>
        <w:spacing w:line="480" w:lineRule="auto"/>
        <w:jc w:val="both"/>
        <w:rPr>
          <w:rFonts w:cs="Calibri"/>
          <w:u w:val="single"/>
        </w:rPr>
      </w:pPr>
      <w:r w:rsidRPr="001F75A5">
        <w:rPr>
          <w:rFonts w:cs="Calibri"/>
          <w:sz w:val="16"/>
        </w:rPr>
        <w:t xml:space="preserve">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 </w:t>
      </w:r>
      <w:r w:rsidRPr="001F75A5">
        <w:rPr>
          <w:rFonts w:cs="Calibri"/>
          <w:b/>
          <w:bCs/>
          <w:u w:val="single"/>
        </w:rPr>
        <w:t xml:space="preserve">Any impulse to celebrate this “emancipation” from the (racial) body dies when one learns </w:t>
      </w:r>
      <w:r w:rsidRPr="001F75A5">
        <w:rPr>
          <w:rFonts w:cs="Calibri"/>
          <w:b/>
          <w:bCs/>
          <w:u w:val="single"/>
        </w:rPr>
        <w:lastRenderedPageBreak/>
        <w:t xml:space="preserve">the answer to the question of how biotechnology ushers liberation from race in Gilroy’s interpretation of “the tragic story of </w:t>
      </w:r>
      <w:r w:rsidRPr="000774B9">
        <w:rPr>
          <w:rFonts w:cs="Calibri"/>
          <w:b/>
          <w:bCs/>
          <w:highlight w:val="yellow"/>
          <w:u w:val="single"/>
        </w:rPr>
        <w:t>Henrietta Lacks,” a working -class U.S. black woman whose cervical cells have been crucial to the advancement of cancer research</w:t>
      </w:r>
      <w:r w:rsidRPr="001F75A5">
        <w:rPr>
          <w:rFonts w:cs="Calibri"/>
          <w:b/>
          <w:bCs/>
          <w:u w:val="single"/>
        </w:rPr>
        <w:t xml:space="preserve">, which exemplifies the passage from the “biopolitics of ‘race’” to “nano -politics.” For Gilroy, </w:t>
      </w:r>
      <w:r w:rsidRPr="000774B9">
        <w:rPr>
          <w:rFonts w:cs="Calibri"/>
          <w:b/>
          <w:bCs/>
          <w:highlight w:val="yellow"/>
          <w:u w:val="single"/>
        </w:rPr>
        <w:t>the fact that her blackness is irrelevant to medical research</w:t>
      </w:r>
      <w:r w:rsidRPr="001F75A5">
        <w:rPr>
          <w:rFonts w:cs="Calibri"/>
          <w:b/>
          <w:bCs/>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0774B9">
        <w:rPr>
          <w:rFonts w:cs="Calibri"/>
          <w:b/>
          <w:bCs/>
          <w:highlight w:val="yellow"/>
          <w:u w:val="single"/>
        </w:rPr>
        <w:t>the irony of how humanist desire needs science</w:t>
      </w:r>
      <w:r w:rsidRPr="001F75A5">
        <w:rPr>
          <w:rFonts w:cs="Calibri"/>
          <w:b/>
          <w:bCs/>
          <w:u w:val="single"/>
        </w:rPr>
        <w:t xml:space="preserve"> (genetics) </w:t>
      </w:r>
      <w:r w:rsidRPr="000774B9">
        <w:rPr>
          <w:rFonts w:cs="Calibri"/>
          <w:b/>
          <w:bCs/>
          <w:highlight w:val="yellow"/>
          <w:u w:val="single"/>
        </w:rPr>
        <w:t>to</w:t>
      </w:r>
      <w:r w:rsidRPr="001F75A5">
        <w:rPr>
          <w:rFonts w:cs="Calibri"/>
          <w:b/>
          <w:bCs/>
          <w:u w:val="single"/>
        </w:rPr>
        <w:t xml:space="preserve"> once again </w:t>
      </w:r>
      <w:r w:rsidRPr="000774B9">
        <w:rPr>
          <w:rFonts w:cs="Calibri"/>
          <w:b/>
          <w:bCs/>
          <w:highlight w:val="yellow"/>
          <w:u w:val="single"/>
        </w:rPr>
        <w:t>denounce race’s scientific irrelevance</w:t>
      </w:r>
      <w:r w:rsidRPr="001F75A5">
        <w:rPr>
          <w:rFonts w:cs="Calibri"/>
          <w:b/>
          <w:bCs/>
          <w:u w:val="single"/>
        </w:rPr>
        <w:t>.</w:t>
      </w:r>
      <w:r w:rsidRPr="001F75A5">
        <w:rPr>
          <w:rFonts w:cs="Calibri"/>
          <w:b/>
          <w:bCs/>
          <w:sz w:val="16"/>
        </w:rPr>
        <w:t xml:space="preserve"> </w:t>
      </w:r>
      <w:r w:rsidRPr="001F75A5">
        <w:rPr>
          <w:sz w:val="16"/>
          <w:szCs w:val="16"/>
        </w:rPr>
        <w:t xml:space="preserve">But it is more interesting, I think, to point to how this desire cannot reduce or sublate the materiality (body and social position) of the economically dispossessed black female, which </w:t>
      </w:r>
      <w:r w:rsidRPr="001F75A5">
        <w:rPr>
          <w:rFonts w:cs="Calibri"/>
          <w:sz w:val="16"/>
        </w:rPr>
        <w:t xml:space="preserve">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 </w:t>
      </w:r>
      <w:r w:rsidRPr="001F75A5">
        <w:rPr>
          <w:rFonts w:cs="Calibri"/>
          <w:b/>
          <w:bCs/>
          <w:u w:val="single"/>
        </w:rPr>
        <w:t xml:space="preserve">Not only does </w:t>
      </w:r>
      <w:r w:rsidRPr="000774B9">
        <w:rPr>
          <w:rFonts w:cs="Calibri"/>
          <w:b/>
          <w:bCs/>
          <w:highlight w:val="yellow"/>
          <w:u w:val="single"/>
        </w:rPr>
        <w:t>her femaleness place Henrietta</w:t>
      </w:r>
      <w:r w:rsidRPr="001F75A5">
        <w:rPr>
          <w:rFonts w:cs="Calibri"/>
          <w:b/>
          <w:bCs/>
          <w:u w:val="single"/>
        </w:rPr>
        <w:t xml:space="preserve"> Lacks </w:t>
      </w:r>
      <w:r w:rsidRPr="000774B9">
        <w:rPr>
          <w:rFonts w:cs="Calibri"/>
          <w:b/>
          <w:bCs/>
          <w:highlight w:val="yellow"/>
          <w:u w:val="single"/>
        </w:rPr>
        <w:t>under patriarchal</w:t>
      </w:r>
      <w:r w:rsidRPr="001F75A5">
        <w:rPr>
          <w:rFonts w:cs="Calibri"/>
          <w:b/>
          <w:bCs/>
          <w:u w:val="single"/>
        </w:rPr>
        <w:t xml:space="preserve"> (divine or natural) </w:t>
      </w:r>
      <w:r w:rsidRPr="000774B9">
        <w:rPr>
          <w:rFonts w:cs="Calibri"/>
          <w:b/>
          <w:bCs/>
          <w:highlight w:val="yellow"/>
          <w:u w:val="single"/>
        </w:rPr>
        <w:t>law, away from the</w:t>
      </w:r>
      <w:r w:rsidRPr="001F75A5">
        <w:rPr>
          <w:rFonts w:cs="Calibri"/>
          <w:b/>
          <w:bCs/>
          <w:u w:val="single"/>
        </w:rPr>
        <w:t xml:space="preserve"> domain of the </w:t>
      </w:r>
      <w:r w:rsidRPr="000774B9">
        <w:rPr>
          <w:rFonts w:cs="Calibri"/>
          <w:b/>
          <w:bCs/>
          <w:highlight w:val="yellow"/>
          <w:u w:val="single"/>
        </w:rPr>
        <w:t>laws of the body politic. Her blackness</w:t>
      </w:r>
      <w:r w:rsidRPr="001F75A5">
        <w:rPr>
          <w:rFonts w:cs="Calibri"/>
          <w:b/>
          <w:bCs/>
          <w:u w:val="single"/>
        </w:rPr>
        <w:t xml:space="preserve"> also </w:t>
      </w:r>
      <w:r w:rsidRPr="000774B9">
        <w:rPr>
          <w:rFonts w:cs="Calibri"/>
          <w:b/>
          <w:bCs/>
          <w:highlight w:val="yellow"/>
          <w:u w:val="single"/>
        </w:rPr>
        <w:t>produces her as radically distinct from the kind of subject presumed in</w:t>
      </w:r>
      <w:r w:rsidRPr="001F75A5">
        <w:rPr>
          <w:rFonts w:cs="Calibri"/>
          <w:b/>
          <w:bCs/>
          <w:u w:val="single"/>
        </w:rPr>
        <w:t xml:space="preserve"> the </w:t>
      </w:r>
      <w:r w:rsidRPr="000774B9">
        <w:rPr>
          <w:rFonts w:cs="Calibri"/>
          <w:b/>
          <w:bCs/>
          <w:highlight w:val="yellow"/>
          <w:u w:val="single"/>
        </w:rPr>
        <w:t>ethical principles</w:t>
      </w:r>
      <w:r w:rsidRPr="001F75A5">
        <w:rPr>
          <w:rFonts w:cs="Calibri"/>
          <w:b/>
          <w:bCs/>
          <w:u w:val="single"/>
        </w:rPr>
        <w:t xml:space="preserve"> governing modern social configurations</w:t>
      </w:r>
      <w:r w:rsidRPr="001F75A5">
        <w:rPr>
          <w:rFonts w:cs="Calibri"/>
          <w:u w:val="single"/>
        </w:rPr>
        <w:t>.</w:t>
      </w:r>
      <w:r w:rsidRPr="001F75A5">
        <w:rPr>
          <w:rFonts w:cs="Calibri"/>
          <w:sz w:val="16"/>
        </w:rPr>
        <w:t xml:space="preserve"> 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 </w:t>
      </w:r>
      <w:r w:rsidRPr="001F75A5">
        <w:rPr>
          <w:rFonts w:cs="Calibri"/>
          <w:b/>
          <w:bCs/>
          <w:u w:val="single"/>
        </w:rPr>
        <w:t xml:space="preserve">This is not because </w:t>
      </w:r>
      <w:r w:rsidRPr="000774B9">
        <w:rPr>
          <w:rFonts w:cs="Calibri"/>
          <w:b/>
          <w:bCs/>
          <w:highlight w:val="yellow"/>
          <w:u w:val="single"/>
        </w:rPr>
        <w:t>blackness</w:t>
      </w:r>
      <w:r w:rsidRPr="001F75A5">
        <w:rPr>
          <w:rFonts w:cs="Calibri"/>
          <w:b/>
          <w:bCs/>
          <w:u w:val="single"/>
        </w:rPr>
        <w:t xml:space="preserve"> determines the kind of cells that will grow in their bodies, but because it </w:t>
      </w:r>
      <w:r w:rsidRPr="000774B9">
        <w:rPr>
          <w:rFonts w:cs="Calibri"/>
          <w:b/>
          <w:bCs/>
          <w:highlight w:val="yellow"/>
          <w:u w:val="single"/>
        </w:rPr>
        <w:t>determines how they live with or die from cancer. That cancer cells do not indicate dark brown skin</w:t>
      </w:r>
      <w:r w:rsidRPr="001F75A5">
        <w:rPr>
          <w:rFonts w:cs="Calibri"/>
          <w:b/>
          <w:bCs/>
          <w:u w:val="single"/>
        </w:rPr>
        <w:t xml:space="preserve"> or flat </w:t>
      </w:r>
      <w:r w:rsidRPr="001F75A5">
        <w:rPr>
          <w:rFonts w:cs="Calibri"/>
          <w:b/>
          <w:bCs/>
          <w:u w:val="single"/>
        </w:rPr>
        <w:lastRenderedPageBreak/>
        <w:t xml:space="preserve">noses </w:t>
      </w:r>
      <w:r w:rsidRPr="000774B9">
        <w:rPr>
          <w:rFonts w:cs="Calibri"/>
          <w:b/>
          <w:bCs/>
          <w:highlight w:val="yellow"/>
          <w:u w:val="single"/>
        </w:rPr>
        <w:t>can be conceived</w:t>
      </w:r>
      <w:r w:rsidRPr="001F75A5">
        <w:rPr>
          <w:rFonts w:cs="Calibri"/>
          <w:b/>
          <w:bCs/>
          <w:u w:val="single"/>
        </w:rPr>
        <w:t xml:space="preserve"> of </w:t>
      </w:r>
      <w:r w:rsidRPr="000774B9">
        <w:rPr>
          <w:rFonts w:cs="Calibri"/>
          <w:b/>
          <w:bCs/>
          <w:highlight w:val="yellow"/>
          <w:u w:val="single"/>
        </w:rPr>
        <w:t>as emancipatory only if one forgets</w:t>
      </w:r>
      <w:r w:rsidRPr="001F75A5">
        <w:rPr>
          <w:rFonts w:cs="Calibri"/>
          <w:b/>
          <w:bCs/>
          <w:u w:val="single"/>
        </w:rPr>
        <w:t xml:space="preserve">, or minimizes, </w:t>
      </w:r>
      <w:r w:rsidRPr="000774B9">
        <w:rPr>
          <w:rFonts w:cs="Calibri"/>
          <w:b/>
          <w:bCs/>
          <w:highlight w:val="yellow"/>
          <w:u w:val="single"/>
        </w:rPr>
        <w:t>the political context within which</w:t>
      </w:r>
      <w:r w:rsidRPr="001F75A5">
        <w:rPr>
          <w:rFonts w:cs="Calibri"/>
          <w:b/>
          <w:bCs/>
          <w:u w:val="single"/>
        </w:rPr>
        <w:t xml:space="preserve"> lab materials will be collected and </w:t>
      </w:r>
      <w:r w:rsidRPr="000774B9">
        <w:rPr>
          <w:rFonts w:cs="Calibri"/>
          <w:b/>
          <w:bCs/>
          <w:highlight w:val="yellow"/>
          <w:u w:val="single"/>
        </w:rPr>
        <w:t>the benefits of biotechnological research will be distributed</w:t>
      </w:r>
      <w:r w:rsidRPr="001F75A5">
        <w:rPr>
          <w:rFonts w:cs="Calibri"/>
          <w:b/>
          <w:bCs/>
          <w:u w:val="single"/>
        </w:rPr>
        <w:t>.</w:t>
      </w:r>
      <w:r w:rsidRPr="001F75A5">
        <w:rPr>
          <w:rFonts w:cs="Calibri"/>
          <w:b/>
          <w:bCs/>
          <w:sz w:val="16"/>
        </w:rPr>
        <w:t xml:space="preserve"> </w:t>
      </w:r>
      <w:r w:rsidRPr="001F75A5">
        <w:rPr>
          <w:rFonts w:cs="Calibri"/>
          <w:sz w:val="16"/>
        </w:rPr>
        <w:t xml:space="preserve">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 </w:t>
      </w:r>
      <w:r w:rsidRPr="001F75A5">
        <w:rPr>
          <w:rFonts w:cs="Calibri"/>
          <w:b/>
          <w:bCs/>
          <w:u w:val="single"/>
        </w:rPr>
        <w:t>It requires a critique of modern thought that addresses scientific knowledge as a major productive site of power, one that addresses how the racial, the scientific signifier, produces social subjects who stand differentially before the institutions the transparency thesis sustains.</w:t>
      </w:r>
      <w:r w:rsidRPr="001F75A5">
        <w:rPr>
          <w:rFonts w:cs="Calibri"/>
          <w:sz w:val="16"/>
        </w:rPr>
        <w:t xml:space="preserve"> Perhaps it is evident now that the answer to the question of what lies behind the veil is more complicated than it appears to be. </w:t>
      </w:r>
      <w:r w:rsidRPr="001F75A5">
        <w:rPr>
          <w:rFonts w:cs="Calibri"/>
          <w:b/>
          <w:bCs/>
          <w:u w:val="single"/>
        </w:rPr>
        <w:t xml:space="preserve">At </w:t>
      </w:r>
      <w:r w:rsidRPr="000774B9">
        <w:rPr>
          <w:rFonts w:cs="Calibri"/>
          <w:b/>
          <w:bCs/>
          <w:highlight w:val="yellow"/>
          <w:u w:val="single"/>
        </w:rPr>
        <w:t>least for the economically dispossessed racialized gendered person for whom</w:t>
      </w:r>
      <w:r w:rsidRPr="001F75A5">
        <w:rPr>
          <w:rFonts w:cs="Calibri"/>
          <w:b/>
          <w:bCs/>
          <w:u w:val="single"/>
        </w:rPr>
        <w:t xml:space="preserve">, as for Henrietta Lacks, </w:t>
      </w:r>
      <w:r w:rsidRPr="000774B9">
        <w:rPr>
          <w:rFonts w:cs="Calibri"/>
          <w:b/>
          <w:bCs/>
          <w:highlight w:val="yellow"/>
          <w:u w:val="single"/>
        </w:rPr>
        <w:t>physical death is only the most evident effect of the post -Enlightenment desire for transparency and the</w:t>
      </w:r>
      <w:r w:rsidRPr="001F75A5">
        <w:rPr>
          <w:rFonts w:cs="Calibri"/>
          <w:b/>
          <w:bCs/>
          <w:u w:val="single"/>
        </w:rPr>
        <w:t xml:space="preserve"> historical and </w:t>
      </w:r>
      <w:r w:rsidRPr="000774B9">
        <w:rPr>
          <w:rFonts w:cs="Calibri"/>
          <w:b/>
          <w:bCs/>
          <w:highlight w:val="yellow"/>
          <w:u w:val="single"/>
        </w:rPr>
        <w:t>scientific signifying strategies that (re)produce it</w:t>
      </w:r>
      <w:r w:rsidRPr="001F75A5">
        <w:rPr>
          <w:rFonts w:cs="Calibri"/>
          <w:b/>
          <w:bCs/>
          <w:u w:val="single"/>
        </w:rPr>
        <w:t>.</w:t>
      </w:r>
      <w:r w:rsidRPr="001F75A5">
        <w:rPr>
          <w:rFonts w:cs="Calibri"/>
          <w:sz w:val="16"/>
        </w:rPr>
        <w:t xml:space="preserve">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w:t>
      </w:r>
      <w:r w:rsidRPr="001F75A5">
        <w:rPr>
          <w:rFonts w:cs="Calibri"/>
          <w:b/>
          <w:bCs/>
          <w:u w:val="single"/>
        </w:rPr>
        <w:t>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3C70972E" w14:textId="77777777" w:rsidR="00571A3D" w:rsidRPr="003A2CE4" w:rsidRDefault="00571A3D" w:rsidP="00571A3D">
      <w:pPr>
        <w:pStyle w:val="Heading3"/>
      </w:pPr>
      <w:r>
        <w:lastRenderedPageBreak/>
        <w:t>Thus, C. Alternative</w:t>
      </w:r>
    </w:p>
    <w:p w14:paraId="46648F82" w14:textId="77777777" w:rsidR="00571A3D" w:rsidRPr="000D6672" w:rsidRDefault="00571A3D" w:rsidP="00571A3D">
      <w:pPr>
        <w:pStyle w:val="Heading4"/>
        <w:spacing w:line="480" w:lineRule="auto"/>
        <w:ind w:right="-720"/>
      </w:pPr>
      <w:r>
        <w:t xml:space="preserve">[Robinson] Reject the aff and replace it with Black Marxism, a negation of the negation of a world of racial capitalism. This means we call out the aff’s </w:t>
      </w:r>
      <w:r w:rsidRPr="00E5481D">
        <w:rPr>
          <w:i/>
          <w:iCs/>
        </w:rPr>
        <w:t>fram</w:t>
      </w:r>
      <w:r>
        <w:rPr>
          <w:i/>
          <w:iCs/>
        </w:rPr>
        <w:t xml:space="preserve">ing </w:t>
      </w:r>
      <w:r>
        <w:t>of IPPs as fundamentally racist – it’s not a question of policy, but of orientation.</w:t>
      </w:r>
    </w:p>
    <w:p w14:paraId="1AE2593A" w14:textId="77777777" w:rsidR="00571A3D" w:rsidRPr="000D6672" w:rsidRDefault="00571A3D" w:rsidP="00571A3D">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1" w:history="1">
        <w:r w:rsidRPr="00E445EF">
          <w:rPr>
            <w:rStyle w:val="Hyperlink"/>
            <w:sz w:val="16"/>
          </w:rPr>
          <w:t>https://www.jstor.org/stable/10.5149/9781469663746_robinson</w:t>
        </w:r>
      </w:hyperlink>
      <w:r>
        <w:rPr>
          <w:sz w:val="16"/>
        </w:rPr>
        <w:t xml:space="preserve"> </w:t>
      </w:r>
      <w:r w:rsidRPr="000D6672">
        <w:rPr>
          <w:sz w:val="16"/>
        </w:rPr>
        <w:t>GC</w:t>
      </w:r>
    </w:p>
    <w:p w14:paraId="7885C83B" w14:textId="77777777" w:rsidR="00571A3D" w:rsidRPr="000D6672" w:rsidRDefault="00571A3D" w:rsidP="00571A3D">
      <w:pPr>
        <w:ind w:right="-720"/>
      </w:pPr>
    </w:p>
    <w:p w14:paraId="3F5F682F" w14:textId="77777777" w:rsidR="00571A3D" w:rsidRPr="00211E53" w:rsidRDefault="00571A3D" w:rsidP="00571A3D">
      <w:pPr>
        <w:spacing w:line="480" w:lineRule="auto"/>
        <w:ind w:right="-720"/>
        <w:jc w:val="both"/>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 xml:space="preserve">interrelated </w:t>
      </w:r>
      <w:r w:rsidRPr="000774B9">
        <w:rPr>
          <w:b/>
          <w:bCs/>
          <w:highlight w:val="yellow"/>
          <w:u w:val="single"/>
        </w:rPr>
        <w:lastRenderedPageBreak/>
        <w:t>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14:paraId="4853893E" w14:textId="18FB27C3" w:rsidR="00571A3D" w:rsidRPr="00332CDC" w:rsidRDefault="00571A3D" w:rsidP="00571A3D">
      <w:pPr>
        <w:pStyle w:val="Heading2"/>
      </w:pPr>
      <w:r>
        <w:lastRenderedPageBreak/>
        <w:t>case</w:t>
      </w:r>
    </w:p>
    <w:p w14:paraId="47C4E085" w14:textId="77777777" w:rsidR="00571A3D" w:rsidRPr="00332CDC" w:rsidRDefault="00571A3D" w:rsidP="00571A3D">
      <w:pPr>
        <w:pStyle w:val="Heading4"/>
        <w:spacing w:line="480" w:lineRule="auto"/>
        <w:rPr>
          <w:rFonts w:cs="Times New Roman"/>
          <w:b w:val="0"/>
        </w:rPr>
      </w:pPr>
      <w:r w:rsidRPr="00332CDC">
        <w:rPr>
          <w:rFonts w:cs="Times New Roman"/>
        </w:rPr>
        <w:t xml:space="preserve">1. [James 2] First, </w:t>
      </w:r>
      <w:r w:rsidRPr="00332CDC">
        <w:rPr>
          <w:rFonts w:cs="Times New Roman"/>
          <w:b w:val="0"/>
        </w:rPr>
        <w:t>their narrative of “overcoming” PERPETUATES CYCLES OF OBJECTIFICATION, requiring a public performance for a spectator’s benefit.</w:t>
      </w:r>
    </w:p>
    <w:p w14:paraId="66E635B7" w14:textId="77777777" w:rsidR="00571A3D" w:rsidRPr="00332CDC" w:rsidRDefault="00571A3D" w:rsidP="00571A3D">
      <w:pPr>
        <w:rPr>
          <w:rStyle w:val="Style13ptBold"/>
          <w:b w:val="0"/>
          <w:szCs w:val="16"/>
        </w:rPr>
      </w:pPr>
      <w:r w:rsidRPr="00332CDC">
        <w:rPr>
          <w:rStyle w:val="StyleUnderline"/>
        </w:rPr>
        <w:t>James 2</w:t>
      </w:r>
      <w:r w:rsidRPr="00332CDC">
        <w:rPr>
          <w:rStyle w:val="StyleUnderline"/>
          <w:u w:val="none"/>
        </w:rPr>
        <w:t xml:space="preserve">: </w:t>
      </w:r>
      <w:r w:rsidRPr="00332CDC">
        <w:rPr>
          <w:rStyle w:val="StyleUnderline"/>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28A7A0CC" w14:textId="77777777" w:rsidR="00571A3D" w:rsidRPr="00332CDC" w:rsidRDefault="00571A3D" w:rsidP="00571A3D">
      <w:pPr>
        <w:rPr>
          <w:rStyle w:val="StyleUnderline"/>
          <w:b w:val="0"/>
          <w:u w:val="none"/>
        </w:rPr>
      </w:pPr>
    </w:p>
    <w:p w14:paraId="41D07A7E" w14:textId="77777777" w:rsidR="00571A3D" w:rsidRPr="00332CDC" w:rsidRDefault="00571A3D" w:rsidP="00571A3D">
      <w:pPr>
        <w:spacing w:line="480" w:lineRule="auto"/>
        <w:jc w:val="both"/>
        <w:rPr>
          <w:sz w:val="16"/>
        </w:rPr>
      </w:pPr>
      <w:r w:rsidRPr="00332CDC">
        <w:rPr>
          <w:sz w:val="16"/>
        </w:rPr>
        <w:t xml:space="preserve"> (d) </w:t>
      </w:r>
      <w:r w:rsidRPr="00332CDC">
        <w:rPr>
          <w:rStyle w:val="StyleUnderline"/>
        </w:rPr>
        <w:t>“Look, I Overcame!”</w:t>
      </w:r>
      <w:r w:rsidRPr="00332CDC">
        <w:rPr>
          <w:sz w:val="16"/>
        </w:rPr>
        <w:t xml:space="preserve"> </w:t>
      </w:r>
      <w:r w:rsidRPr="00332CDC">
        <w:rPr>
          <w:rStyle w:val="StyleUnderline"/>
        </w:rPr>
        <w:t xml:space="preserve">Resilience must be performed explicitly, legibly, and spectacularly. Overcoming is necessary, but insufficient; </w:t>
      </w:r>
      <w:r>
        <w:rPr>
          <w:rStyle w:val="StyleUnderline"/>
          <w:highlight w:val="yellow"/>
        </w:rPr>
        <w:t>t</w:t>
      </w:r>
      <w:r w:rsidRPr="00332CDC">
        <w:rPr>
          <w:rStyle w:val="StyleUnderline"/>
          <w:highlight w:val="yellow"/>
        </w:rPr>
        <w:t>o count</w:t>
      </w:r>
      <w:r w:rsidRPr="00332CDC">
        <w:rPr>
          <w:rStyle w:val="StyleUnderline"/>
        </w:rPr>
        <w:t xml:space="preserve"> and function </w:t>
      </w:r>
      <w:r w:rsidRPr="00332CDC">
        <w:rPr>
          <w:rStyle w:val="StyleUnderline"/>
          <w:highlight w:val="yellow"/>
        </w:rPr>
        <w:t>as resilience,</w:t>
      </w:r>
      <w:r w:rsidRPr="00332CDC">
        <w:rPr>
          <w:rStyle w:val="StyleUnderline"/>
        </w:rPr>
        <w:t xml:space="preserve"> this </w:t>
      </w:r>
      <w:r w:rsidRPr="00332CDC">
        <w:rPr>
          <w:rStyle w:val="StyleUnderline"/>
          <w:highlight w:val="yellow"/>
        </w:rPr>
        <w:t>overcoming must be accomplished in a visible or</w:t>
      </w:r>
      <w:r w:rsidRPr="00332CDC">
        <w:rPr>
          <w:rStyle w:val="StyleUnderline"/>
        </w:rPr>
        <w:t xml:space="preserve"> otherwise legible and </w:t>
      </w:r>
      <w:r w:rsidRPr="00332CDC">
        <w:rPr>
          <w:rStyle w:val="StyleUnderline"/>
          <w:highlight w:val="yellow"/>
        </w:rPr>
        <w:t>consumable manner. Overcoming is a type of “affective labor”</w:t>
      </w:r>
      <w:r w:rsidRPr="00332CDC">
        <w:rPr>
          <w:rStyle w:val="StyleUnderline"/>
        </w:rPr>
        <w:t xml:space="preserve"> which, as Steven Shaviro puts it, “is </w:t>
      </w:r>
      <w:r w:rsidRPr="00332CDC">
        <w:rPr>
          <w:rStyle w:val="StyleUnderline"/>
          <w:highlight w:val="yellow"/>
        </w:rPr>
        <w:t xml:space="preserve">productive only to the extent that it is </w:t>
      </w:r>
      <w:r w:rsidRPr="00332CDC">
        <w:rPr>
          <w:rStyle w:val="Emphasis"/>
          <w:highlight w:val="yellow"/>
        </w:rPr>
        <w:t>a public performance.</w:t>
      </w:r>
      <w:r w:rsidRPr="00332CDC">
        <w:rPr>
          <w:sz w:val="16"/>
        </w:rPr>
        <w:t xml:space="preserve"> It cannot unfold in the hidden depths; </w:t>
      </w:r>
      <w:r w:rsidRPr="00332CDC">
        <w:rPr>
          <w:rStyle w:val="Emphasis"/>
        </w:rPr>
        <w:t>it must be visible</w:t>
      </w:r>
      <w:r w:rsidRPr="00332CDC">
        <w:rPr>
          <w:sz w:val="16"/>
        </w:rPr>
        <w:t xml:space="preserve"> and audible” (PCA 49n33). In order to tune into feminine resilience and feed it back into its power supply, MRWaSP has to perceive it as such. “Look, I Overcame!” is the resilient subject’s maxim or mantra. Gender and race have always been “visible identities,” to use philosopher Linda Martin Alcoff’s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Pr>
          <w:rStyle w:val="StyleUnderline"/>
          <w:highlight w:val="yellow"/>
        </w:rPr>
        <w:t>i</w:t>
      </w:r>
      <w:r w:rsidRPr="00332CDC">
        <w:rPr>
          <w:rStyle w:val="StyleUnderline"/>
          <w:highlight w:val="yellow"/>
        </w:rPr>
        <w:t>n resilience discourse</w:t>
      </w:r>
      <w:r w:rsidRPr="00332CDC">
        <w:rPr>
          <w:rStyle w:val="StyleUnderline"/>
        </w:rPr>
        <w:t xml:space="preserve">, objectification isn’t an end but a means. </w:t>
      </w:r>
      <w:r>
        <w:rPr>
          <w:rStyle w:val="StyleUnderline"/>
          <w:highlight w:val="yellow"/>
        </w:rPr>
        <w:t>a</w:t>
      </w:r>
      <w:r w:rsidRPr="00332CDC">
        <w:rPr>
          <w:rStyle w:val="StyleUnderline"/>
          <w:highlight w:val="yellow"/>
        </w:rPr>
        <w:t xml:space="preserve">ny impediment posed by the damage wrought by the white/male gaze is a </w:t>
      </w:r>
      <w:r w:rsidRPr="00332CDC">
        <w:rPr>
          <w:rStyle w:val="Emphasis"/>
          <w:highlight w:val="yellow"/>
        </w:rPr>
        <w:t>necessary prerequisite</w:t>
      </w:r>
      <w:r w:rsidRPr="00332CDC">
        <w:rPr>
          <w:rStyle w:val="StyleUnderline"/>
          <w:highlight w:val="yellow"/>
        </w:rPr>
        <w:t xml:space="preserve"> for</w:t>
      </w:r>
      <w:r w:rsidRPr="00332CDC">
        <w:rPr>
          <w:rStyle w:val="StyleUnderline"/>
        </w:rPr>
        <w:t xml:space="preserve"> subjectivity, </w:t>
      </w:r>
      <w:r w:rsidRPr="00332CDC">
        <w:rPr>
          <w:rStyle w:val="StyleUnderline"/>
          <w:highlight w:val="yellow"/>
        </w:rPr>
        <w:t>agency, and</w:t>
      </w:r>
      <w:r w:rsidRPr="00332CDC">
        <w:rPr>
          <w:rStyle w:val="StyleUnderline"/>
        </w:rPr>
        <w:t xml:space="preserve"> mutual </w:t>
      </w:r>
      <w:r w:rsidRPr="00332CDC">
        <w:rPr>
          <w:rStyle w:val="StyleUnderline"/>
          <w:highlight w:val="yellow"/>
        </w:rPr>
        <w:t>recognition.</w:t>
      </w:r>
      <w:r w:rsidRPr="00332CDC">
        <w:rPr>
          <w:rStyle w:val="StyleUnderline"/>
        </w:rPr>
        <w:t xml:space="preserve"> In other words, being looked at isn’t an impediment, but a resource. </w:t>
      </w:r>
      <w:r w:rsidRPr="00332CDC">
        <w:rPr>
          <w:rStyle w:val="StyleUnderline"/>
          <w:highlight w:val="yellow"/>
        </w:rPr>
        <w:t xml:space="preserve">Resilience discourse </w:t>
      </w:r>
      <w:r w:rsidRPr="00332CDC">
        <w:rPr>
          <w:rStyle w:val="StyleUnderline"/>
          <w:highlight w:val="yellow"/>
        </w:rPr>
        <w:lastRenderedPageBreak/>
        <w:t>turns objectification</w:t>
      </w:r>
      <w:r w:rsidRPr="00332CDC">
        <w:rPr>
          <w:rStyle w:val="StyleUnderline"/>
        </w:rPr>
        <w:t xml:space="preserve"> (being looked at) </w:t>
      </w:r>
      <w:r w:rsidRPr="00332CDC">
        <w:rPr>
          <w:rStyle w:val="StyleUnderline"/>
          <w:highlight w:val="yellow"/>
        </w:rPr>
        <w:t>into a means of</w:t>
      </w:r>
      <w:r w:rsidRPr="00332CDC">
        <w:rPr>
          <w:rStyle w:val="StyleUnderline"/>
        </w:rPr>
        <w:t xml:space="preserve"> subjectification (</w:t>
      </w:r>
      <w:r w:rsidRPr="00332CDC">
        <w:rPr>
          <w:rStyle w:val="StyleUnderline"/>
          <w:highlight w:val="yellow"/>
        </w:rPr>
        <w:t>overcoming</w:t>
      </w:r>
      <w:r w:rsidRPr="00332CDC">
        <w:rPr>
          <w:rStyle w:val="StyleUnderline"/>
        </w:rPr>
        <w:t>)</w:t>
      </w:r>
      <w:r w:rsidRPr="00332CDC">
        <w:rPr>
          <w:rStyle w:val="StyleUnderline"/>
          <w:highlight w:val="yellow"/>
        </w:rPr>
        <w:t>.</w:t>
      </w:r>
      <w:r w:rsidRPr="00332CDC">
        <w:rPr>
          <w:sz w:val="16"/>
        </w:rPr>
        <w:t xml:space="preserve"> </w:t>
      </w:r>
      <w:r w:rsidRPr="00332CDC">
        <w:rPr>
          <w:rStyle w:val="StyleUnderline"/>
        </w:rPr>
        <w:t>It also makes looking even more efficient and profitable than simple objectification could ever be.</w:t>
      </w:r>
      <w:r w:rsidRPr="00332CDC">
        <w:rPr>
          <w:sz w:val="16"/>
        </w:rPr>
        <w:t xml:space="preserve"> Recognizing and affirming the affective labor of the resilient performer, </w:t>
      </w:r>
      <w:r>
        <w:rPr>
          <w:rStyle w:val="StyleUnderline"/>
          <w:highlight w:val="yellow"/>
        </w:rPr>
        <w:t>t</w:t>
      </w:r>
      <w:r w:rsidRPr="00332CDC">
        <w:rPr>
          <w:rStyle w:val="StyleUnderline"/>
          <w:highlight w:val="yellow"/>
        </w:rPr>
        <w:t>he spectator feeds the performer’s individual overcoming into a</w:t>
      </w:r>
      <w:r w:rsidRPr="00332CDC">
        <w:rPr>
          <w:rStyle w:val="StyleUnderline"/>
        </w:rPr>
        <w:t xml:space="preserve"> second-order </w:t>
      </w:r>
      <w:r w:rsidRPr="00332CDC">
        <w:rPr>
          <w:rStyle w:val="StyleUnderline"/>
          <w:highlight w:val="yellow"/>
        </w:rPr>
        <w:t>therapeutic narrative</w:t>
      </w:r>
      <w:r w:rsidRPr="00332CDC">
        <w:rPr>
          <w:rStyle w:val="StyleUnderline"/>
        </w:rPr>
        <w:t>: our approbation of her overcoming is evidence of our own overcoming of our past prejudices</w:t>
      </w:r>
      <w:r w:rsidRPr="00332CDC">
        <w:rPr>
          <w:rStyle w:val="StyleUnderline"/>
          <w:highlight w:val="yellow"/>
        </w:rPr>
        <w:t>.</w:t>
      </w:r>
      <w:r w:rsidRPr="00332CDC">
        <w:rPr>
          <w:sz w:val="16"/>
        </w:rPr>
        <w:t xml:space="preserve"> This spectator wants to be seen by a wider audience as someone who answers the resilient feminine subject’s hail, “Look, I Overcame!”. Just as individual feminine subjects use their resilience as proof of their own goodness, MRWaSP uses the resilience of its “good girls” as proof that they’re the “good guys”—that its social and ethical practices are truly just, and that we really mean it this time when we say everyone is equal. For example, the “resilience” of “our” women is often contrasted with the supposed “fragility” of ThirdWorld women of color. </w:t>
      </w:r>
    </w:p>
    <w:p w14:paraId="75F7F914" w14:textId="77777777" w:rsidR="00571A3D" w:rsidRPr="00332CDC" w:rsidRDefault="00571A3D" w:rsidP="00571A3D">
      <w:pPr>
        <w:spacing w:line="480" w:lineRule="auto"/>
        <w:rPr>
          <w:sz w:val="16"/>
        </w:rPr>
      </w:pPr>
    </w:p>
    <w:p w14:paraId="451B7524" w14:textId="77777777" w:rsidR="00571A3D" w:rsidRPr="00332CDC" w:rsidRDefault="00571A3D" w:rsidP="00571A3D">
      <w:pPr>
        <w:pStyle w:val="Heading4"/>
        <w:spacing w:line="480" w:lineRule="auto"/>
        <w:rPr>
          <w:rFonts w:cs="Times New Roman"/>
          <w:b w:val="0"/>
        </w:rPr>
      </w:pPr>
      <w:r w:rsidRPr="00332CDC">
        <w:rPr>
          <w:rFonts w:cs="Times New Roman"/>
        </w:rPr>
        <w:t xml:space="preserve">2. [James 3] Second, </w:t>
      </w:r>
      <w:r w:rsidRPr="00332CDC">
        <w:rPr>
          <w:rFonts w:cs="Times New Roman"/>
          <w:b w:val="0"/>
        </w:rPr>
        <w:t>since resilience requires something to overcome, the aff ENTRENCHES the harm they try to solve, linking Black people into an endless feedback loop of oppression.</w:t>
      </w:r>
    </w:p>
    <w:p w14:paraId="4969D01A" w14:textId="77777777" w:rsidR="00571A3D" w:rsidRPr="00332CDC" w:rsidRDefault="00571A3D" w:rsidP="00571A3D">
      <w:pPr>
        <w:rPr>
          <w:rStyle w:val="Style13ptBold"/>
          <w:b w:val="0"/>
          <w:szCs w:val="16"/>
        </w:rPr>
      </w:pPr>
      <w:r w:rsidRPr="00332CDC">
        <w:rPr>
          <w:rStyle w:val="StyleUnderline"/>
        </w:rPr>
        <w:t>James 3</w:t>
      </w:r>
      <w:r w:rsidRPr="00332CDC">
        <w:rPr>
          <w:rStyle w:val="StyleUnderline"/>
          <w:u w:val="none"/>
        </w:rPr>
        <w:t xml:space="preserve">: </w:t>
      </w:r>
      <w:r w:rsidRPr="00332CDC">
        <w:rPr>
          <w:rStyle w:val="StyleUnderline"/>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7B61501B" w14:textId="77777777" w:rsidR="00571A3D" w:rsidRPr="00332CDC" w:rsidRDefault="00571A3D" w:rsidP="00571A3D"/>
    <w:p w14:paraId="5F4B13C4" w14:textId="77777777" w:rsidR="00571A3D" w:rsidRPr="00332CDC" w:rsidRDefault="00571A3D" w:rsidP="00571A3D">
      <w:pPr>
        <w:spacing w:line="480" w:lineRule="auto"/>
        <w:jc w:val="both"/>
        <w:rPr>
          <w:rStyle w:val="StyleUnderline"/>
        </w:rPr>
      </w:pPr>
      <w:r w:rsidRPr="00332CDC">
        <w:rPr>
          <w:sz w:val="16"/>
        </w:rPr>
        <w:t xml:space="preserve">MRWaSP is deregulated, but it is also dynamic. Your social/political status in MRWaSP— is thus not taken as an immutable given (like a “born this way” social identity), but as the effect of an ongoing process—the process, as Lester Spence puts it, of being “formed according to market logic” (Spence 15). </w:t>
      </w:r>
      <w:r w:rsidRPr="00332CDC">
        <w:rPr>
          <w:rStyle w:val="StyleUnderline"/>
          <w:highlight w:val="yellow"/>
        </w:rPr>
        <w:t xml:space="preserve">MRWaSP doesn’t care so much who you are, but what happens </w:t>
      </w:r>
      <w:r w:rsidRPr="00332CDC">
        <w:rPr>
          <w:rStyle w:val="Emphasis"/>
          <w:highlight w:val="yellow"/>
        </w:rPr>
        <w:t>through</w:t>
      </w:r>
      <w:r w:rsidRPr="00332CDC">
        <w:rPr>
          <w:rStyle w:val="StyleUnderline"/>
          <w:highlight w:val="yellow"/>
        </w:rPr>
        <w:t xml:space="preserve"> you:</w:t>
      </w:r>
      <w:r w:rsidRPr="00332CDC">
        <w:rPr>
          <w:rStyle w:val="StyleUnderline"/>
        </w:rPr>
        <w:t xml:space="preserve"> that </w:t>
      </w:r>
      <w:r w:rsidRPr="00332CDC">
        <w:rPr>
          <w:rStyle w:val="StyleUnderline"/>
          <w:highlight w:val="yellow"/>
        </w:rPr>
        <w:t>investing in you furthers the aims of MRWaSP, and</w:t>
      </w:r>
      <w:r w:rsidRPr="00332CDC">
        <w:rPr>
          <w:sz w:val="16"/>
        </w:rPr>
        <w:t xml:space="preserve"> that these aims are not better accomplished by divesting your human capital. If the color line and the gender binary cut inside from outside, human from sub/non-human. </w:t>
      </w:r>
      <w:r w:rsidRPr="00332CDC">
        <w:rPr>
          <w:sz w:val="16"/>
          <w:highlight w:val="yellow"/>
        </w:rPr>
        <w:t>MRWaSP</w:t>
      </w:r>
      <w:r w:rsidRPr="00332CDC">
        <w:rPr>
          <w:sz w:val="16"/>
        </w:rPr>
        <w:t xml:space="preserve"> doesn’t so much cut a tine as</w:t>
      </w:r>
      <w:r w:rsidRPr="00332CDC">
        <w:rPr>
          <w:rStyle w:val="StyleUnderline"/>
          <w:sz w:val="16"/>
          <w:u w:val="none"/>
        </w:rPr>
        <w:t xml:space="preserve"> </w:t>
      </w:r>
      <w:r w:rsidRPr="00332CDC">
        <w:rPr>
          <w:rStyle w:val="StyleUnderline"/>
          <w:highlight w:val="yellow"/>
        </w:rPr>
        <w:t>create a feedback process</w:t>
      </w:r>
      <w:r w:rsidRPr="00332CDC">
        <w:rPr>
          <w:rStyle w:val="StyleUnderline"/>
        </w:rPr>
        <w:t xml:space="preserve">, one </w:t>
      </w:r>
      <w:r w:rsidRPr="00332CDC">
        <w:rPr>
          <w:rStyle w:val="StyleUnderline"/>
          <w:highlight w:val="yellow"/>
        </w:rPr>
        <w:t>that’s flexible</w:t>
      </w:r>
      <w:r w:rsidRPr="00332CDC">
        <w:rPr>
          <w:rStyle w:val="StyleUnderline"/>
        </w:rPr>
        <w:t xml:space="preserve">, tuneable, </w:t>
      </w:r>
      <w:r w:rsidRPr="00332CDC">
        <w:rPr>
          <w:rStyle w:val="StyleUnderline"/>
          <w:highlight w:val="yellow"/>
        </w:rPr>
        <w:t>and tweakable so that the white always get whiter and the black always get blacker</w:t>
      </w:r>
      <w:r w:rsidRPr="00332CDC">
        <w:rPr>
          <w:rStyle w:val="StyleUnderline"/>
        </w:rPr>
        <w:t>, so to speak</w:t>
      </w:r>
      <w:r w:rsidRPr="00332CDC">
        <w:rPr>
          <w:rStyle w:val="StyleUnderline"/>
          <w:highlight w:val="yellow"/>
        </w:rPr>
        <w:t>.</w:t>
      </w:r>
      <w:r w:rsidRPr="00332CDC">
        <w:rPr>
          <w:sz w:val="16"/>
        </w:rPr>
        <w:t xml:space="preserve"> Racialization, gendering, etc., these aren’t lines that cut but processes that distribute.14 </w:t>
      </w:r>
      <w:r w:rsidRPr="00332CDC">
        <w:rPr>
          <w:rStyle w:val="StyleUnderline"/>
          <w:highlight w:val="yellow"/>
        </w:rPr>
        <w:t>The process of resilience compounds past successes and past failures</w:t>
      </w:r>
      <w:r w:rsidRPr="00332CDC">
        <w:rPr>
          <w:rStyle w:val="StyleUnderline"/>
        </w:rPr>
        <w:t>, creating a probabilistic distribution of success and failure</w:t>
      </w:r>
      <w:r w:rsidRPr="00332CDC">
        <w:rPr>
          <w:rStyle w:val="StyleUnderline"/>
          <w:highlight w:val="yellow"/>
        </w:rPr>
        <w:t>.</w:t>
      </w:r>
      <w:r w:rsidRPr="00332CDC">
        <w:rPr>
          <w:rStyle w:val="StyleUnderline"/>
        </w:rPr>
        <w:t xml:space="preserve"> Your ability to bounce back from a </w:t>
      </w:r>
      <w:r w:rsidRPr="00332CDC">
        <w:rPr>
          <w:rStyle w:val="StyleUnderline"/>
        </w:rPr>
        <w:lastRenderedPageBreak/>
        <w:t>crisis depends on the resources at your disposal;</w:t>
      </w:r>
      <w:r w:rsidRPr="00332CDC">
        <w:rPr>
          <w:sz w:val="16"/>
        </w:rPr>
        <w:t xml:space="preserve"> these resources (i.e., your material and social situation) is the result of your response, or your family’s response, to past crises. So, the more resilient you and your family have been, the more resilient you are likely to be now and in the future. Because white supremacy, sexism, ableism, and so on all shape the background material and ideological conditions in which we all work, those who have the best odds of successfully demonstrating their resilience are the ones who have the most heavily stacked decks. Moreover, bourgeois, cis gendered, able-bodied people of color are generally the most resilient ones...in no small part because MRWaSP has to make fewer material and ideological compromises to let them in. Thus, though MRWaSP’s methods are dynamic, the overall distribution of power, bodies, domination, resources, and so on, that remains relatively consistent. The second half of the book discusses the relationship between resilience discourse, MRWaSP, and pop music in much greater detail; it focuses especially on the role of anti- blackness in ideals of resilient femininity. There I will argue that resilient femininity plays a very specific and central role in producing African Americans” as “the exceptions unable to be re-formed” by neoliberal market logic” (Spence 15). </w:t>
      </w:r>
      <w:r w:rsidRPr="00332CDC">
        <w:rPr>
          <w:rStyle w:val="StyleUnderline"/>
          <w:highlight w:val="yellow"/>
        </w:rPr>
        <w:t>MRWaSP is</w:t>
      </w:r>
      <w:r w:rsidRPr="00332CDC">
        <w:rPr>
          <w:rStyle w:val="StyleUnderline"/>
        </w:rPr>
        <w:t xml:space="preserve"> absolutely </w:t>
      </w:r>
      <w:r w:rsidRPr="00332CDC">
        <w:rPr>
          <w:rStyle w:val="StyleUnderline"/>
          <w:highlight w:val="yellow"/>
        </w:rPr>
        <w:t>anti-black</w:t>
      </w:r>
      <w:r w:rsidRPr="00332CDC">
        <w:rPr>
          <w:rStyle w:val="StyleUnderline"/>
        </w:rPr>
        <w:t xml:space="preserve"> anti-queer</w:t>
      </w:r>
      <w:r w:rsidRPr="00332CDC">
        <w:rPr>
          <w:rStyle w:val="StyleUnderline"/>
          <w:highlight w:val="yellow"/>
        </w:rPr>
        <w:t>,</w:t>
      </w:r>
      <w:r w:rsidRPr="00332CDC">
        <w:rPr>
          <w:rStyle w:val="StyleUnderline"/>
        </w:rPr>
        <w:t xml:space="preserve"> ableist, and misogynist. It Is </w:t>
      </w:r>
      <w:r w:rsidRPr="00332CDC">
        <w:rPr>
          <w:rStyle w:val="StyleUnderline"/>
          <w:highlight w:val="yellow"/>
        </w:rPr>
        <w:t>a strategy for producing blackness</w:t>
      </w:r>
      <w:r w:rsidRPr="00332CDC">
        <w:rPr>
          <w:rStyle w:val="StyleUnderline"/>
        </w:rPr>
        <w:t xml:space="preserve">, queerness, disability, and femininity </w:t>
      </w:r>
      <w:r w:rsidRPr="00332CDC">
        <w:rPr>
          <w:rStyle w:val="StyleUnderline"/>
          <w:highlight w:val="yellow"/>
        </w:rPr>
        <w:t>as mutually-intensifying feedback loops of precariousness</w:t>
      </w:r>
      <w:r w:rsidRPr="00332CDC">
        <w:rPr>
          <w:rStyle w:val="StyleUnderline"/>
        </w:rPr>
        <w:t>.</w:t>
      </w:r>
      <w:r w:rsidRPr="00332CDC">
        <w:rPr>
          <w:sz w:val="16"/>
        </w:rPr>
        <w:t>’5 Just think about the most vulnerable populations in the US: it’s usually queer people of color, people whose situations actively deny them the opportunities and resources necessary to profit from their own resilience.</w:t>
      </w:r>
      <w:r w:rsidRPr="00332CDC">
        <w:rPr>
          <w:u w:val="single"/>
        </w:rPr>
        <w:t xml:space="preserve"> </w:t>
      </w:r>
      <w:r w:rsidRPr="00332CDC">
        <w:rPr>
          <w:rStyle w:val="StyleUnderline"/>
          <w:highlight w:val="yellow"/>
        </w:rPr>
        <w:t>People in precarious situations are constantly bouncing back from adversity, but they don’t get to re-invest the surplus value they generate back into their own human capital.</w:t>
      </w:r>
      <w:r w:rsidRPr="00332CDC">
        <w:rPr>
          <w:rStyle w:val="StyleUnderline"/>
        </w:rPr>
        <w:t xml:space="preserve"> Femininity, blackness, queerness, disability, class— these have always been technologies for extracting unpaid surplus value (e.g., slavery, housework, commodified labor). MRWaSP just updates them to work in neoliberalism’s preferred mode: deregulation.</w:t>
      </w:r>
    </w:p>
    <w:p w14:paraId="39E2B662" w14:textId="77777777" w:rsidR="00181849" w:rsidRPr="00571A3D" w:rsidRDefault="00181849" w:rsidP="00571A3D"/>
    <w:sectPr w:rsidR="00181849" w:rsidRPr="00571A3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A758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1849"/>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4534"/>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1A3D"/>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A7580"/>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3FEE9"/>
  <w14:defaultImageDpi w14:val="300"/>
  <w15:docId w15:val="{581F41A2-3824-8943-B198-F457AF0B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3F453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F45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4534"/>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F45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3F453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F45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534"/>
  </w:style>
  <w:style w:type="character" w:customStyle="1" w:styleId="Heading1Char">
    <w:name w:val="Heading 1 Char"/>
    <w:aliases w:val="Pocket Char"/>
    <w:basedOn w:val="DefaultParagraphFont"/>
    <w:link w:val="Heading1"/>
    <w:uiPriority w:val="9"/>
    <w:rsid w:val="003F453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F4534"/>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F453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3F4534"/>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F4534"/>
    <w:rPr>
      <w:b/>
      <w:sz w:val="16"/>
      <w:u w:val="singl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F4534"/>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3F4534"/>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3F453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3F4534"/>
    <w:rPr>
      <w:color w:val="auto"/>
      <w:u w:val="none"/>
    </w:rPr>
  </w:style>
  <w:style w:type="paragraph" w:styleId="DocumentMap">
    <w:name w:val="Document Map"/>
    <w:basedOn w:val="Normal"/>
    <w:link w:val="DocumentMapChar"/>
    <w:uiPriority w:val="99"/>
    <w:semiHidden/>
    <w:unhideWhenUsed/>
    <w:rsid w:val="003F453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F4534"/>
    <w:rPr>
      <w:rFonts w:ascii="Lucida Grande" w:hAnsi="Lucida Grande" w:cs="Lucida Grande"/>
    </w:rPr>
  </w:style>
  <w:style w:type="paragraph" w:customStyle="1" w:styleId="textbold">
    <w:name w:val="text bold"/>
    <w:basedOn w:val="Normal"/>
    <w:link w:val="Emphasis"/>
    <w:uiPriority w:val="20"/>
    <w:qFormat/>
    <w:rsid w:val="00571A3D"/>
    <w:pPr>
      <w:ind w:left="720"/>
    </w:pPr>
    <w:rPr>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571A3D"/>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1"/>
    <w:qFormat/>
    <w:rsid w:val="00571A3D"/>
  </w:style>
  <w:style w:type="character" w:customStyle="1" w:styleId="TitleChar">
    <w:name w:val="Title Char"/>
    <w:aliases w:val="Cites and Cards Char,UNDERLINE Char,Bold Underlined Char,title Char"/>
    <w:basedOn w:val="DefaultParagraphFont"/>
    <w:link w:val="Title"/>
    <w:uiPriority w:val="6"/>
    <w:qFormat/>
    <w:rsid w:val="00571A3D"/>
    <w:rPr>
      <w:u w:val="single"/>
    </w:rPr>
  </w:style>
  <w:style w:type="paragraph" w:styleId="Title">
    <w:name w:val="Title"/>
    <w:aliases w:val="Cites and Cards,UNDERLINE,Bold Underlined,title"/>
    <w:basedOn w:val="Normal"/>
    <w:next w:val="Normal"/>
    <w:link w:val="TitleChar"/>
    <w:uiPriority w:val="6"/>
    <w:qFormat/>
    <w:rsid w:val="00571A3D"/>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571A3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10.5149/9781469663746_robinson" TargetMode="External"/><Relationship Id="rId5" Type="http://schemas.openxmlformats.org/officeDocument/2006/relationships/numbering" Target="numbering.xml"/><Relationship Id="rId10" Type="http://schemas.openxmlformats.org/officeDocument/2006/relationships/hyperlink" Target="https://www.upress.umn.edu/book-division/books/toward-a-global-idea-of-race" TargetMode="Externa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28</Pages>
  <Words>11404</Words>
  <Characters>65009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4</cp:revision>
  <dcterms:created xsi:type="dcterms:W3CDTF">2021-09-10T20:28:00Z</dcterms:created>
  <dcterms:modified xsi:type="dcterms:W3CDTF">2021-09-11T13:47:00Z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