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48770" w14:textId="430CCEE0" w:rsidR="005613E2" w:rsidRDefault="005613E2" w:rsidP="005613E2">
      <w:pPr>
        <w:pStyle w:val="Heading2"/>
      </w:pPr>
      <w:r>
        <w:t>T</w:t>
      </w:r>
    </w:p>
    <w:p w14:paraId="3B450CB9" w14:textId="77777777" w:rsidR="005613E2" w:rsidRDefault="005613E2" w:rsidP="005613E2">
      <w:pPr>
        <w:pStyle w:val="Heading4"/>
        <w:rPr>
          <w:b w:val="0"/>
          <w:bCs w:val="0"/>
        </w:rPr>
      </w:pPr>
      <w:r>
        <w:t xml:space="preserve">CI – </w:t>
      </w:r>
      <w:r>
        <w:rPr>
          <w:b w:val="0"/>
          <w:bCs w:val="0"/>
        </w:rPr>
        <w:t xml:space="preserve">affs may specify a reduction of IPP. </w:t>
      </w:r>
    </w:p>
    <w:p w14:paraId="6305DFAF" w14:textId="77777777" w:rsidR="005613E2" w:rsidRDefault="005613E2" w:rsidP="005613E2">
      <w:pPr>
        <w:pStyle w:val="Heading4"/>
        <w:spacing w:line="480" w:lineRule="auto"/>
      </w:pPr>
      <w:r>
        <w:t xml:space="preserve">1) I meet: </w:t>
      </w:r>
    </w:p>
    <w:p w14:paraId="73632B8A" w14:textId="77777777" w:rsidR="005613E2" w:rsidRDefault="005613E2" w:rsidP="005613E2">
      <w:pPr>
        <w:pStyle w:val="Heading4"/>
        <w:spacing w:line="480" w:lineRule="auto"/>
        <w:ind w:firstLine="720"/>
        <w:rPr>
          <w:b w:val="0"/>
          <w:bCs w:val="0"/>
        </w:rPr>
      </w:pPr>
      <w:r>
        <w:t xml:space="preserve">a) </w:t>
      </w:r>
      <w:r>
        <w:rPr>
          <w:b w:val="0"/>
          <w:bCs w:val="0"/>
        </w:rPr>
        <w:t xml:space="preserve">The plan defends a wholesale reduction of IPP on women’s medicine </w:t>
      </w:r>
    </w:p>
    <w:p w14:paraId="3E8A4DB6" w14:textId="77777777" w:rsidR="005613E2" w:rsidRPr="00D83AF1" w:rsidRDefault="005613E2" w:rsidP="005613E2">
      <w:pPr>
        <w:pStyle w:val="Heading4"/>
        <w:spacing w:line="480" w:lineRule="auto"/>
        <w:rPr>
          <w:b w:val="0"/>
          <w:bCs w:val="0"/>
        </w:rPr>
      </w:pPr>
      <w:r>
        <w:t xml:space="preserve">2) Silencing DA: </w:t>
      </w:r>
      <w:r>
        <w:rPr>
          <w:b w:val="0"/>
          <w:bCs w:val="0"/>
        </w:rPr>
        <w:t xml:space="preserve">cross apply Mike 1 – women face the brunt of the impact of patents so making the aff whole res pushes their struggles to the backburner – only the aff focuses on the real problem so we should get full education offense </w:t>
      </w:r>
    </w:p>
    <w:p w14:paraId="5AD40D44" w14:textId="77777777" w:rsidR="005613E2" w:rsidRDefault="005613E2" w:rsidP="005613E2">
      <w:pPr>
        <w:pStyle w:val="Heading4"/>
        <w:spacing w:line="480" w:lineRule="auto"/>
        <w:rPr>
          <w:b w:val="0"/>
          <w:bCs w:val="0"/>
        </w:rPr>
      </w:pPr>
      <w:r>
        <w:t xml:space="preserve">3) Functional Limits Check: </w:t>
      </w:r>
      <w:r>
        <w:rPr>
          <w:b w:val="0"/>
          <w:bCs w:val="0"/>
        </w:rPr>
        <w:t xml:space="preserve">I have a framework, inherency, and a solvency section </w:t>
      </w:r>
    </w:p>
    <w:p w14:paraId="140DD4DB" w14:textId="77777777" w:rsidR="005613E2" w:rsidRDefault="005613E2" w:rsidP="005613E2">
      <w:pPr>
        <w:pStyle w:val="Heading4"/>
        <w:spacing w:line="480" w:lineRule="auto"/>
        <w:rPr>
          <w:b w:val="0"/>
          <w:bCs w:val="0"/>
        </w:rPr>
      </w:pPr>
      <w:r>
        <w:t xml:space="preserve">4) Generics Check: </w:t>
      </w:r>
      <w:r>
        <w:rPr>
          <w:b w:val="0"/>
          <w:bCs w:val="0"/>
        </w:rPr>
        <w:t xml:space="preserve">Any K, Innovation, Counterfeits, etc. would still link to the aff – small affs risk losing to a ptx DA or the K </w:t>
      </w:r>
    </w:p>
    <w:p w14:paraId="71AB7F4A" w14:textId="77777777" w:rsidR="005613E2" w:rsidRDefault="005613E2" w:rsidP="005613E2">
      <w:pPr>
        <w:pStyle w:val="Heading4"/>
        <w:spacing w:line="480" w:lineRule="auto"/>
      </w:pPr>
      <w:r>
        <w:t xml:space="preserve">5) Pragmatics Before Semantics: </w:t>
      </w:r>
    </w:p>
    <w:p w14:paraId="5B3F40C1" w14:textId="77777777" w:rsidR="005613E2" w:rsidRDefault="005613E2" w:rsidP="005613E2">
      <w:pPr>
        <w:pStyle w:val="Heading4"/>
        <w:spacing w:line="480" w:lineRule="auto"/>
        <w:ind w:firstLine="720"/>
        <w:rPr>
          <w:b w:val="0"/>
          <w:bCs w:val="0"/>
        </w:rPr>
      </w:pPr>
      <w:r>
        <w:t xml:space="preserve">a) </w:t>
      </w:r>
      <w:r>
        <w:rPr>
          <w:b w:val="0"/>
          <w:bCs w:val="0"/>
        </w:rPr>
        <w:t xml:space="preserve">education is the only exportable feature of round – if I prove my discussion is good that’s sufficient for my aff to be topical </w:t>
      </w:r>
    </w:p>
    <w:p w14:paraId="24A40428" w14:textId="77777777" w:rsidR="005613E2" w:rsidRDefault="005613E2" w:rsidP="005613E2">
      <w:pPr>
        <w:pStyle w:val="Heading4"/>
        <w:spacing w:line="480" w:lineRule="auto"/>
        <w:rPr>
          <w:b w:val="0"/>
          <w:bCs w:val="0"/>
        </w:rPr>
      </w:pPr>
      <w:r>
        <w:tab/>
        <w:t xml:space="preserve">b) </w:t>
      </w:r>
      <w:r>
        <w:rPr>
          <w:b w:val="0"/>
          <w:bCs w:val="0"/>
        </w:rPr>
        <w:t xml:space="preserve">there isn’t a jurisdiction ! – judges vote on non – T affs all the time </w:t>
      </w:r>
    </w:p>
    <w:p w14:paraId="11747014" w14:textId="77777777" w:rsidR="005613E2" w:rsidRPr="005641CB" w:rsidRDefault="005613E2" w:rsidP="005613E2">
      <w:pPr>
        <w:pStyle w:val="Heading4"/>
        <w:rPr>
          <w:sz w:val="36"/>
          <w:szCs w:val="44"/>
          <w:u w:val="single"/>
        </w:rPr>
      </w:pPr>
      <w:r w:rsidRPr="005641CB">
        <w:rPr>
          <w:b w:val="0"/>
          <w:bCs w:val="0"/>
        </w:rPr>
        <w:t xml:space="preserve">Use Reasonability with the b/l of link and impact turn ground </w:t>
      </w:r>
      <w:r>
        <w:rPr>
          <w:b w:val="0"/>
          <w:bCs w:val="0"/>
        </w:rPr>
        <w:t xml:space="preserve">– good is good enough and key to getting back to substance </w:t>
      </w:r>
    </w:p>
    <w:p w14:paraId="020E260D" w14:textId="77777777" w:rsidR="005613E2" w:rsidRPr="005641CB" w:rsidRDefault="005613E2" w:rsidP="005613E2">
      <w:pPr>
        <w:pStyle w:val="Heading4"/>
        <w:rPr>
          <w:b w:val="0"/>
          <w:bCs w:val="0"/>
        </w:rPr>
      </w:pPr>
      <w:r>
        <w:rPr>
          <w:b w:val="0"/>
          <w:bCs w:val="0"/>
        </w:rPr>
        <w:t xml:space="preserve">Yes RVIs: </w:t>
      </w:r>
    </w:p>
    <w:p w14:paraId="73D66223" w14:textId="77777777" w:rsidR="005613E2" w:rsidRPr="005641CB" w:rsidRDefault="005613E2" w:rsidP="005613E2">
      <w:pPr>
        <w:pStyle w:val="Heading4"/>
        <w:spacing w:line="480" w:lineRule="auto"/>
        <w:rPr>
          <w:b w:val="0"/>
          <w:bCs w:val="0"/>
        </w:rPr>
      </w:pPr>
      <w:r w:rsidRPr="005641CB">
        <w:rPr>
          <w:b w:val="0"/>
          <w:bCs w:val="0"/>
        </w:rPr>
        <w:t xml:space="preserve">1)  </w:t>
      </w:r>
      <w:r w:rsidRPr="005641CB">
        <w:t>A2 Chilling</w:t>
      </w:r>
      <w:r>
        <w:rPr>
          <w:b w:val="0"/>
          <w:bCs w:val="0"/>
        </w:rPr>
        <w:t xml:space="preserve"> - </w:t>
      </w:r>
      <w:r w:rsidRPr="005641CB">
        <w:rPr>
          <w:b w:val="0"/>
          <w:bCs w:val="0"/>
        </w:rPr>
        <w:t xml:space="preserve">The aff still has to go win offense to the counter-interp and justify their original position.  This means only bad theory arguments are “chilled”, which is good because it forces negs to think twice before reading silly bi-directional interps. Controls the internal link to education offense – it would lead to us actually debating the topic. </w:t>
      </w:r>
    </w:p>
    <w:p w14:paraId="027FD960" w14:textId="77777777" w:rsidR="005613E2" w:rsidRDefault="005613E2" w:rsidP="005613E2">
      <w:pPr>
        <w:pStyle w:val="Heading4"/>
        <w:spacing w:line="480" w:lineRule="auto"/>
        <w:rPr>
          <w:b w:val="0"/>
          <w:bCs w:val="0"/>
        </w:rPr>
      </w:pPr>
      <w:r>
        <w:rPr>
          <w:b w:val="0"/>
          <w:bCs w:val="0"/>
        </w:rPr>
        <w:t xml:space="preserve">2) </w:t>
      </w:r>
      <w:r>
        <w:t xml:space="preserve">A2 Illogical - </w:t>
      </w:r>
      <w:r w:rsidRPr="005220F8">
        <w:rPr>
          <w:b w:val="0"/>
          <w:bCs w:val="0"/>
        </w:rPr>
        <w:t xml:space="preserve">RVI’s say you should vote aff to punish neg for needlessly calling aff a cheater – it would be illogical to let them get away with this without any repercussion. </w:t>
      </w:r>
    </w:p>
    <w:p w14:paraId="7DC2D744" w14:textId="6928572E" w:rsidR="005613E2" w:rsidRDefault="005613E2" w:rsidP="005613E2">
      <w:pPr>
        <w:pStyle w:val="Heading4"/>
        <w:spacing w:line="480" w:lineRule="auto"/>
        <w:rPr>
          <w:b w:val="0"/>
          <w:bCs w:val="0"/>
        </w:rPr>
      </w:pPr>
      <w:r>
        <w:rPr>
          <w:b w:val="0"/>
          <w:bCs w:val="0"/>
        </w:rPr>
        <w:lastRenderedPageBreak/>
        <w:t xml:space="preserve">3) </w:t>
      </w:r>
      <w:r>
        <w:t xml:space="preserve">Forces them to justify why T is good – </w:t>
      </w:r>
      <w:r>
        <w:rPr>
          <w:b w:val="0"/>
          <w:bCs w:val="0"/>
        </w:rPr>
        <w:t xml:space="preserve">Bad model of debate to be able to read something and immediately kick it, we’ll justify why our aff is good and you justify why T is good </w:t>
      </w:r>
    </w:p>
    <w:p w14:paraId="2779820F" w14:textId="77777777" w:rsidR="005613E2" w:rsidRPr="0027756E" w:rsidRDefault="005613E2" w:rsidP="005613E2">
      <w:pPr>
        <w:pStyle w:val="Heading4"/>
        <w:spacing w:line="480" w:lineRule="auto"/>
      </w:pPr>
      <w:r w:rsidRPr="0027756E">
        <w:t>[Leslie and Lerner</w:t>
      </w:r>
      <w:r>
        <w:t xml:space="preserve"> 1</w:t>
      </w:r>
      <w:r w:rsidRPr="0027756E">
        <w:t xml:space="preserve">] First, </w:t>
      </w:r>
      <w:r w:rsidRPr="00804E30">
        <w:rPr>
          <w:b w:val="0"/>
          <w:bCs w:val="0"/>
        </w:rPr>
        <w:t>this shell conflates Bare Generic Principles with modifiers such as “all” or “often”.</w:t>
      </w:r>
    </w:p>
    <w:p w14:paraId="7B7F5289" w14:textId="77777777" w:rsidR="005613E2" w:rsidRDefault="005613E2" w:rsidP="005613E2">
      <w:pPr>
        <w:spacing w:line="240" w:lineRule="auto"/>
        <w:rPr>
          <w:rFonts w:eastAsia="Times New Roman"/>
          <w:color w:val="1A1A1A"/>
          <w:sz w:val="16"/>
          <w:szCs w:val="16"/>
        </w:rPr>
      </w:pPr>
      <w:r w:rsidRPr="0027756E">
        <w:rPr>
          <w:rFonts w:eastAsia="Times New Roman"/>
          <w:b/>
          <w:bCs/>
          <w:color w:val="1A1A1A"/>
          <w:u w:val="single"/>
        </w:rPr>
        <w:t>Leslie</w:t>
      </w:r>
      <w:r>
        <w:rPr>
          <w:rFonts w:eastAsia="Times New Roman"/>
          <w:b/>
          <w:bCs/>
          <w:color w:val="1A1A1A"/>
          <w:u w:val="single"/>
        </w:rPr>
        <w:t xml:space="preserve"> </w:t>
      </w:r>
      <w:r w:rsidRPr="0027756E">
        <w:rPr>
          <w:rFonts w:eastAsia="Times New Roman"/>
          <w:b/>
          <w:bCs/>
          <w:color w:val="1A1A1A"/>
          <w:u w:val="single"/>
        </w:rPr>
        <w:t>and</w:t>
      </w:r>
      <w:r w:rsidRPr="0027756E">
        <w:rPr>
          <w:rFonts w:eastAsia="Times New Roman"/>
          <w:b/>
          <w:color w:val="1A1A1A"/>
          <w:u w:val="single"/>
        </w:rPr>
        <w:t xml:space="preserve"> Lerner</w:t>
      </w:r>
      <w:r>
        <w:rPr>
          <w:rFonts w:eastAsia="Times New Roman"/>
          <w:b/>
          <w:color w:val="1A1A1A"/>
          <w:u w:val="single"/>
        </w:rPr>
        <w:t xml:space="preserve"> 1</w:t>
      </w:r>
      <w:r w:rsidRPr="002E6E52">
        <w:rPr>
          <w:rFonts w:eastAsia="Times New Roman"/>
          <w:b/>
          <w:color w:val="1A1A1A"/>
        </w:rPr>
        <w:t>:</w:t>
      </w:r>
      <w:r>
        <w:rPr>
          <w:rFonts w:eastAsia="Times New Roman"/>
          <w:color w:val="1A1A1A"/>
          <w:sz w:val="16"/>
          <w:szCs w:val="16"/>
        </w:rPr>
        <w:t xml:space="preserve"> Leslie, Sarah-Jane [Professor of Philosophy, Princeton University]</w:t>
      </w:r>
      <w:r w:rsidRPr="0027756E">
        <w:rPr>
          <w:rFonts w:eastAsia="Times New Roman"/>
          <w:color w:val="1A1A1A"/>
          <w:sz w:val="16"/>
          <w:szCs w:val="16"/>
        </w:rPr>
        <w:t xml:space="preserve"> </w:t>
      </w:r>
      <w:r>
        <w:rPr>
          <w:rFonts w:eastAsia="Times New Roman"/>
          <w:color w:val="1A1A1A"/>
          <w:sz w:val="16"/>
          <w:szCs w:val="16"/>
        </w:rPr>
        <w:t xml:space="preserve">and </w:t>
      </w:r>
      <w:r w:rsidRPr="0027756E">
        <w:rPr>
          <w:rFonts w:eastAsia="Times New Roman"/>
          <w:color w:val="1A1A1A"/>
          <w:sz w:val="16"/>
          <w:szCs w:val="16"/>
        </w:rPr>
        <w:t>Adam</w:t>
      </w:r>
      <w:r>
        <w:rPr>
          <w:rFonts w:eastAsia="Times New Roman"/>
          <w:color w:val="1A1A1A"/>
          <w:sz w:val="16"/>
          <w:szCs w:val="16"/>
        </w:rPr>
        <w:t xml:space="preserve"> Lerner [Postgraduate Research Associate, Philosophy, Princeton University]</w:t>
      </w:r>
      <w:r w:rsidRPr="0027756E">
        <w:rPr>
          <w:rFonts w:eastAsia="Times New Roman"/>
          <w:color w:val="1A1A1A"/>
          <w:sz w:val="16"/>
          <w:szCs w:val="16"/>
        </w:rPr>
        <w:t xml:space="preserve"> "Generic Generalizations</w:t>
      </w:r>
      <w:r>
        <w:rPr>
          <w:rFonts w:eastAsia="Times New Roman"/>
          <w:color w:val="1A1A1A"/>
          <w:sz w:val="16"/>
          <w:szCs w:val="16"/>
        </w:rPr>
        <w:t>.</w:t>
      </w:r>
      <w:r w:rsidRPr="0027756E">
        <w:rPr>
          <w:rFonts w:eastAsia="Times New Roman"/>
          <w:color w:val="1A1A1A"/>
          <w:sz w:val="16"/>
          <w:szCs w:val="16"/>
        </w:rPr>
        <w:t>" </w:t>
      </w:r>
      <w:r w:rsidRPr="0027756E">
        <w:rPr>
          <w:rFonts w:eastAsia="Times New Roman"/>
          <w:i/>
          <w:iCs/>
          <w:color w:val="1A1A1A"/>
          <w:sz w:val="16"/>
          <w:szCs w:val="16"/>
        </w:rPr>
        <w:t>The Stanford Encyclopedia of Philosophy</w:t>
      </w:r>
      <w:r>
        <w:rPr>
          <w:rFonts w:eastAsia="Times New Roman"/>
          <w:color w:val="1A1A1A"/>
          <w:sz w:val="16"/>
          <w:szCs w:val="16"/>
        </w:rPr>
        <w:t xml:space="preserve">, </w:t>
      </w:r>
      <w:r w:rsidRPr="0027756E">
        <w:rPr>
          <w:rFonts w:eastAsia="Times New Roman"/>
          <w:color w:val="1A1A1A"/>
          <w:sz w:val="16"/>
          <w:szCs w:val="16"/>
        </w:rPr>
        <w:t>Winter 2016</w:t>
      </w:r>
      <w:r>
        <w:rPr>
          <w:rFonts w:eastAsia="Times New Roman"/>
          <w:color w:val="1A1A1A"/>
          <w:sz w:val="16"/>
          <w:szCs w:val="16"/>
        </w:rPr>
        <w:t>.</w:t>
      </w:r>
      <w:r w:rsidRPr="0027756E">
        <w:rPr>
          <w:rFonts w:eastAsia="Times New Roman"/>
          <w:color w:val="1A1A1A"/>
          <w:sz w:val="16"/>
          <w:szCs w:val="16"/>
        </w:rPr>
        <w:t xml:space="preserve"> BW</w:t>
      </w:r>
    </w:p>
    <w:p w14:paraId="5E8E50D9" w14:textId="77777777" w:rsidR="005613E2" w:rsidRPr="0027756E" w:rsidRDefault="005613E2" w:rsidP="005613E2">
      <w:pPr>
        <w:spacing w:line="240" w:lineRule="auto"/>
        <w:rPr>
          <w:rFonts w:eastAsia="Times New Roman"/>
          <w:color w:val="1A1A1A"/>
          <w:sz w:val="16"/>
          <w:szCs w:val="16"/>
        </w:rPr>
      </w:pPr>
    </w:p>
    <w:p w14:paraId="14C07112" w14:textId="77777777" w:rsidR="005613E2" w:rsidRPr="002E6E52" w:rsidRDefault="005613E2" w:rsidP="005613E2">
      <w:pPr>
        <w:shd w:val="clear" w:color="auto" w:fill="FFFFFF"/>
        <w:spacing w:after="150" w:line="480" w:lineRule="auto"/>
        <w:jc w:val="both"/>
        <w:rPr>
          <w:rStyle w:val="StyleUnderline"/>
        </w:rPr>
      </w:pPr>
      <w:r w:rsidRPr="002E6E52">
        <w:rPr>
          <w:rStyle w:val="StyleUnderline"/>
        </w:rPr>
        <w:t xml:space="preserve">As these examples illustrate, </w:t>
      </w:r>
      <w:r w:rsidRPr="002E6E52">
        <w:rPr>
          <w:rStyle w:val="StyleUnderline"/>
          <w:highlight w:val="yellow"/>
        </w:rPr>
        <w:t>generics are not equivalent in meaning to any of the quantifying determiners such as “all”,</w:t>
      </w:r>
      <w:r w:rsidRPr="002E6E52">
        <w:rPr>
          <w:rStyle w:val="StyleUnderline"/>
        </w:rPr>
        <w:t xml:space="preserve"> “some”, or “most”. </w:t>
      </w:r>
      <w:r w:rsidRPr="002E6E52">
        <w:rPr>
          <w:rStyle w:val="StyleUnderline"/>
          <w:highlight w:val="yellow"/>
        </w:rPr>
        <w:t>They also differ in meaning from sentences containing adverbs of quantification</w:t>
      </w:r>
      <w:r w:rsidRPr="002E6E52">
        <w:rPr>
          <w:rStyle w:val="StyleUnderline"/>
        </w:rPr>
        <w:t xml:space="preserve"> (Lewis 1975) such as “generally”, “usually”, or “often”. For example, </w:t>
      </w:r>
      <w:r w:rsidRPr="002E6E52">
        <w:rPr>
          <w:rStyle w:val="StyleUnderline"/>
          <w:highlight w:val="yellow"/>
        </w:rPr>
        <w:t>the generic “books are paperbacks” is false, yet the insertion of</w:t>
      </w:r>
      <w:r w:rsidRPr="002E6E52">
        <w:rPr>
          <w:rStyle w:val="StyleUnderline"/>
        </w:rPr>
        <w:t xml:space="preserve"> any of these </w:t>
      </w:r>
      <w:r w:rsidRPr="002E6E52">
        <w:rPr>
          <w:rStyle w:val="StyleUnderline"/>
          <w:highlight w:val="yellow"/>
        </w:rPr>
        <w:t>adverbs of quantification would render the statement true: “books are</w:t>
      </w:r>
      <w:r w:rsidRPr="002E6E52">
        <w:rPr>
          <w:rStyle w:val="StyleUnderline"/>
        </w:rPr>
        <w:t xml:space="preserve"> generally/usually/</w:t>
      </w:r>
      <w:r w:rsidRPr="002E6E52">
        <w:rPr>
          <w:rStyle w:val="StyleUnderline"/>
          <w:highlight w:val="yellow"/>
        </w:rPr>
        <w:t>often paperbacks”.</w:t>
      </w:r>
    </w:p>
    <w:p w14:paraId="35BE8A05" w14:textId="6DD7C354" w:rsidR="005613E2" w:rsidRPr="0027756E" w:rsidRDefault="005613E2" w:rsidP="005613E2">
      <w:pPr>
        <w:shd w:val="clear" w:color="auto" w:fill="FFFFFF"/>
        <w:spacing w:after="150" w:line="480" w:lineRule="auto"/>
        <w:rPr>
          <w:rFonts w:eastAsia="Times New Roman"/>
          <w:color w:val="1A1A1A"/>
          <w:sz w:val="25"/>
          <w:szCs w:val="25"/>
        </w:rPr>
      </w:pPr>
      <w:r w:rsidRPr="0027756E">
        <w:rPr>
          <w:rFonts w:eastAsia="Times New Roman"/>
          <w:color w:val="1A1A1A"/>
          <w:sz w:val="25"/>
          <w:szCs w:val="25"/>
        </w:rPr>
        <w:t>The Resolution does not use the phrase “</w:t>
      </w:r>
      <w:r w:rsidRPr="0027756E">
        <w:rPr>
          <w:rFonts w:eastAsia="Times New Roman"/>
          <w:b/>
          <w:color w:val="1A1A1A"/>
          <w:sz w:val="25"/>
          <w:szCs w:val="25"/>
        </w:rPr>
        <w:t>all</w:t>
      </w:r>
      <w:r w:rsidRPr="0027756E">
        <w:rPr>
          <w:rFonts w:eastAsia="Times New Roman"/>
          <w:color w:val="1A1A1A"/>
          <w:sz w:val="25"/>
          <w:szCs w:val="25"/>
        </w:rPr>
        <w:t xml:space="preserve"> </w:t>
      </w:r>
      <w:r>
        <w:rPr>
          <w:rFonts w:eastAsia="Times New Roman"/>
          <w:color w:val="1A1A1A"/>
          <w:sz w:val="25"/>
          <w:szCs w:val="25"/>
        </w:rPr>
        <w:t>medicines</w:t>
      </w:r>
      <w:r w:rsidRPr="0027756E">
        <w:rPr>
          <w:rFonts w:eastAsia="Times New Roman"/>
          <w:color w:val="1A1A1A"/>
          <w:sz w:val="25"/>
          <w:szCs w:val="25"/>
        </w:rPr>
        <w:t xml:space="preserve">” allows for exceptions, such as specified in the AC. </w:t>
      </w:r>
    </w:p>
    <w:p w14:paraId="4BA58203" w14:textId="77777777" w:rsidR="005613E2" w:rsidRPr="005613E2" w:rsidRDefault="005613E2" w:rsidP="005613E2"/>
    <w:p w14:paraId="5D694C87" w14:textId="77777777" w:rsidR="005613E2" w:rsidRPr="005613E2" w:rsidRDefault="005613E2" w:rsidP="005613E2"/>
    <w:p w14:paraId="25393F34" w14:textId="4AC3424F" w:rsidR="005613E2" w:rsidRPr="005613E2" w:rsidRDefault="005613E2" w:rsidP="005613E2">
      <w:pPr>
        <w:pStyle w:val="Heading2"/>
      </w:pPr>
      <w:r>
        <w:lastRenderedPageBreak/>
        <w:t>Util</w:t>
      </w:r>
    </w:p>
    <w:p w14:paraId="301D3F0E" w14:textId="7D619315" w:rsidR="005613E2" w:rsidRDefault="005613E2" w:rsidP="005613E2">
      <w:pPr>
        <w:pStyle w:val="Heading4"/>
        <w:spacing w:line="480" w:lineRule="auto"/>
        <w:rPr>
          <w:b w:val="0"/>
          <w:bCs w:val="0"/>
        </w:rPr>
      </w:pPr>
      <w:r>
        <w:t xml:space="preserve">[Overview] </w:t>
      </w:r>
      <w:r>
        <w:rPr>
          <w:b w:val="0"/>
          <w:bCs w:val="0"/>
        </w:rPr>
        <w:t xml:space="preserve">Util is a horrible calculus for women and the issues they face  – </w:t>
      </w:r>
    </w:p>
    <w:p w14:paraId="6D08BC4C" w14:textId="77777777" w:rsidR="005613E2" w:rsidRDefault="005613E2" w:rsidP="005613E2">
      <w:pPr>
        <w:pStyle w:val="Heading4"/>
        <w:spacing w:line="480" w:lineRule="auto"/>
        <w:rPr>
          <w:b w:val="0"/>
          <w:bCs w:val="0"/>
        </w:rPr>
      </w:pPr>
      <w:r>
        <w:rPr>
          <w:b w:val="0"/>
          <w:bCs w:val="0"/>
        </w:rPr>
        <w:t xml:space="preserve">a) </w:t>
      </w:r>
      <w:r w:rsidRPr="00326F32">
        <w:t>Abstraction DA</w:t>
      </w:r>
      <w:r>
        <w:rPr>
          <w:b w:val="0"/>
          <w:bCs w:val="0"/>
        </w:rPr>
        <w:t xml:space="preserve"> - util will always aim to coopt suffering with silly extinction scenarios that have low probability - so even if a women is literally going to die because she can’t access medicine, it doesn’t matter because they’ll frame extinction as worse </w:t>
      </w:r>
    </w:p>
    <w:p w14:paraId="032CA301" w14:textId="77777777" w:rsidR="005613E2" w:rsidRDefault="005613E2" w:rsidP="005613E2">
      <w:pPr>
        <w:spacing w:line="480" w:lineRule="auto"/>
      </w:pPr>
      <w:r>
        <w:t xml:space="preserve">b) </w:t>
      </w:r>
      <w:r w:rsidRPr="00326F32">
        <w:rPr>
          <w:b/>
          <w:bCs/>
        </w:rPr>
        <w:t>Homogenization of Pain DA</w:t>
      </w:r>
      <w:r>
        <w:t xml:space="preserve"> – util homogenizes the suffering women face in order to aggregate so the complexity of an issue is always going to be ignored – this is the same way doctors have ignored the pain women face for YEARS </w:t>
      </w:r>
    </w:p>
    <w:p w14:paraId="62760659" w14:textId="77777777" w:rsidR="005613E2" w:rsidRDefault="005613E2" w:rsidP="005613E2">
      <w:pPr>
        <w:pStyle w:val="Heading4"/>
        <w:spacing w:line="480" w:lineRule="auto"/>
        <w:rPr>
          <w:b w:val="0"/>
          <w:bCs w:val="0"/>
        </w:rPr>
      </w:pPr>
      <w:r>
        <w:t xml:space="preserve">Pain and Pleasure – </w:t>
      </w:r>
      <w:r>
        <w:rPr>
          <w:b w:val="0"/>
          <w:bCs w:val="0"/>
        </w:rPr>
        <w:t xml:space="preserve">this binary is awful – there’s so many more emotions that exist besides pain and pleasure (psychological violence, fear, etc. ) that are encompassed within the umbrella of oppression that this cannot account for so my framework will o/w on scope because it can encompass more </w:t>
      </w:r>
    </w:p>
    <w:p w14:paraId="64DE6BE2" w14:textId="77777777" w:rsidR="005613E2" w:rsidRDefault="005613E2" w:rsidP="005613E2">
      <w:pPr>
        <w:pStyle w:val="Heading4"/>
        <w:spacing w:line="480" w:lineRule="auto"/>
        <w:rPr>
          <w:b w:val="0"/>
          <w:bCs w:val="0"/>
        </w:rPr>
      </w:pPr>
      <w:r>
        <w:t xml:space="preserve">Extinction First – </w:t>
      </w:r>
      <w:r>
        <w:rPr>
          <w:b w:val="0"/>
          <w:bCs w:val="0"/>
        </w:rPr>
        <w:t xml:space="preserve">this rhetoric aims to coopt the issues women face so that policymakers NEVER have to deal with them, which is why they should have to win 100 percent probability that extinction is going to happen, otherwise default to my framework </w:t>
      </w:r>
    </w:p>
    <w:p w14:paraId="43DDAEFE" w14:textId="77777777" w:rsidR="005613E2" w:rsidRPr="00F65DD7" w:rsidRDefault="005613E2" w:rsidP="005613E2">
      <w:pPr>
        <w:pStyle w:val="Heading4"/>
        <w:spacing w:line="480" w:lineRule="auto"/>
        <w:rPr>
          <w:rStyle w:val="Style13ptBold"/>
          <w:b/>
          <w:sz w:val="24"/>
        </w:rPr>
      </w:pPr>
      <w:r>
        <w:t xml:space="preserve">The panic Utilitarianism insinuates is a form of </w:t>
      </w:r>
      <w:r w:rsidRPr="00F65DD7">
        <w:rPr>
          <w:u w:val="single"/>
        </w:rPr>
        <w:t>masculine futurity</w:t>
      </w:r>
      <w:r>
        <w:t xml:space="preserve"> which allows the</w:t>
      </w:r>
      <w:r w:rsidRPr="00377D31">
        <w:t xml:space="preserve"> endless sacrifice of reproductive freedom </w:t>
      </w:r>
      <w:r>
        <w:t xml:space="preserve">to be justified </w:t>
      </w:r>
      <w:r w:rsidRPr="00377D31">
        <w:t xml:space="preserve">in the name of the “greatest good.” </w:t>
      </w:r>
    </w:p>
    <w:p w14:paraId="2A8F23B6" w14:textId="77777777" w:rsidR="005613E2" w:rsidRDefault="005613E2" w:rsidP="005613E2">
      <w:pPr>
        <w:rPr>
          <w:rStyle w:val="Style13ptBold"/>
          <w:b w:val="0"/>
          <w:bCs/>
          <w:szCs w:val="20"/>
        </w:rPr>
      </w:pPr>
      <w:r w:rsidRPr="00F65DD7">
        <w:rPr>
          <w:rStyle w:val="Style13ptBold"/>
          <w:sz w:val="24"/>
        </w:rPr>
        <w:t xml:space="preserve">Petersen 15: </w:t>
      </w:r>
      <w:r w:rsidRPr="00F65DD7">
        <w:rPr>
          <w:rStyle w:val="Style13ptBold"/>
          <w:b w:val="0"/>
          <w:bCs/>
          <w:szCs w:val="20"/>
        </w:rPr>
        <w:t>(Kristin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w:t>
      </w:r>
      <w:r>
        <w:rPr>
          <w:rStyle w:val="Style13ptBold"/>
          <w:b w:val="0"/>
          <w:bCs/>
          <w:szCs w:val="20"/>
        </w:rPr>
        <w:t xml:space="preserve"> JK</w:t>
      </w:r>
      <w:r w:rsidRPr="00F65DD7">
        <w:rPr>
          <w:rStyle w:val="Style13ptBold"/>
          <w:b w:val="0"/>
          <w:bCs/>
          <w:szCs w:val="20"/>
        </w:rPr>
        <w:t>)</w:t>
      </w:r>
    </w:p>
    <w:p w14:paraId="5059C400" w14:textId="77777777" w:rsidR="005613E2" w:rsidRPr="00F65DD7" w:rsidRDefault="005613E2" w:rsidP="005613E2">
      <w:pPr>
        <w:rPr>
          <w:b/>
          <w:bCs/>
          <w:sz w:val="16"/>
        </w:rPr>
      </w:pPr>
    </w:p>
    <w:p w14:paraId="1EC10766" w14:textId="77777777" w:rsidR="005613E2" w:rsidRPr="00F65DD7" w:rsidRDefault="005613E2" w:rsidP="005613E2">
      <w:pPr>
        <w:spacing w:line="480" w:lineRule="auto"/>
        <w:jc w:val="both"/>
        <w:rPr>
          <w:sz w:val="12"/>
        </w:rPr>
      </w:pPr>
      <w:r w:rsidRPr="00F65DD7">
        <w:rPr>
          <w:sz w:val="12"/>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w:t>
      </w:r>
      <w:r w:rsidRPr="00F65DD7">
        <w:rPr>
          <w:sz w:val="12"/>
        </w:rPr>
        <w:lastRenderedPageBreak/>
        <w:t xml:space="preserve">the maintenance and reproduction of the boundaries of the community of belonging by the hegemonic political powers...but also by their contestation, challenge and resistance by other political agents” (Yuval-Davis 20). </w:t>
      </w:r>
      <w:r w:rsidRPr="00F65DD7">
        <w:rPr>
          <w:rStyle w:val="StyleUnderline"/>
        </w:rPr>
        <w:t xml:space="preserve">We see these politics of belonging manifested not only discursively, but also in the policies and laws that protect or privilege some mothers and not others, some children, but not all. </w:t>
      </w:r>
      <w:r w:rsidRPr="00F65DD7">
        <w:rPr>
          <w:sz w:val="12"/>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00F65DD7">
        <w:rPr>
          <w:rStyle w:val="StyleUnderline"/>
          <w:highlight w:val="green"/>
        </w:rPr>
        <w:t>The hopes and fears of the present</w:t>
      </w:r>
      <w:r w:rsidRPr="00F65DD7">
        <w:rPr>
          <w:rStyle w:val="StyleUnderline"/>
        </w:rPr>
        <w:t xml:space="preserve"> </w:t>
      </w:r>
      <w:r w:rsidRPr="00F65DD7">
        <w:rPr>
          <w:sz w:val="12"/>
        </w:rPr>
        <w:t>political moment</w:t>
      </w:r>
      <w:r w:rsidRPr="00F65DD7">
        <w:rPr>
          <w:rStyle w:val="StyleUnderline"/>
        </w:rPr>
        <w:t xml:space="preserve"> </w:t>
      </w:r>
      <w:r w:rsidRPr="00F65DD7">
        <w:rPr>
          <w:rStyle w:val="StyleUnderline"/>
          <w:highlight w:val="green"/>
        </w:rPr>
        <w:t>and the imaginative desires for the future are</w:t>
      </w:r>
      <w:r w:rsidRPr="00F65DD7">
        <w:rPr>
          <w:rStyle w:val="StyleUnderline"/>
        </w:rPr>
        <w:t xml:space="preserve"> </w:t>
      </w:r>
      <w:r w:rsidRPr="00F65DD7">
        <w:rPr>
          <w:sz w:val="12"/>
        </w:rPr>
        <w:t xml:space="preserve">thus </w:t>
      </w:r>
      <w:r w:rsidRPr="00F65DD7">
        <w:rPr>
          <w:rStyle w:val="StyleUnderline"/>
          <w:highlight w:val="green"/>
        </w:rPr>
        <w:t>continually projected upon the bodies of women and their procreative capacities</w:t>
      </w:r>
      <w:r w:rsidRPr="00F65DD7">
        <w:rPr>
          <w:sz w:val="12"/>
          <w:highlight w:val="green"/>
        </w:rPr>
        <w:t xml:space="preserve">. </w:t>
      </w:r>
      <w:r w:rsidRPr="00F65DD7">
        <w:rPr>
          <w:rStyle w:val="StyleUnderline"/>
          <w:highlight w:val="green"/>
        </w:rPr>
        <w:t>Futurity</w:t>
      </w:r>
      <w:r w:rsidRPr="00F65DD7">
        <w:rPr>
          <w:rStyle w:val="StyleUnderline"/>
        </w:rPr>
        <w:t>,</w:t>
      </w:r>
      <w:r w:rsidRPr="00F65DD7">
        <w:rPr>
          <w:sz w:val="12"/>
        </w:rPr>
        <w:t xml:space="preserve"> I suggest in this project, as a possibly inevitable perspective or worldview</w:t>
      </w:r>
      <w:r w:rsidRPr="00F65DD7">
        <w:rPr>
          <w:sz w:val="12"/>
          <w:highlight w:val="green"/>
        </w:rPr>
        <w:t xml:space="preserve">, </w:t>
      </w:r>
      <w:r w:rsidRPr="00F65DD7">
        <w:rPr>
          <w:rStyle w:val="StyleUnderline"/>
          <w:highlight w:val="green"/>
        </w:rPr>
        <w:t>allows</w:t>
      </w:r>
      <w:r w:rsidRPr="00F65DD7">
        <w:rPr>
          <w:rStyle w:val="StyleUnderline"/>
        </w:rPr>
        <w:t xml:space="preserve"> </w:t>
      </w:r>
      <w:r w:rsidRPr="00F65DD7">
        <w:rPr>
          <w:sz w:val="12"/>
        </w:rPr>
        <w:t xml:space="preserve">for </w:t>
      </w:r>
      <w:r w:rsidRPr="00F65DD7">
        <w:rPr>
          <w:rStyle w:val="StyleUnderline"/>
          <w:highlight w:val="green"/>
        </w:rPr>
        <w:t>the state to focus on women as reproductive beings in a way that it does not for men</w:t>
      </w:r>
      <w:r w:rsidRPr="00F65DD7">
        <w:rPr>
          <w:rStyle w:val="StyleUnderline"/>
        </w:rPr>
        <w:t>.</w:t>
      </w:r>
      <w:r w:rsidRPr="00F65DD7">
        <w:rPr>
          <w:sz w:val="12"/>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F65DD7">
        <w:rPr>
          <w:rStyle w:val="StyleUnderline"/>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F65DD7">
        <w:rPr>
          <w:sz w:val="12"/>
        </w:rPr>
        <w:t xml:space="preserve">. Penelope Deutscher suggests that through the emergence of biopower: Women would later assume a status as a reproductive threshold of the future and health of nations, populations and peoples. But </w:t>
      </w:r>
      <w:r w:rsidRPr="00F65DD7">
        <w:rPr>
          <w:rStyle w:val="StyleUnderline"/>
          <w:highlight w:val="green"/>
        </w:rPr>
        <w:t>the condition for this role for women and maternal reproductivity was the very possibility of reproduction being associated with</w:t>
      </w:r>
      <w:r w:rsidRPr="00F65DD7">
        <w:rPr>
          <w:rStyle w:val="StyleUnderline"/>
        </w:rPr>
        <w:t xml:space="preserve"> a shifting field of possible substances, telos, outcomes and obligations:</w:t>
      </w:r>
      <w:r w:rsidRPr="00F65DD7">
        <w:rPr>
          <w:sz w:val="12"/>
        </w:rPr>
        <w:t xml:space="preserve"> </w:t>
      </w:r>
      <w:r w:rsidRPr="00F65DD7">
        <w:rPr>
          <w:rStyle w:val="Emphasis"/>
          <w:highlight w:val="green"/>
        </w:rPr>
        <w:t xml:space="preserve">the overall good, the general happiness, the future </w:t>
      </w:r>
      <w:r w:rsidRPr="00F65DD7">
        <w:rPr>
          <w:sz w:val="12"/>
        </w:rPr>
        <w:t>of the nation, the</w:t>
      </w:r>
      <w:r w:rsidRPr="00F65DD7">
        <w:rPr>
          <w:rStyle w:val="Emphasis"/>
        </w:rPr>
        <w:t xml:space="preserve"> </w:t>
      </w:r>
      <w:r w:rsidRPr="00F65DD7">
        <w:rPr>
          <w:rStyle w:val="Emphasis"/>
          <w:highlight w:val="green"/>
        </w:rPr>
        <w:t>health of the nation, the competitiveness of the nation,</w:t>
      </w:r>
      <w:r w:rsidRPr="00F65DD7">
        <w:rPr>
          <w:rStyle w:val="Emphasis"/>
        </w:rPr>
        <w:t xml:space="preserve"> the future of the people, individual flourishing or freedom, individual rights, </w:t>
      </w:r>
      <w:r w:rsidRPr="00F65DD7">
        <w:rPr>
          <w:sz w:val="12"/>
        </w:rPr>
        <w:t xml:space="preserve">domestic happiness, the family unit as building block of the nation, the transmission of the bloodline, the family name, transmission of property or family or genealogical transmission, </w:t>
      </w:r>
      <w:r w:rsidRPr="00F65DD7">
        <w:rPr>
          <w:rStyle w:val="StyleUnderline"/>
        </w:rPr>
        <w:t>reproduction of the labour force</w:t>
      </w:r>
      <w:r w:rsidRPr="00F65DD7">
        <w:rPr>
          <w:sz w:val="12"/>
        </w:rPr>
        <w:t xml:space="preserve">, etc. </w:t>
      </w:r>
      <w:r w:rsidRPr="00F65DD7">
        <w:rPr>
          <w:rStyle w:val="StyleUnderline"/>
        </w:rPr>
        <w:t xml:space="preserve">That reproduction be plausibly thought of in such terms at all was a precondition of it becoming associated with women’s role as </w:t>
      </w:r>
      <w:r w:rsidRPr="00F65DD7">
        <w:rPr>
          <w:rStyle w:val="StyleUnderline"/>
        </w:rPr>
        <w:lastRenderedPageBreak/>
        <w:t>threshold of futurity. (</w:t>
      </w:r>
      <w:r w:rsidRPr="00F65DD7">
        <w:rPr>
          <w:sz w:val="12"/>
        </w:rPr>
        <w:t xml:space="preserve">Deutscher 129) </w:t>
      </w:r>
      <w:r w:rsidRPr="00F65DD7">
        <w:rPr>
          <w:rStyle w:val="Emphasis"/>
          <w:highlight w:val="green"/>
        </w:rPr>
        <w:t>The state’s biopolitical management of women’s reproduction</w:t>
      </w:r>
      <w:r w:rsidRPr="00F65DD7">
        <w:rPr>
          <w:rStyle w:val="Emphasis"/>
        </w:rPr>
        <w:t xml:space="preserve"> </w:t>
      </w:r>
      <w:r w:rsidRPr="00F65DD7">
        <w:rPr>
          <w:sz w:val="12"/>
        </w:rPr>
        <w:t>may thus</w:t>
      </w:r>
      <w:r w:rsidRPr="00F65DD7">
        <w:rPr>
          <w:rStyle w:val="Emphasis"/>
        </w:rPr>
        <w:t xml:space="preserve"> </w:t>
      </w:r>
      <w:r w:rsidRPr="00F65DD7">
        <w:rPr>
          <w:rStyle w:val="Emphasis"/>
          <w:highlight w:val="green"/>
        </w:rPr>
        <w:t>allow it to approach women primarily as reproductive beings, an essentalist</w:t>
      </w:r>
      <w:r w:rsidRPr="00F65DD7">
        <w:rPr>
          <w:rStyle w:val="Emphasis"/>
        </w:rPr>
        <w:t xml:space="preserve"> </w:t>
      </w:r>
      <w:r w:rsidRPr="00F65DD7">
        <w:rPr>
          <w:sz w:val="12"/>
        </w:rPr>
        <w:t>or even</w:t>
      </w:r>
      <w:r w:rsidRPr="00F65DD7">
        <w:rPr>
          <w:rStyle w:val="Emphasis"/>
        </w:rPr>
        <w:t xml:space="preserve"> </w:t>
      </w:r>
      <w:r w:rsidRPr="00F65DD7">
        <w:rPr>
          <w:rStyle w:val="Emphasis"/>
          <w:highlight w:val="green"/>
        </w:rPr>
        <w:t>utilitarian collapse that</w:t>
      </w:r>
      <w:r w:rsidRPr="00F65DD7">
        <w:rPr>
          <w:rStyle w:val="Emphasis"/>
        </w:rPr>
        <w:t xml:space="preserve"> </w:t>
      </w:r>
      <w:r w:rsidRPr="00F65DD7">
        <w:rPr>
          <w:sz w:val="12"/>
        </w:rPr>
        <w:t xml:space="preserve">may </w:t>
      </w:r>
      <w:r w:rsidRPr="00F65DD7">
        <w:rPr>
          <w:rStyle w:val="Emphasis"/>
          <w:highlight w:val="green"/>
        </w:rPr>
        <w:t>make it easier to intervene upon their bodies</w:t>
      </w:r>
      <w:r w:rsidRPr="00F65DD7">
        <w:rPr>
          <w:rStyle w:val="Emphasis"/>
        </w:rPr>
        <w:t xml:space="preserve"> </w:t>
      </w:r>
      <w:r w:rsidRPr="00F65DD7">
        <w:rPr>
          <w:sz w:val="12"/>
        </w:rPr>
        <w:t>and perhaps</w:t>
      </w:r>
      <w:r w:rsidRPr="00F65DD7">
        <w:rPr>
          <w:rStyle w:val="Emphasis"/>
        </w:rPr>
        <w:t xml:space="preserve"> </w:t>
      </w:r>
      <w:r w:rsidRPr="00F65DD7">
        <w:rPr>
          <w:rStyle w:val="Emphasis"/>
          <w:highlight w:val="green"/>
        </w:rPr>
        <w:t>reflects a deeply ingrained discomfort with the notion that women have tremendous potential power to impact the composition of the future</w:t>
      </w:r>
      <w:r w:rsidRPr="00F65DD7">
        <w:rPr>
          <w:rStyle w:val="Emphasis"/>
        </w:rPr>
        <w:t xml:space="preserve">. </w:t>
      </w:r>
      <w:r w:rsidRPr="00F65DD7">
        <w:rPr>
          <w:sz w:val="12"/>
        </w:rPr>
        <w:t xml:space="preserve">In this project, I am proposing </w:t>
      </w:r>
      <w:r w:rsidRPr="00F65DD7">
        <w:rPr>
          <w:rStyle w:val="StyleUnderline"/>
          <w:highlight w:val="green"/>
        </w:rPr>
        <w:t>a framework of futurity that</w:t>
      </w:r>
      <w:r w:rsidRPr="00F65DD7">
        <w:rPr>
          <w:rStyle w:val="StyleUnderline"/>
        </w:rPr>
        <w:t xml:space="preserve"> is in operation, characterized by discursive and eugenic aspects, that </w:t>
      </w:r>
      <w:r w:rsidRPr="00F65DD7">
        <w:rPr>
          <w:rStyle w:val="StyleUnderline"/>
          <w:highlight w:val="green"/>
        </w:rPr>
        <w:t>uses women as the vehicle for future world-building and nation-making</w:t>
      </w:r>
      <w:r w:rsidRPr="00F65DD7">
        <w:rPr>
          <w:rStyle w:val="StyleUnderline"/>
        </w:rPr>
        <w:t xml:space="preserve">. </w:t>
      </w:r>
      <w:r w:rsidRPr="00F65DD7">
        <w:rPr>
          <w:sz w:val="12"/>
        </w:rPr>
        <w:t>This futurity</w:t>
      </w:r>
      <w:r w:rsidRPr="00F65DD7">
        <w:rPr>
          <w:rStyle w:val="StyleUnderline"/>
        </w:rPr>
        <w:t xml:space="preserve"> </w:t>
      </w:r>
      <w:r w:rsidRPr="00F65DD7">
        <w:rPr>
          <w:rStyle w:val="StyleUnderline"/>
          <w:highlight w:val="green"/>
        </w:rPr>
        <w:t>aims to enact</w:t>
      </w:r>
      <w:r w:rsidRPr="00F65DD7">
        <w:rPr>
          <w:rStyle w:val="StyleUnderline"/>
        </w:rPr>
        <w:t xml:space="preserve"> </w:t>
      </w:r>
      <w:r w:rsidRPr="00F65DD7">
        <w:rPr>
          <w:sz w:val="12"/>
        </w:rPr>
        <w:t xml:space="preserve">particular </w:t>
      </w:r>
      <w:r w:rsidRPr="00F65DD7">
        <w:rPr>
          <w:rStyle w:val="StyleUnderline"/>
          <w:highlight w:val="green"/>
        </w:rPr>
        <w:t>visions of the future via changes in the present</w:t>
      </w:r>
      <w:r w:rsidRPr="00F65DD7">
        <w:rPr>
          <w:rStyle w:val="StyleUnderline"/>
        </w:rPr>
        <w:t>,</w:t>
      </w:r>
      <w:r w:rsidRPr="00F65DD7">
        <w:rPr>
          <w:sz w:val="12"/>
        </w:rPr>
        <w:t xml:space="preserve"> particularly</w:t>
      </w:r>
      <w:r w:rsidRPr="00F65DD7">
        <w:rPr>
          <w:rStyle w:val="StyleUnderline"/>
        </w:rPr>
        <w:t xml:space="preserve"> </w:t>
      </w:r>
      <w:r w:rsidRPr="00F65DD7">
        <w:rPr>
          <w:rStyle w:val="StyleUnderline"/>
          <w:highlight w:val="green"/>
        </w:rPr>
        <w:t>through the management of women’s reproduction in the present</w:t>
      </w:r>
      <w:r w:rsidRPr="00F65DD7">
        <w:rPr>
          <w:sz w:val="12"/>
        </w:rPr>
        <w:t xml:space="preserve"> such that the future population comports with present desires. </w:t>
      </w:r>
      <w:r w:rsidRPr="00F65DD7">
        <w:rPr>
          <w:rStyle w:val="StyleUnderline"/>
        </w:rPr>
        <w:t>When this futurity framework is picked up by the state in its various capacities,</w:t>
      </w:r>
      <w:r w:rsidRPr="00F65DD7">
        <w:rPr>
          <w:sz w:val="12"/>
        </w:rPr>
        <w:t xml:space="preserve"> I suggest </w:t>
      </w:r>
      <w:r w:rsidRPr="00F65DD7">
        <w:rPr>
          <w:rStyle w:val="StyleUnderline"/>
        </w:rPr>
        <w:t>there are significant consequences for women’s citizenship as women because they are so intrinsically linked in the cultural and political imaginary with reproduction.</w:t>
      </w:r>
      <w:r w:rsidRPr="00F65DD7">
        <w:rPr>
          <w:sz w:val="12"/>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6E458DE6" w14:textId="77777777" w:rsidR="005613E2" w:rsidRPr="00F65DD7" w:rsidRDefault="005613E2" w:rsidP="005613E2"/>
    <w:p w14:paraId="505B7B18" w14:textId="7FAA97BA" w:rsidR="00E42E4C" w:rsidRDefault="005613E2" w:rsidP="005613E2">
      <w:pPr>
        <w:pStyle w:val="Heading2"/>
      </w:pPr>
      <w:r>
        <w:lastRenderedPageBreak/>
        <w:t>DA</w:t>
      </w:r>
    </w:p>
    <w:p w14:paraId="4E8BC244" w14:textId="7FDFFE6A" w:rsidR="005613E2" w:rsidRDefault="005613E2" w:rsidP="005613E2">
      <w:pPr>
        <w:pStyle w:val="ListParagraph"/>
        <w:numPr>
          <w:ilvl w:val="0"/>
          <w:numId w:val="12"/>
        </w:numPr>
      </w:pPr>
      <w:r>
        <w:t>No link not speicifc to medicine</w:t>
      </w:r>
    </w:p>
    <w:p w14:paraId="4F302CAE" w14:textId="4BD3CE91" w:rsidR="005613E2" w:rsidRPr="005613E2" w:rsidRDefault="005613E2" w:rsidP="005613E2">
      <w:pPr>
        <w:pStyle w:val="ListParagraph"/>
        <w:numPr>
          <w:ilvl w:val="0"/>
          <w:numId w:val="12"/>
        </w:numPr>
      </w:pPr>
      <w:r>
        <w:t xml:space="preserve">No impact </w:t>
      </w:r>
    </w:p>
    <w:p w14:paraId="1C0FF2E6" w14:textId="1C306D05" w:rsidR="005613E2" w:rsidRDefault="005613E2" w:rsidP="005613E2">
      <w:pPr>
        <w:pStyle w:val="Heading2"/>
      </w:pPr>
      <w:r>
        <w:lastRenderedPageBreak/>
        <w:t xml:space="preserve">CP </w:t>
      </w:r>
    </w:p>
    <w:p w14:paraId="08D32BEA" w14:textId="22644DC4" w:rsidR="005613E2" w:rsidRDefault="005613E2" w:rsidP="005613E2">
      <w:r>
        <w:t>Doesn’t solve – card saying WHO would be thereated is from 2004 no credicbilty loss</w:t>
      </w:r>
    </w:p>
    <w:p w14:paraId="7D081830" w14:textId="7E86424E" w:rsidR="005613E2" w:rsidRPr="005613E2" w:rsidRDefault="005613E2" w:rsidP="005613E2">
      <w:r>
        <w:t xml:space="preserve">2 </w:t>
      </w:r>
    </w:p>
    <w:p w14:paraId="250727C3" w14:textId="77777777" w:rsidR="005613E2" w:rsidRPr="007B260F" w:rsidRDefault="005613E2" w:rsidP="005613E2">
      <w:pPr>
        <w:pStyle w:val="Heading4"/>
        <w:spacing w:line="480" w:lineRule="auto"/>
        <w:rPr>
          <w:b w:val="0"/>
          <w:bCs w:val="0"/>
        </w:rPr>
      </w:pPr>
      <w:r>
        <w:t>1]</w:t>
      </w:r>
      <w:r w:rsidRPr="007B260F">
        <w:t xml:space="preserve"> </w:t>
      </w:r>
      <w:r w:rsidRPr="007B260F">
        <w:rPr>
          <w:b w:val="0"/>
          <w:bCs w:val="0"/>
        </w:rPr>
        <w:t xml:space="preserve">This is a form of male scholarship theft - mirrors things in academia like when Rosslyn Franklin came up with DNA being discovered she never got credit for her work bc it was stolen by men - a harm under my ROJ and ROB </w:t>
      </w:r>
    </w:p>
    <w:p w14:paraId="1E8D1C1D" w14:textId="77777777" w:rsidR="005613E2" w:rsidRPr="007B260F" w:rsidRDefault="005613E2" w:rsidP="005613E2">
      <w:pPr>
        <w:pStyle w:val="Heading4"/>
        <w:spacing w:line="480" w:lineRule="auto"/>
        <w:rPr>
          <w:b w:val="0"/>
          <w:bCs w:val="0"/>
        </w:rPr>
      </w:pPr>
      <w:r>
        <w:t>2]</w:t>
      </w:r>
      <w:r w:rsidRPr="007B260F">
        <w:t xml:space="preserve"> </w:t>
      </w:r>
      <w:r w:rsidRPr="007B260F">
        <w:rPr>
          <w:b w:val="0"/>
          <w:bCs w:val="0"/>
        </w:rPr>
        <w:t>It is male authoritarism to say that I cant do my aff unless I consult men - I have to check in with a group of men before I can do the aff</w:t>
      </w:r>
      <w:r>
        <w:t xml:space="preserve"> </w:t>
      </w:r>
      <w:r>
        <w:rPr>
          <w:b w:val="0"/>
          <w:bCs w:val="0"/>
        </w:rPr>
        <w:t xml:space="preserve">which is what’s going on in the status quo </w:t>
      </w:r>
    </w:p>
    <w:p w14:paraId="267C47D3" w14:textId="77777777" w:rsidR="005613E2" w:rsidRPr="007B260F" w:rsidRDefault="005613E2" w:rsidP="005613E2">
      <w:pPr>
        <w:pStyle w:val="Heading4"/>
        <w:spacing w:line="480" w:lineRule="auto"/>
        <w:rPr>
          <w:u w:val="single"/>
        </w:rPr>
      </w:pPr>
      <w:r w:rsidRPr="007B260F">
        <w:t>3</w:t>
      </w:r>
      <w:r>
        <w:t>]</w:t>
      </w:r>
      <w:r w:rsidRPr="007B260F">
        <w:t xml:space="preserve"> </w:t>
      </w:r>
      <w:r w:rsidRPr="007B260F">
        <w:rPr>
          <w:b w:val="0"/>
          <w:bCs w:val="0"/>
        </w:rPr>
        <w:t>Force them to have specific evidence about The Who and WTO being necessary and reproductive rights - without that its another lack of equity in debate which is that I’m expected to come up with a well - researched aff but they dont need evidence for the cp</w:t>
      </w:r>
      <w:r>
        <w:t xml:space="preserve"> </w:t>
      </w:r>
    </w:p>
    <w:p w14:paraId="3364379E" w14:textId="26B67520" w:rsidR="005613E2" w:rsidRPr="005613E2" w:rsidRDefault="005613E2" w:rsidP="005613E2">
      <w:r>
        <w:t xml:space="preserve">Perm do the aff then the neg </w:t>
      </w:r>
    </w:p>
    <w:sectPr w:rsidR="005613E2" w:rsidRPr="005613E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D07B9D"/>
    <w:multiLevelType w:val="hybridMultilevel"/>
    <w:tmpl w:val="EB7CA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4D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13E2"/>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D4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A8316"/>
  <w14:defaultImageDpi w14:val="300"/>
  <w15:docId w15:val="{D2DB3E5B-BE62-BC46-BF5B-1E6E4F6B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5613E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E74D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E74D40"/>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74D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E74D4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74D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D40"/>
  </w:style>
  <w:style w:type="character" w:customStyle="1" w:styleId="Heading1Char">
    <w:name w:val="Heading 1 Char"/>
    <w:aliases w:val="Pocket Char"/>
    <w:basedOn w:val="DefaultParagraphFont"/>
    <w:link w:val="Heading1"/>
    <w:uiPriority w:val="9"/>
    <w:rsid w:val="00E74D40"/>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E74D4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74D4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E74D40"/>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4D40"/>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E74D40"/>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74D40"/>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E74D40"/>
    <w:rPr>
      <w:color w:val="auto"/>
      <w:u w:val="none"/>
    </w:rPr>
  </w:style>
  <w:style w:type="character" w:styleId="Hyperlink">
    <w:name w:val="Hyperlink"/>
    <w:basedOn w:val="DefaultParagraphFont"/>
    <w:uiPriority w:val="99"/>
    <w:semiHidden/>
    <w:unhideWhenUsed/>
    <w:rsid w:val="00E74D40"/>
    <w:rPr>
      <w:color w:val="auto"/>
      <w:u w:val="none"/>
    </w:rPr>
  </w:style>
  <w:style w:type="paragraph" w:styleId="DocumentMap">
    <w:name w:val="Document Map"/>
    <w:basedOn w:val="Normal"/>
    <w:link w:val="DocumentMapChar"/>
    <w:uiPriority w:val="99"/>
    <w:semiHidden/>
    <w:unhideWhenUsed/>
    <w:rsid w:val="00E74D4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74D40"/>
    <w:rPr>
      <w:rFonts w:ascii="Lucida Grande" w:hAnsi="Lucida Grande" w:cs="Lucida Grande"/>
    </w:rPr>
  </w:style>
  <w:style w:type="paragraph" w:customStyle="1" w:styleId="textbold">
    <w:name w:val="text bold"/>
    <w:basedOn w:val="Normal"/>
    <w:link w:val="Emphasis"/>
    <w:uiPriority w:val="20"/>
    <w:qFormat/>
    <w:rsid w:val="005613E2"/>
    <w:pPr>
      <w:pBdr>
        <w:top w:val="single" w:sz="24" w:space="1" w:color="auto"/>
        <w:left w:val="single" w:sz="24" w:space="4" w:color="auto"/>
        <w:bottom w:val="single" w:sz="24" w:space="1" w:color="auto"/>
        <w:right w:val="single" w:sz="24" w:space="4" w:color="auto"/>
      </w:pBdr>
      <w:ind w:left="720"/>
    </w:pPr>
    <w:rPr>
      <w:iCs/>
      <w:u w:val="single"/>
    </w:rPr>
  </w:style>
  <w:style w:type="paragraph" w:styleId="ListParagraph">
    <w:name w:val="List Paragraph"/>
    <w:basedOn w:val="Normal"/>
    <w:uiPriority w:val="34"/>
    <w:qFormat/>
    <w:rsid w:val="00561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7</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2</cp:revision>
  <dcterms:created xsi:type="dcterms:W3CDTF">2021-09-12T00:09:00Z</dcterms:created>
  <dcterms:modified xsi:type="dcterms:W3CDTF">2021-09-12T00:56:00Z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