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E8F4" w14:textId="77777777" w:rsidR="007A687A" w:rsidRPr="00A8412C" w:rsidRDefault="007A687A" w:rsidP="007A687A">
      <w:pPr>
        <w:pStyle w:val="Heading2"/>
        <w:ind w:right="-720"/>
        <w:rPr>
          <w:u w:val="single"/>
        </w:rPr>
      </w:pPr>
      <w:r>
        <w:rPr>
          <w:u w:val="single"/>
        </w:rPr>
        <w:t xml:space="preserve">Framework </w:t>
      </w:r>
    </w:p>
    <w:p w14:paraId="7850B9AB" w14:textId="77777777" w:rsidR="007A687A" w:rsidRDefault="007A687A" w:rsidP="007A687A">
      <w:pPr>
        <w:ind w:right="-720"/>
      </w:pPr>
    </w:p>
    <w:p w14:paraId="4BEFDDF1" w14:textId="77777777" w:rsidR="007A687A" w:rsidRPr="008A499B" w:rsidRDefault="007A687A" w:rsidP="007A687A">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4C22341A" w14:textId="77777777" w:rsidR="007A687A" w:rsidRDefault="007A687A" w:rsidP="007A687A">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5735A335" w14:textId="77777777" w:rsidR="007A687A" w:rsidRPr="00C42813" w:rsidRDefault="007A687A" w:rsidP="007A687A">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3FC31952" w14:textId="77777777" w:rsidR="007A687A" w:rsidRPr="00A8412C" w:rsidRDefault="007A687A" w:rsidP="007A687A">
      <w:pPr>
        <w:ind w:right="-720"/>
      </w:pPr>
    </w:p>
    <w:p w14:paraId="3AAF3C4D" w14:textId="77777777" w:rsidR="007A687A" w:rsidRPr="00471722" w:rsidRDefault="007A687A" w:rsidP="007A687A">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6FA923D2" w14:textId="77777777" w:rsidR="007A687A" w:rsidRPr="008C13D3" w:rsidRDefault="007A687A" w:rsidP="007A687A">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46D024ED" w14:textId="77777777" w:rsidR="007A687A" w:rsidRDefault="007A687A" w:rsidP="007A687A">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3A2578D5" w14:textId="77777777" w:rsidR="007A687A" w:rsidRDefault="007A687A" w:rsidP="007A687A">
      <w:pPr>
        <w:ind w:right="-720"/>
        <w:rPr>
          <w:sz w:val="16"/>
          <w:szCs w:val="16"/>
        </w:rPr>
      </w:pPr>
    </w:p>
    <w:p w14:paraId="4A9949F6" w14:textId="77777777" w:rsidR="007A687A" w:rsidRDefault="007A687A" w:rsidP="007A687A">
      <w:pPr>
        <w:ind w:right="-720"/>
        <w:rPr>
          <w:sz w:val="16"/>
          <w:szCs w:val="16"/>
        </w:rPr>
      </w:pPr>
    </w:p>
    <w:p w14:paraId="75B74040" w14:textId="77777777" w:rsidR="007A687A" w:rsidRPr="004209C6" w:rsidRDefault="007A687A" w:rsidP="007A687A">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1228C7F2" w14:textId="77777777" w:rsidR="007A687A" w:rsidRDefault="007A687A" w:rsidP="007A687A">
      <w:pPr>
        <w:ind w:right="-720"/>
        <w:rPr>
          <w:sz w:val="16"/>
          <w:szCs w:val="16"/>
        </w:rPr>
      </w:pPr>
    </w:p>
    <w:p w14:paraId="418B4995" w14:textId="77777777" w:rsidR="007A687A" w:rsidRDefault="007A687A" w:rsidP="007A687A">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1792BB96" w14:textId="77777777" w:rsidR="007A687A" w:rsidRPr="004D68B5" w:rsidRDefault="007A687A" w:rsidP="007A687A">
      <w:pPr>
        <w:ind w:right="-720"/>
      </w:pPr>
    </w:p>
    <w:p w14:paraId="733336E4" w14:textId="77777777" w:rsidR="007A687A" w:rsidRDefault="007A687A" w:rsidP="007A687A">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0ECDBB06" w14:textId="77777777" w:rsidR="007A687A" w:rsidRDefault="007A687A" w:rsidP="007A687A">
      <w:pPr>
        <w:spacing w:line="480" w:lineRule="auto"/>
        <w:ind w:right="-720"/>
        <w:rPr>
          <w:sz w:val="16"/>
        </w:rPr>
      </w:pPr>
    </w:p>
    <w:p w14:paraId="058C81C4" w14:textId="77777777" w:rsidR="007A687A" w:rsidRPr="001D5F21" w:rsidRDefault="007A687A" w:rsidP="007A687A">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7A5AF299" w14:textId="77777777" w:rsidR="007A687A" w:rsidRDefault="007A687A" w:rsidP="007A687A">
      <w:pPr>
        <w:pStyle w:val="Heading2"/>
        <w:ind w:right="-720"/>
        <w:rPr>
          <w:u w:val="single"/>
        </w:rPr>
      </w:pPr>
      <w:r>
        <w:rPr>
          <w:u w:val="single"/>
        </w:rPr>
        <w:t xml:space="preserve">A. Links </w:t>
      </w:r>
    </w:p>
    <w:p w14:paraId="0E19D2D8" w14:textId="77777777" w:rsidR="007A687A" w:rsidRPr="00437894" w:rsidRDefault="007A687A" w:rsidP="007A687A">
      <w:pPr>
        <w:ind w:right="-720"/>
      </w:pPr>
    </w:p>
    <w:p w14:paraId="0FBA544E" w14:textId="77777777" w:rsidR="007A687A" w:rsidRDefault="007A687A" w:rsidP="007A687A">
      <w:pPr>
        <w:pStyle w:val="Heading4"/>
        <w:spacing w:line="480" w:lineRule="auto"/>
        <w:ind w:right="-720"/>
        <w:rPr>
          <w:b w:val="0"/>
          <w:bCs w:val="0"/>
        </w:rPr>
      </w:pPr>
      <w:r>
        <w:t xml:space="preserve">1] </w:t>
      </w:r>
      <w:r>
        <w:rPr>
          <w:b w:val="0"/>
          <w:bCs w:val="0"/>
        </w:rPr>
        <w:t>The framework says “</w:t>
      </w:r>
      <w:r w:rsidRPr="00437894">
        <w:t xml:space="preserve">only </w:t>
      </w:r>
      <w:r>
        <w:rPr>
          <w:b w:val="0"/>
          <w:bCs w:val="0"/>
        </w:rPr>
        <w:t xml:space="preserve">consequentialism upholds justice” – any time they say things like “only util” is a form of disimagination. They don’t allow for any possibilities beyond the framework they justify.  </w:t>
      </w:r>
    </w:p>
    <w:p w14:paraId="7A40F1C6" w14:textId="77777777" w:rsidR="007A687A" w:rsidRDefault="007A687A" w:rsidP="007A687A">
      <w:pPr>
        <w:pStyle w:val="Heading4"/>
        <w:spacing w:line="480" w:lineRule="auto"/>
        <w:ind w:right="-720"/>
        <w:rPr>
          <w:b w:val="0"/>
          <w:bCs w:val="0"/>
        </w:rPr>
      </w:pPr>
      <w:r>
        <w:t xml:space="preserve">2] </w:t>
      </w:r>
      <w:r>
        <w:rPr>
          <w:b w:val="0"/>
          <w:bCs w:val="0"/>
        </w:rPr>
        <w:t xml:space="preserve">They say hegemony solves nuclear war and heg is sustainable – they are propping up a world that cannot be changed. </w:t>
      </w:r>
    </w:p>
    <w:p w14:paraId="28883709" w14:textId="77777777" w:rsidR="007A687A" w:rsidRPr="00421910" w:rsidRDefault="007A687A" w:rsidP="007A687A">
      <w:pPr>
        <w:pStyle w:val="Heading4"/>
        <w:spacing w:line="480" w:lineRule="auto"/>
        <w:ind w:right="-720"/>
        <w:rPr>
          <w:b w:val="0"/>
          <w:bCs w:val="0"/>
        </w:rPr>
      </w:pPr>
      <w:r>
        <w:t xml:space="preserve">3] </w:t>
      </w:r>
      <w:r>
        <w:rPr>
          <w:b w:val="0"/>
          <w:bCs w:val="0"/>
        </w:rPr>
        <w:t xml:space="preserve">They represent govs in ONE WAY – they use securitization logic for the whole nation, and only allow us to see govs through violence. </w:t>
      </w:r>
    </w:p>
    <w:p w14:paraId="0CB422B9" w14:textId="77777777" w:rsidR="007A687A" w:rsidRDefault="007A687A" w:rsidP="007A687A">
      <w:pPr>
        <w:pStyle w:val="Heading2"/>
        <w:ind w:right="-720"/>
        <w:rPr>
          <w:u w:val="single"/>
        </w:rPr>
      </w:pPr>
      <w:r>
        <w:rPr>
          <w:u w:val="single"/>
        </w:rPr>
        <w:t xml:space="preserve">B. Impacts </w:t>
      </w:r>
    </w:p>
    <w:p w14:paraId="75A4CD80" w14:textId="77777777" w:rsidR="007A687A" w:rsidRPr="00437894" w:rsidRDefault="007A687A" w:rsidP="007A687A">
      <w:pPr>
        <w:ind w:right="-720"/>
      </w:pPr>
    </w:p>
    <w:p w14:paraId="4E6C8D7A" w14:textId="77777777" w:rsidR="007A687A" w:rsidRDefault="007A687A" w:rsidP="007A687A">
      <w:pPr>
        <w:pStyle w:val="Heading4"/>
        <w:spacing w:line="480" w:lineRule="auto"/>
        <w:ind w:right="-720"/>
        <w:rPr>
          <w:b w:val="0"/>
          <w:bCs w:val="0"/>
        </w:rPr>
      </w:pPr>
      <w:r>
        <w:t xml:space="preserve">[Duren] DISIMAGINATION – </w:t>
      </w:r>
      <w:r>
        <w:rPr>
          <w:b w:val="0"/>
          <w:bCs w:val="0"/>
        </w:rPr>
        <w:t>the aff assumes private companies can only use outer space in ONE WAY, but private non-profits are working to benefit the environment.</w:t>
      </w:r>
    </w:p>
    <w:p w14:paraId="357C6367" w14:textId="77777777" w:rsidR="007A687A" w:rsidRDefault="007A687A" w:rsidP="007A687A">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In Partnership with UArizona, New Nonprofit to Launch Satellite Program to Track Greenhouse Gas Emissions</w:t>
      </w:r>
      <w:r w:rsidRPr="00FF50DB">
        <w:rPr>
          <w:sz w:val="16"/>
        </w:rPr>
        <w:t xml:space="preserve">" </w:t>
      </w:r>
      <w:r>
        <w:rPr>
          <w:i/>
          <w:iCs/>
          <w:sz w:val="16"/>
        </w:rPr>
        <w:t xml:space="preserve">UArizona.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7FFE3756" w14:textId="77777777" w:rsidR="007A687A" w:rsidRPr="003F2CB9" w:rsidRDefault="007A687A" w:rsidP="007A687A">
      <w:pPr>
        <w:ind w:right="-720"/>
        <w:rPr>
          <w:sz w:val="16"/>
        </w:rPr>
      </w:pPr>
    </w:p>
    <w:p w14:paraId="569DE50A" w14:textId="77777777" w:rsidR="007A687A" w:rsidRPr="005A14DA" w:rsidRDefault="007A687A" w:rsidP="007A687A">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UArizona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said Riley Duren, research scientist in the UArizona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in terms of transparency, accuracy, scalability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r w:rsidRPr="00154346">
        <w:rPr>
          <w:b/>
          <w:bCs/>
          <w:highlight w:val="yellow"/>
          <w:u w:val="single"/>
        </w:rPr>
        <w:t>UArizona partnership</w:t>
      </w:r>
      <w:r w:rsidRPr="003C1C4E">
        <w:rPr>
          <w:sz w:val="16"/>
        </w:rPr>
        <w:t xml:space="preserve">, Duren and other UArizona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026881C9" w14:textId="77777777" w:rsidR="007A687A" w:rsidRPr="00447E37" w:rsidRDefault="007A687A" w:rsidP="007A687A"/>
    <w:p w14:paraId="7E47A4A1" w14:textId="77777777" w:rsidR="007A687A" w:rsidRPr="00AA017B" w:rsidRDefault="007A687A" w:rsidP="007A687A">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1D839F91" w14:textId="77777777" w:rsidR="007A687A" w:rsidRDefault="007A687A" w:rsidP="007A687A">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5D8D3772" w14:textId="77777777" w:rsidR="007A687A" w:rsidRDefault="007A687A" w:rsidP="007A687A">
      <w:pPr>
        <w:ind w:right="-720"/>
        <w:rPr>
          <w:sz w:val="16"/>
        </w:rPr>
      </w:pPr>
    </w:p>
    <w:p w14:paraId="0D94EBFB" w14:textId="77777777" w:rsidR="007A687A" w:rsidRPr="0037689A" w:rsidRDefault="007A687A" w:rsidP="007A687A">
      <w:pPr>
        <w:ind w:right="-720"/>
        <w:rPr>
          <w:sz w:val="16"/>
        </w:rPr>
      </w:pPr>
    </w:p>
    <w:p w14:paraId="252DAE50" w14:textId="77777777" w:rsidR="007A687A" w:rsidRPr="00250635" w:rsidRDefault="007A687A" w:rsidP="007A687A">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6484FA64" w14:textId="77777777" w:rsidR="007A687A" w:rsidRPr="00421910" w:rsidRDefault="007A687A" w:rsidP="007A687A">
      <w:pPr>
        <w:ind w:right="-720"/>
      </w:pPr>
    </w:p>
    <w:p w14:paraId="5C86CB88" w14:textId="77777777" w:rsidR="007A687A" w:rsidRDefault="007A687A" w:rsidP="007A687A">
      <w:pPr>
        <w:pStyle w:val="Heading2"/>
        <w:ind w:right="-720"/>
        <w:rPr>
          <w:u w:val="single"/>
        </w:rPr>
      </w:pPr>
      <w:r>
        <w:rPr>
          <w:u w:val="single"/>
        </w:rPr>
        <w:t xml:space="preserve">C. Alternative </w:t>
      </w:r>
    </w:p>
    <w:p w14:paraId="3A3B0E40" w14:textId="77777777" w:rsidR="007A687A" w:rsidRPr="00421910" w:rsidRDefault="007A687A" w:rsidP="007A687A">
      <w:pPr>
        <w:ind w:right="-720"/>
      </w:pPr>
    </w:p>
    <w:p w14:paraId="069E9208" w14:textId="77777777" w:rsidR="007A687A" w:rsidRDefault="007A687A" w:rsidP="007A687A">
      <w:pPr>
        <w:pStyle w:val="Heading4"/>
        <w:spacing w:line="480" w:lineRule="auto"/>
        <w:ind w:right="-720"/>
        <w:rPr>
          <w:b w:val="0"/>
          <w:bCs w:val="0"/>
        </w:rPr>
      </w:pPr>
      <w:r>
        <w:t xml:space="preserve">[Jones] </w:t>
      </w:r>
      <w:r>
        <w:rPr>
          <w:b w:val="0"/>
          <w:bCs w:val="0"/>
        </w:rPr>
        <w:t xml:space="preserve">Thus, the alternative is to reject the aff and replace their representations with Ethnofuturism, abbreviated “EF,” a method that emphasizes critical thinking by confronting colonialist capitalism. </w:t>
      </w:r>
    </w:p>
    <w:p w14:paraId="0C54FC26" w14:textId="77777777" w:rsidR="007A687A" w:rsidRDefault="007A687A" w:rsidP="007A687A">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3359FCF8" w14:textId="77777777" w:rsidR="007A687A" w:rsidRDefault="007A687A" w:rsidP="007A687A">
      <w:pPr>
        <w:ind w:right="-720"/>
      </w:pPr>
    </w:p>
    <w:p w14:paraId="1E4A94A8" w14:textId="77777777" w:rsidR="007A687A" w:rsidRPr="00421910" w:rsidRDefault="007A687A" w:rsidP="007A687A">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1FB46F20" w14:textId="77777777" w:rsidR="007A687A" w:rsidRDefault="007A687A" w:rsidP="008B655C">
      <w:pPr>
        <w:pStyle w:val="Heading4"/>
        <w:spacing w:line="480" w:lineRule="auto"/>
        <w:ind w:right="-720"/>
        <w:rPr>
          <w:color w:val="000000" w:themeColor="text1"/>
        </w:rPr>
      </w:pPr>
    </w:p>
    <w:p w14:paraId="48F66C7D" w14:textId="0A5CA862" w:rsidR="007A687A" w:rsidRDefault="007A687A" w:rsidP="008B655C">
      <w:pPr>
        <w:pStyle w:val="Heading4"/>
        <w:spacing w:line="480" w:lineRule="auto"/>
        <w:ind w:right="-720"/>
        <w:rPr>
          <w:color w:val="000000" w:themeColor="text1"/>
        </w:rPr>
      </w:pPr>
      <w:r>
        <w:rPr>
          <w:color w:val="000000" w:themeColor="text1"/>
        </w:rPr>
        <w:t>CP</w:t>
      </w:r>
    </w:p>
    <w:p w14:paraId="2D802F3B" w14:textId="0A7BC30C" w:rsidR="008B655C" w:rsidRPr="0052339B" w:rsidRDefault="008B655C" w:rsidP="008B655C">
      <w:pPr>
        <w:pStyle w:val="Heading4"/>
        <w:spacing w:line="480" w:lineRule="auto"/>
        <w:ind w:right="-720"/>
        <w:rPr>
          <w:b w:val="0"/>
          <w:bCs w:val="0"/>
          <w:color w:val="000000" w:themeColor="text1"/>
        </w:rPr>
      </w:pPr>
      <w:r w:rsidRPr="0052339B">
        <w:rPr>
          <w:color w:val="000000" w:themeColor="text1"/>
        </w:rPr>
        <w:t xml:space="preserve">[Blechman] </w:t>
      </w:r>
      <w:r>
        <w:rPr>
          <w:color w:val="000000" w:themeColor="text1"/>
        </w:rPr>
        <w:t>Banning</w:t>
      </w:r>
      <w:r w:rsidRPr="0052339B">
        <w:rPr>
          <w:color w:val="000000" w:themeColor="text1"/>
        </w:rPr>
        <w:t xml:space="preserve"> nuclear arsenals by agreeing to remove their collections of nuclear weapons</w:t>
      </w:r>
      <w:r>
        <w:rPr>
          <w:color w:val="000000" w:themeColor="text1"/>
        </w:rPr>
        <w:t xml:space="preserve"> solves</w:t>
      </w:r>
      <w:r w:rsidRPr="0052339B">
        <w:rPr>
          <w:color w:val="000000" w:themeColor="text1"/>
        </w:rPr>
        <w:t xml:space="preserve">. </w:t>
      </w:r>
      <w:r>
        <w:rPr>
          <w:color w:val="000000" w:themeColor="text1"/>
        </w:rPr>
        <w:t>Nukes are disimaginative in nature by only allowing people to think in one manner, they fuel extinction scenarios.</w:t>
      </w:r>
    </w:p>
    <w:p w14:paraId="29A0B4B0" w14:textId="77777777" w:rsidR="008B655C" w:rsidRPr="0052339B" w:rsidRDefault="008B655C" w:rsidP="008B655C">
      <w:pPr>
        <w:ind w:right="-720"/>
        <w:rPr>
          <w:rStyle w:val="StyleUnderline"/>
          <w:b w:val="0"/>
          <w:bCs/>
          <w:color w:val="000000" w:themeColor="text1"/>
          <w:sz w:val="16"/>
          <w:u w:val="none"/>
        </w:rPr>
      </w:pPr>
      <w:r w:rsidRPr="0052339B">
        <w:rPr>
          <w:rStyle w:val="StyleUnderline"/>
          <w:color w:val="000000" w:themeColor="text1"/>
        </w:rPr>
        <w:t>Blechman</w:t>
      </w:r>
      <w:r w:rsidRPr="0052339B">
        <w:rPr>
          <w:rStyle w:val="StyleUnderline"/>
          <w:color w:val="000000" w:themeColor="text1"/>
          <w:u w:val="none"/>
        </w:rPr>
        <w:t>:</w:t>
      </w:r>
      <w:r w:rsidRPr="0052339B">
        <w:rPr>
          <w:rStyle w:val="StyleUnderline"/>
          <w:color w:val="000000" w:themeColor="text1"/>
          <w:sz w:val="16"/>
          <w:u w:val="none"/>
        </w:rPr>
        <w:t xml:space="preserve"> </w:t>
      </w:r>
      <w:r w:rsidRPr="0052339B">
        <w:rPr>
          <w:rStyle w:val="StyleUnderline"/>
          <w:b w:val="0"/>
          <w:bCs/>
          <w:color w:val="000000" w:themeColor="text1"/>
          <w:sz w:val="16"/>
          <w:u w:val="none"/>
        </w:rPr>
        <w:t xml:space="preserve">Blechman, Barry M. [Distinguished Fellow, Stimson Center] “Why We Need to Eliminate Nuclear Weapons – And How to Do It.” In </w:t>
      </w:r>
      <w:r w:rsidRPr="0052339B">
        <w:rPr>
          <w:rStyle w:val="StyleUnderline"/>
          <w:b w:val="0"/>
          <w:bCs/>
          <w:i/>
          <w:iCs/>
          <w:color w:val="000000" w:themeColor="text1"/>
          <w:sz w:val="16"/>
          <w:u w:val="none"/>
        </w:rPr>
        <w:t>Elements of a Nuclear Disarmament Treaty</w:t>
      </w:r>
      <w:r w:rsidRPr="0052339B">
        <w:rPr>
          <w:rStyle w:val="StyleUnderline"/>
          <w:b w:val="0"/>
          <w:bCs/>
          <w:color w:val="000000" w:themeColor="text1"/>
          <w:sz w:val="16"/>
          <w:u w:val="none"/>
        </w:rPr>
        <w:t>, Barry M. Blechman &amp; Alexander K. Bollfrass, eds. The Henry L. Stimson Center, Washington, D.C., 2010. CH</w:t>
      </w:r>
    </w:p>
    <w:p w14:paraId="15409E01" w14:textId="77777777" w:rsidR="008B655C" w:rsidRPr="0052339B" w:rsidRDefault="008B655C" w:rsidP="008B655C">
      <w:pPr>
        <w:ind w:right="-720"/>
        <w:rPr>
          <w:color w:val="000000" w:themeColor="text1"/>
        </w:rPr>
      </w:pPr>
    </w:p>
    <w:p w14:paraId="6AFA4C93" w14:textId="77777777" w:rsidR="008B655C" w:rsidRDefault="008B655C" w:rsidP="008B655C">
      <w:pPr>
        <w:spacing w:line="480" w:lineRule="auto"/>
        <w:ind w:right="-720"/>
        <w:rPr>
          <w:rStyle w:val="StyleUnderline"/>
          <w:color w:val="000000" w:themeColor="text1"/>
        </w:rPr>
      </w:pPr>
      <w:r w:rsidRPr="0052339B">
        <w:rPr>
          <w:color w:val="000000" w:themeColor="text1"/>
          <w:sz w:val="16"/>
        </w:rPr>
        <w:t xml:space="preserve">Long relegated to the fringes of policy discussions, nuclear disarmament has moved to center stage in the past few years. The continuing deterioration of the nonproliferation regime, the sudden emergence of North Korea as a nuclear weapon state and of Iran as a potential weapon state, concerns about the stability of another new nuclear power, Pakistan, and revelations about nuclear weapon programs in Libya, Syria, and possibly Burma have all raised great concerns. </w:t>
      </w:r>
      <w:r w:rsidRPr="0052339B">
        <w:rPr>
          <w:rStyle w:val="StyleUnderline"/>
          <w:color w:val="000000" w:themeColor="text1"/>
          <w:highlight w:val="yellow"/>
        </w:rPr>
        <w:t>Given the vulnerability of</w:t>
      </w:r>
      <w:r w:rsidRPr="0052339B">
        <w:rPr>
          <w:rStyle w:val="StyleUnderline"/>
          <w:color w:val="000000" w:themeColor="text1"/>
        </w:rPr>
        <w:t xml:space="preserve"> the great </w:t>
      </w:r>
      <w:r w:rsidRPr="0052339B">
        <w:rPr>
          <w:rStyle w:val="StyleUnderline"/>
          <w:color w:val="000000" w:themeColor="text1"/>
          <w:highlight w:val="yellow"/>
        </w:rPr>
        <w:t>powers to terrorist bombings</w:t>
      </w:r>
      <w:r w:rsidRPr="0052339B">
        <w:rPr>
          <w:rStyle w:val="StyleUnderline"/>
          <w:color w:val="000000" w:themeColor="text1"/>
        </w:rPr>
        <w:t xml:space="preserve">—made clear by the attacks on Moscow in 1999, New York and Washington in 2001, Madrid in 2004, and London in 2005—the prospect of a proliferation cascade and </w:t>
      </w:r>
      <w:r w:rsidRPr="0052339B">
        <w:rPr>
          <w:rStyle w:val="StyleUnderline"/>
          <w:color w:val="000000" w:themeColor="text1"/>
          <w:highlight w:val="yellow"/>
        </w:rPr>
        <w:t>the rising danger of nuc</w:t>
      </w:r>
      <w:r w:rsidRPr="0052339B">
        <w:rPr>
          <w:rStyle w:val="StyleUnderline"/>
          <w:color w:val="000000" w:themeColor="text1"/>
        </w:rPr>
        <w:t xml:space="preserve">lear </w:t>
      </w:r>
      <w:r w:rsidRPr="0052339B">
        <w:rPr>
          <w:rStyle w:val="StyleUnderline"/>
          <w:color w:val="000000" w:themeColor="text1"/>
          <w:highlight w:val="yellow"/>
        </w:rPr>
        <w:t>terrorism have made clear the risks of</w:t>
      </w:r>
      <w:r w:rsidRPr="0052339B">
        <w:rPr>
          <w:rStyle w:val="StyleUnderline"/>
          <w:color w:val="000000" w:themeColor="text1"/>
        </w:rPr>
        <w:t xml:space="preserve"> a business-as-usual approach to nuclear issues. </w:t>
      </w:r>
      <w:r w:rsidRPr="0052339B">
        <w:rPr>
          <w:rStyle w:val="StyleUnderline"/>
          <w:color w:val="000000" w:themeColor="text1"/>
          <w:highlight w:val="yellow"/>
        </w:rPr>
        <w:t>Relying on the severely strained nonproliferation regime</w:t>
      </w:r>
      <w:r w:rsidRPr="0052339B">
        <w:rPr>
          <w:rStyle w:val="StyleUnderline"/>
          <w:color w:val="000000" w:themeColor="text1"/>
        </w:rPr>
        <w:t xml:space="preserve"> and its perennial backstop, ad hoc diplomacy, no longer seems responsible</w:t>
      </w:r>
      <w:r w:rsidRPr="0052339B">
        <w:rPr>
          <w:rStyle w:val="StyleUnderline"/>
          <w:color w:val="000000" w:themeColor="text1"/>
          <w:highlight w:val="yellow"/>
        </w:rPr>
        <w:t>.</w:t>
      </w:r>
      <w:r w:rsidRPr="0052339B">
        <w:rPr>
          <w:rStyle w:val="StyleUnderline"/>
          <w:color w:val="000000" w:themeColor="text1"/>
        </w:rPr>
        <w:t xml:space="preserve"> The alternative of </w:t>
      </w:r>
      <w:r w:rsidRPr="0052339B">
        <w:rPr>
          <w:rStyle w:val="StyleUnderline"/>
          <w:color w:val="000000" w:themeColor="text1"/>
          <w:highlight w:val="yellow"/>
        </w:rPr>
        <w:t>multilateral nuc</w:t>
      </w:r>
      <w:r w:rsidRPr="0052339B">
        <w:rPr>
          <w:rStyle w:val="StyleUnderline"/>
          <w:color w:val="000000" w:themeColor="text1"/>
        </w:rPr>
        <w:t xml:space="preserve">lear disarmament is an idea as old as the bomb itself, but it </w:t>
      </w:r>
      <w:r w:rsidRPr="0052339B">
        <w:rPr>
          <w:rStyle w:val="StyleUnderline"/>
          <w:color w:val="000000" w:themeColor="text1"/>
          <w:highlight w:val="yellow"/>
        </w:rPr>
        <w:t>has rarely been espoused</w:t>
      </w:r>
      <w:r w:rsidRPr="0052339B">
        <w:rPr>
          <w:rStyle w:val="StyleUnderline"/>
          <w:color w:val="000000" w:themeColor="text1"/>
        </w:rPr>
        <w:t xml:space="preserve"> seriously by the great powers—and then mainly as a rhetorical tool to encourage political support for related but less ambitious initiatives</w:t>
      </w:r>
      <w:r w:rsidRPr="0052339B">
        <w:rPr>
          <w:rStyle w:val="StyleUnderline"/>
          <w:color w:val="000000" w:themeColor="text1"/>
          <w:highlight w:val="yellow"/>
        </w:rPr>
        <w:t>.</w:t>
      </w:r>
      <w:r w:rsidRPr="0052339B">
        <w:rPr>
          <w:color w:val="000000" w:themeColor="text1"/>
          <w:sz w:val="16"/>
        </w:rPr>
        <w:t xml:space="preserve"> Recent well-publicized conversions of national security leaders to the disarmament cause, however, to say nothing of a new, more serious tone in pronouncements on the subject by many governments, including those of the nuclear-weapon states, suggest that support is growing for the notion that </w:t>
      </w:r>
      <w:r w:rsidRPr="0052339B">
        <w:rPr>
          <w:rStyle w:val="StyleUnderline"/>
          <w:color w:val="000000" w:themeColor="text1"/>
          <w:highlight w:val="yellow"/>
        </w:rPr>
        <w:t>the only permanent solution to nuc</w:t>
      </w:r>
      <w:r w:rsidRPr="0052339B">
        <w:rPr>
          <w:rStyle w:val="StyleUnderline"/>
          <w:color w:val="000000" w:themeColor="text1"/>
        </w:rPr>
        <w:t xml:space="preserve">lear </w:t>
      </w:r>
      <w:r w:rsidRPr="0052339B">
        <w:rPr>
          <w:rStyle w:val="StyleUnderline"/>
          <w:color w:val="000000" w:themeColor="text1"/>
          <w:highlight w:val="yellow"/>
        </w:rPr>
        <w:t>dangers is an agreement that would eliminate all nuc</w:t>
      </w:r>
      <w:r w:rsidRPr="0052339B">
        <w:rPr>
          <w:rStyle w:val="StyleUnderline"/>
          <w:color w:val="000000" w:themeColor="text1"/>
        </w:rPr>
        <w:t xml:space="preserve">lear </w:t>
      </w:r>
      <w:r w:rsidRPr="0052339B">
        <w:rPr>
          <w:rStyle w:val="StyleUnderline"/>
          <w:color w:val="000000" w:themeColor="text1"/>
          <w:highlight w:val="yellow"/>
        </w:rPr>
        <w:t>weapons</w:t>
      </w:r>
      <w:r w:rsidRPr="0052339B">
        <w:rPr>
          <w:rStyle w:val="StyleUnderline"/>
          <w:color w:val="000000" w:themeColor="text1"/>
        </w:rPr>
        <w:t xml:space="preserve">, verifiably, </w:t>
      </w:r>
      <w:r w:rsidRPr="0052339B">
        <w:rPr>
          <w:rStyle w:val="StyleUnderline"/>
          <w:color w:val="000000" w:themeColor="text1"/>
          <w:highlight w:val="yellow"/>
        </w:rPr>
        <w:t>from all nations.</w:t>
      </w:r>
    </w:p>
    <w:p w14:paraId="1F5896CB" w14:textId="37C7A226" w:rsidR="008B655C" w:rsidRDefault="008B655C" w:rsidP="008B655C">
      <w:pPr>
        <w:spacing w:line="480" w:lineRule="auto"/>
        <w:ind w:right="-720"/>
        <w:rPr>
          <w:rStyle w:val="StyleUnderline"/>
          <w:b w:val="0"/>
          <w:bCs/>
          <w:color w:val="000000" w:themeColor="text1"/>
          <w:u w:val="none"/>
        </w:rPr>
      </w:pPr>
      <w:r w:rsidRPr="0052339B">
        <w:rPr>
          <w:rStyle w:val="StyleUnderline"/>
          <w:b w:val="0"/>
          <w:bCs/>
          <w:color w:val="000000" w:themeColor="text1"/>
          <w:u w:val="none"/>
        </w:rPr>
        <w:t xml:space="preserve">This solves the aff </w:t>
      </w:r>
      <w:r>
        <w:rPr>
          <w:rStyle w:val="StyleUnderline"/>
          <w:b w:val="0"/>
          <w:bCs/>
          <w:color w:val="000000" w:themeColor="text1"/>
          <w:u w:val="none"/>
        </w:rPr>
        <w:t xml:space="preserve">because their advantages impact out to nuclear war – that can’t happen if states don’t have nuclear arsenals. </w:t>
      </w:r>
      <w:r w:rsidRPr="0052339B">
        <w:rPr>
          <w:rStyle w:val="StyleUnderline"/>
          <w:b w:val="0"/>
          <w:bCs/>
          <w:color w:val="000000" w:themeColor="text1"/>
          <w:u w:val="none"/>
        </w:rPr>
        <w:t xml:space="preserve"> </w:t>
      </w:r>
      <w:r>
        <w:rPr>
          <w:rStyle w:val="StyleUnderline"/>
          <w:b w:val="0"/>
          <w:bCs/>
          <w:color w:val="000000" w:themeColor="text1"/>
          <w:u w:val="none"/>
        </w:rPr>
        <w:t>They have no impacts SPECIFIC or INHERENT to LAWs. The CP has a 100% risk of solving.</w:t>
      </w:r>
    </w:p>
    <w:p w14:paraId="1A4147DC" w14:textId="77777777" w:rsidR="00072057" w:rsidRDefault="00072057" w:rsidP="00072057">
      <w:pPr>
        <w:pStyle w:val="Heading4"/>
        <w:spacing w:line="480" w:lineRule="auto"/>
        <w:ind w:right="-720"/>
      </w:pPr>
    </w:p>
    <w:p w14:paraId="760C9266" w14:textId="4004FBEB" w:rsidR="00072057" w:rsidRDefault="00072057" w:rsidP="00072057">
      <w:pPr>
        <w:pStyle w:val="Heading4"/>
        <w:spacing w:line="480" w:lineRule="auto"/>
        <w:ind w:right="-720"/>
      </w:pPr>
      <w:r>
        <w:t>CASE</w:t>
      </w:r>
    </w:p>
    <w:p w14:paraId="3F4F0BEE" w14:textId="73E01182" w:rsidR="00072057" w:rsidRPr="00261654" w:rsidRDefault="00072057" w:rsidP="00072057">
      <w:pPr>
        <w:pStyle w:val="Heading4"/>
        <w:spacing w:line="480" w:lineRule="auto"/>
        <w:ind w:right="-720"/>
      </w:pPr>
      <w:r>
        <w:t xml:space="preserve">[Zvobgo &amp; Loken 1] The aff is rooted in INHERENTLY RACIST tenants of international law like global security – </w:t>
      </w:r>
      <w:r w:rsidRPr="00261654">
        <w:rPr>
          <w:b w:val="0"/>
          <w:bCs w:val="0"/>
        </w:rPr>
        <w:t xml:space="preserve">their </w:t>
      </w:r>
      <w:r>
        <w:rPr>
          <w:b w:val="0"/>
          <w:bCs w:val="0"/>
        </w:rPr>
        <w:t xml:space="preserve">race-neutral </w:t>
      </w:r>
      <w:r w:rsidRPr="00261654">
        <w:rPr>
          <w:b w:val="0"/>
          <w:bCs w:val="0"/>
        </w:rPr>
        <w:t>extinction</w:t>
      </w:r>
      <w:r>
        <w:rPr>
          <w:b w:val="0"/>
          <w:bCs w:val="0"/>
        </w:rPr>
        <w:t xml:space="preserve"> scenarios are an “all lives matter” approach that ignores IR’s racism.</w:t>
      </w:r>
    </w:p>
    <w:p w14:paraId="56898852" w14:textId="77777777" w:rsidR="00072057" w:rsidRPr="00571AF1" w:rsidRDefault="00072057" w:rsidP="00072057">
      <w:pPr>
        <w:ind w:right="-720"/>
        <w:rPr>
          <w:bCs/>
          <w:sz w:val="16"/>
        </w:rPr>
      </w:pPr>
      <w:r>
        <w:rPr>
          <w:rStyle w:val="StyleUnderline"/>
        </w:rPr>
        <w:t>Zvobgo &amp; Loken 1</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753F9571" w14:textId="77777777" w:rsidR="00072057" w:rsidRPr="00571AF1" w:rsidRDefault="00072057" w:rsidP="00072057">
      <w:pPr>
        <w:ind w:right="-720"/>
      </w:pPr>
    </w:p>
    <w:p w14:paraId="23550038" w14:textId="77777777" w:rsidR="00072057" w:rsidRPr="0005542A" w:rsidRDefault="00072057" w:rsidP="00072057">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this fact is not widely acknowledged in the field</w:t>
      </w:r>
      <w:r w:rsidRPr="005F43BD">
        <w:rPr>
          <w:rStyle w:val="StyleUnderline"/>
          <w:highlight w:val="yellow"/>
        </w:rPr>
        <w:t>.</w:t>
      </w:r>
      <w:r w:rsidRPr="005F43BD">
        <w:rPr>
          <w:rStyle w:val="StyleUnderline"/>
        </w:rPr>
        <w:t xml:space="preserve"> </w:t>
      </w:r>
      <w:r w:rsidRPr="00261654">
        <w:rPr>
          <w:rStyle w:val="StyleUnderline"/>
        </w:rPr>
        <w:t xml:space="preserve">For instance, according to neorealists, </w:t>
      </w:r>
      <w:r w:rsidRPr="005F43BD">
        <w:rPr>
          <w:rStyle w:val="StyleUnderline"/>
          <w:highlight w:val="yellow"/>
        </w:rPr>
        <w:t>there exists a “balance of power”</w:t>
      </w:r>
      <w:r w:rsidRPr="005F43BD">
        <w:rPr>
          <w:rStyle w:val="StyleUnderline"/>
        </w:rPr>
        <w:t xml:space="preserve"> between and </w:t>
      </w:r>
      <w:r w:rsidRPr="005F43BD">
        <w:rPr>
          <w:rStyle w:val="StyleUnderline"/>
          <w:highlight w:val="yellow"/>
        </w:rPr>
        <w:t>among</w:t>
      </w:r>
      <w:r w:rsidRPr="005F43BD">
        <w:rPr>
          <w:rStyle w:val="StyleUnderline"/>
        </w:rPr>
        <w:t xml:space="preserve"> “great powers.” Most of these great powers are, not incidentally, </w:t>
      </w:r>
      <w:r w:rsidRPr="005F43BD">
        <w:rPr>
          <w:rStyle w:val="StyleUnderline"/>
          <w:highlight w:val="yellow"/>
        </w:rPr>
        <w:t>white-majority states, and they sit atop the hierarchy, with</w:t>
      </w:r>
      <w:r w:rsidRPr="00261654">
        <w:rPr>
          <w:rStyle w:val="StyleUnderline"/>
        </w:rPr>
        <w:t xml:space="preserve"> small and notably </w:t>
      </w:r>
      <w:r w:rsidRPr="005F43BD">
        <w:rPr>
          <w:rStyle w:val="StyleUnderline"/>
          <w:highlight w:val="yellow"/>
        </w:rPr>
        <w:t>less-white powers</w:t>
      </w:r>
      <w:r w:rsidRPr="005F43BD">
        <w:rPr>
          <w:rStyle w:val="StyleUnderline"/>
        </w:rPr>
        <w:t xml:space="preserve"> organized </w:t>
      </w:r>
      <w:r w:rsidRPr="005F43BD">
        <w:rPr>
          <w:rStyle w:val="StyleUnderline"/>
          <w:highlight w:val="yellow"/>
        </w:rPr>
        <w:t>below them.</w:t>
      </w:r>
      <w:r w:rsidRPr="005F43BD">
        <w:rPr>
          <w:rStyle w:val="StyleUnderline"/>
        </w:rPr>
        <w:t xml:space="preserve"> In a similar vein, </w:t>
      </w:r>
      <w:r w:rsidRPr="005F43BD">
        <w:rPr>
          <w:rStyle w:val="StyleUnderline"/>
          <w:highlight w:val="yellow"/>
        </w:rPr>
        <w:t>raced</w:t>
      </w:r>
      <w:r w:rsidRPr="00261654">
        <w:rPr>
          <w:rStyle w:val="StyleUnderline"/>
        </w:rPr>
        <w:t xml:space="preserve"> hierarchies and </w:t>
      </w:r>
      <w:r w:rsidRPr="005F43BD">
        <w:rPr>
          <w:rStyle w:val="StyleUnderline"/>
          <w:highlight w:val="yellow"/>
        </w:rPr>
        <w:t>conceptions of control ground the concept of cooperation</w:t>
      </w:r>
      <w:r w:rsidRPr="005F43BD">
        <w:rPr>
          <w:rStyle w:val="StyleUnderline"/>
        </w:rPr>
        <w:t xml:space="preserve"> in neoliberal thought</w:t>
      </w:r>
      <w:r w:rsidRPr="005F43BD">
        <w:rPr>
          <w:rStyle w:val="StyleUnderline"/>
          <w:highlight w:val="yellow"/>
        </w:rPr>
        <w:t>: Major powers own the proverbial table, set the chairs, and arrange the place settings.</w:t>
      </w:r>
      <w:r w:rsidRPr="00ED625A">
        <w:rPr>
          <w:sz w:val="16"/>
        </w:rPr>
        <w:t xml:space="preserve"> </w:t>
      </w:r>
    </w:p>
    <w:p w14:paraId="0EF63B0A" w14:textId="77777777" w:rsidR="00072057" w:rsidRDefault="00072057" w:rsidP="00072057">
      <w:pPr>
        <w:pStyle w:val="Heading2"/>
        <w:ind w:right="-720"/>
        <w:rPr>
          <w:u w:val="single"/>
        </w:rPr>
      </w:pPr>
      <w:r>
        <w:rPr>
          <w:u w:val="single"/>
        </w:rPr>
        <w:t>B. Impacts</w:t>
      </w:r>
    </w:p>
    <w:p w14:paraId="1743A82E" w14:textId="77777777" w:rsidR="00072057" w:rsidRDefault="00072057" w:rsidP="00072057">
      <w:pPr>
        <w:ind w:right="-720"/>
      </w:pPr>
    </w:p>
    <w:p w14:paraId="1997B35F" w14:textId="77777777" w:rsidR="00072057" w:rsidRPr="00261654" w:rsidRDefault="00072057" w:rsidP="00072057">
      <w:pPr>
        <w:pStyle w:val="Heading4"/>
        <w:spacing w:line="480" w:lineRule="auto"/>
        <w:ind w:right="-720"/>
      </w:pPr>
      <w:r>
        <w:t xml:space="preserve">[Zvobgo &amp; Loken 2] MASKED IMPERIALISM: </w:t>
      </w:r>
      <w:r>
        <w:rPr>
          <w:b w:val="0"/>
          <w:bCs w:val="0"/>
        </w:rPr>
        <w:t>states use “security threats” to hide racist colonization.</w:t>
      </w:r>
      <w:r>
        <w:t xml:space="preserve">  </w:t>
      </w:r>
    </w:p>
    <w:p w14:paraId="6BC90200" w14:textId="77777777" w:rsidR="00072057" w:rsidRPr="00571AF1" w:rsidRDefault="00072057" w:rsidP="00072057">
      <w:pPr>
        <w:ind w:right="-720"/>
        <w:rPr>
          <w:bCs/>
          <w:sz w:val="16"/>
        </w:rPr>
      </w:pPr>
      <w:r>
        <w:rPr>
          <w:rStyle w:val="StyleUnderline"/>
        </w:rPr>
        <w:t>Zvobgo &amp; Loken 2</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195EA693" w14:textId="77777777" w:rsidR="00072057" w:rsidRDefault="00072057" w:rsidP="00072057">
      <w:pPr>
        <w:ind w:right="-720"/>
      </w:pPr>
    </w:p>
    <w:p w14:paraId="5F291085" w14:textId="77777777" w:rsidR="00072057" w:rsidRPr="00297400" w:rsidRDefault="00072057" w:rsidP="00072057">
      <w:pPr>
        <w:spacing w:line="480" w:lineRule="auto"/>
        <w:ind w:right="-720"/>
        <w:rPr>
          <w:sz w:val="16"/>
        </w:rPr>
      </w:pPr>
      <w:r w:rsidRPr="00297400">
        <w:rPr>
          <w:sz w:val="16"/>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RPr="00160700">
        <w:rPr>
          <w:rStyle w:val="StyleUnderline"/>
        </w:rPr>
        <w:t xml:space="preserve">Since then, </w:t>
      </w:r>
      <w:r w:rsidRPr="00FA6111">
        <w:rPr>
          <w:rStyle w:val="StyleUnderline"/>
        </w:rPr>
        <w:t>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RPr="00FA6111">
        <w:t>no</w:t>
      </w:r>
      <w:r w:rsidRPr="00FA6111">
        <w:rPr>
          <w:rStyle w:val="StyleUnderline"/>
        </w:rPr>
        <w:t>t comprehend world politics while ignoring race and racism. Textbooks that neglect historical and modern slavery when explaining development and globalization obscure the realities of state-building and deny the harms committed in the process. Similarly,</w:t>
      </w:r>
      <w:r w:rsidRPr="00160700">
        <w:rPr>
          <w:rStyle w:val="StyleUnderline"/>
        </w:rPr>
        <w:t xml:space="preserve"> </w:t>
      </w:r>
      <w:r w:rsidRPr="00297400">
        <w:rPr>
          <w:rStyle w:val="StyleUnderline"/>
          <w:highlight w:val="yellow"/>
        </w:rPr>
        <w:t>when scholarship fails to call attention to the role</w:t>
      </w:r>
      <w:r w:rsidRPr="00160700">
        <w:rPr>
          <w:rStyle w:val="StyleUnderline"/>
        </w:rPr>
        <w:t xml:space="preserve"> that </w:t>
      </w:r>
      <w:r w:rsidRPr="00297400">
        <w:rPr>
          <w:rStyle w:val="StyleUnderline"/>
          <w:highlight w:val="yellow"/>
        </w:rPr>
        <w:t>race plays in Western nations’ use of i</w:t>
      </w:r>
      <w:r w:rsidRPr="00297400">
        <w:rPr>
          <w:sz w:val="16"/>
        </w:rPr>
        <w:t xml:space="preserve">nternational </w:t>
      </w:r>
      <w:r w:rsidRPr="00297400">
        <w:rPr>
          <w:rStyle w:val="StyleUnderline"/>
          <w:highlight w:val="yellow"/>
        </w:rPr>
        <w:t xml:space="preserve">law as a pretext for military intervention, it provides </w:t>
      </w:r>
      <w:r w:rsidRPr="00FA6111">
        <w:rPr>
          <w:rStyle w:val="Emphasis"/>
          <w:highlight w:val="yellow"/>
        </w:rPr>
        <w:t>cover</w:t>
      </w:r>
      <w:r w:rsidRPr="00297400">
        <w:rPr>
          <w:rStyle w:val="StyleUnderline"/>
          <w:highlight w:val="yellow"/>
        </w:rPr>
        <w:t xml:space="preserve"> for</w:t>
      </w:r>
      <w:r w:rsidRPr="00160700">
        <w:rPr>
          <w:rStyle w:val="StyleUnderline"/>
        </w:rPr>
        <w:t xml:space="preserve"> the </w:t>
      </w:r>
      <w:r w:rsidRPr="00297400">
        <w:rPr>
          <w:rStyle w:val="StyleUnderline"/>
          <w:highlight w:val="yellow"/>
        </w:rPr>
        <w:t>modern</w:t>
      </w:r>
      <w:r w:rsidRPr="00160700">
        <w:rPr>
          <w:rStyle w:val="StyleUnderline"/>
        </w:rPr>
        <w:t xml:space="preserve">-day equivalent of </w:t>
      </w:r>
      <w:r w:rsidRPr="00297400">
        <w:rPr>
          <w:rStyle w:val="StyleUnderline"/>
          <w:highlight w:val="yellow"/>
        </w:rPr>
        <w:t>“civilizing missions.”</w:t>
      </w:r>
      <w:r w:rsidRPr="00297400">
        <w:rPr>
          <w:sz w:val="16"/>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RPr="00297400">
        <w:rPr>
          <w:rStyle w:val="StyleUnderline"/>
          <w:highlight w:val="yellow"/>
        </w:rPr>
        <w:t>Race continues to shape</w:t>
      </w:r>
      <w:r w:rsidRPr="00EA4642">
        <w:rPr>
          <w:rStyle w:val="StyleUnderline"/>
        </w:rPr>
        <w:t xml:space="preserve"> international and domestic </w:t>
      </w:r>
      <w:r w:rsidRPr="00297400">
        <w:rPr>
          <w:rStyle w:val="StyleUnderline"/>
          <w:highlight w:val="yellow"/>
        </w:rPr>
        <w:t>threat perceptions and</w:t>
      </w:r>
      <w:r w:rsidRPr="00EA4642">
        <w:rPr>
          <w:rStyle w:val="StyleUnderline"/>
        </w:rPr>
        <w:t xml:space="preserve"> consequent </w:t>
      </w:r>
      <w:r w:rsidRPr="00297400">
        <w:rPr>
          <w:rStyle w:val="StyleUnderline"/>
          <w:highlight w:val="yellow"/>
        </w:rPr>
        <w:t>foreign policy</w:t>
      </w:r>
      <w:r w:rsidRPr="00EA4642">
        <w:rPr>
          <w:rStyle w:val="StyleUnderline"/>
        </w:rPr>
        <w:t>; international responses to immigrants and refugees; and access to health and environmental stability</w:t>
      </w:r>
      <w:r w:rsidRPr="00297400">
        <w:rPr>
          <w:rStyle w:val="StyleUnderline"/>
          <w:highlight w:val="yellow"/>
        </w:rPr>
        <w:t>.</w:t>
      </w:r>
      <w:r w:rsidRPr="00297400">
        <w:rPr>
          <w:sz w:val="16"/>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14:paraId="456BA438" w14:textId="77777777" w:rsidR="00072057" w:rsidRDefault="00072057" w:rsidP="00072057">
      <w:pPr>
        <w:ind w:right="-720"/>
      </w:pPr>
    </w:p>
    <w:p w14:paraId="4D87D362" w14:textId="77777777" w:rsidR="00072057" w:rsidRPr="00FA6111" w:rsidRDefault="00072057" w:rsidP="00072057">
      <w:pPr>
        <w:ind w:right="-720"/>
        <w:rPr>
          <w:rStyle w:val="StyleUnderline"/>
          <w:u w:val="none"/>
        </w:rPr>
      </w:pPr>
      <w:r w:rsidRPr="00FA6111">
        <w:rPr>
          <w:rStyle w:val="StyleUnderline"/>
          <w:highlight w:val="yellow"/>
        </w:rPr>
        <w:t>They add</w:t>
      </w:r>
      <w:r w:rsidRPr="00FA6111">
        <w:rPr>
          <w:rStyle w:val="StyleUnderline"/>
          <w:highlight w:val="yellow"/>
          <w:u w:val="none"/>
        </w:rPr>
        <w:t>:</w:t>
      </w:r>
    </w:p>
    <w:p w14:paraId="6EC524AD" w14:textId="77777777" w:rsidR="00072057" w:rsidRDefault="00072057" w:rsidP="00072057">
      <w:pPr>
        <w:ind w:right="-720"/>
      </w:pPr>
    </w:p>
    <w:p w14:paraId="1C1CE508" w14:textId="77777777" w:rsidR="00072057" w:rsidRDefault="00072057" w:rsidP="00072057">
      <w:pPr>
        <w:ind w:right="-720"/>
      </w:pPr>
    </w:p>
    <w:p w14:paraId="1B8B11D7" w14:textId="77777777" w:rsidR="00072057" w:rsidRPr="0094665D" w:rsidRDefault="00072057" w:rsidP="00072057">
      <w:pPr>
        <w:spacing w:line="480" w:lineRule="auto"/>
        <w:ind w:right="-720"/>
        <w:rPr>
          <w:sz w:val="16"/>
        </w:rPr>
      </w:pPr>
      <w:r w:rsidRPr="0094665D">
        <w:rPr>
          <w:sz w:val="16"/>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RPr="00FA6111">
        <w:rPr>
          <w:rStyle w:val="StyleUnderline"/>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RPr="00941876">
        <w:rPr>
          <w:rStyle w:val="StyleUnderline"/>
          <w:highlight w:val="yellow"/>
        </w:rPr>
        <w:t>leaders</w:t>
      </w:r>
      <w:r w:rsidRPr="00941876">
        <w:rPr>
          <w:rStyle w:val="StyleUnderline"/>
        </w:rPr>
        <w:t xml:space="preserve"> in the West have </w:t>
      </w:r>
      <w:r w:rsidRPr="00941876">
        <w:rPr>
          <w:rStyle w:val="StyleUnderline"/>
          <w:highlight w:val="yellow"/>
        </w:rPr>
        <w:t>invoke</w:t>
      </w:r>
      <w:r w:rsidRPr="0094665D">
        <w:rPr>
          <w:sz w:val="16"/>
        </w:rPr>
        <w:t xml:space="preserve">d </w:t>
      </w:r>
      <w:r w:rsidRPr="00FA6111">
        <w:rPr>
          <w:rStyle w:val="StyleUnderline"/>
          <w:highlight w:val="yellow"/>
        </w:rPr>
        <w:t xml:space="preserve">democratic peace theory to </w:t>
      </w:r>
      <w:r w:rsidRPr="00941876">
        <w:rPr>
          <w:rStyle w:val="StyleUnderline"/>
          <w:highlight w:val="yellow"/>
        </w:rPr>
        <w:t>justify invading</w:t>
      </w:r>
      <w:r w:rsidRPr="00941876">
        <w:rPr>
          <w:rStyle w:val="StyleUnderline"/>
        </w:rPr>
        <w:t xml:space="preserve"> and </w:t>
      </w:r>
      <w:r w:rsidRPr="00FA6111">
        <w:rPr>
          <w:rStyle w:val="StyleUnderline"/>
        </w:rPr>
        <w:t>occupying less-democratic, and notably</w:t>
      </w:r>
      <w:r w:rsidRPr="00941876">
        <w:rPr>
          <w:rStyle w:val="StyleUnderline"/>
        </w:rPr>
        <w:t xml:space="preserve"> </w:t>
      </w:r>
      <w:r w:rsidRPr="00941876">
        <w:rPr>
          <w:rStyle w:val="StyleUnderline"/>
          <w:highlight w:val="yellow"/>
        </w:rPr>
        <w:t>less-white</w:t>
      </w:r>
      <w:r w:rsidRPr="00941876">
        <w:rPr>
          <w:rStyle w:val="StyleUnderline"/>
        </w:rPr>
        <w:t xml:space="preserve">, </w:t>
      </w:r>
      <w:r w:rsidRPr="0094665D">
        <w:rPr>
          <w:rStyle w:val="StyleUnderline"/>
          <w:highlight w:val="yellow"/>
        </w:rPr>
        <w:t>countries.</w:t>
      </w:r>
      <w:r w:rsidRPr="0094665D">
        <w:rPr>
          <w:rStyle w:val="StyleUnderline"/>
          <w:sz w:val="16"/>
          <w:u w:val="none"/>
        </w:rPr>
        <w:t xml:space="preserve"> </w:t>
      </w:r>
      <w:r w:rsidRPr="0094665D">
        <w:rPr>
          <w:sz w:val="16"/>
        </w:rPr>
        <w:t xml:space="preserve">This is </w:t>
      </w:r>
      <w:r w:rsidRPr="0094665D">
        <w:rPr>
          <w:rStyle w:val="StyleUnderline"/>
        </w:rPr>
        <w:t>a key element of IR’s racial exclusion:</w:t>
      </w:r>
      <w:r w:rsidRPr="0094665D">
        <w:rPr>
          <w:sz w:val="16"/>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RPr="00FA6111">
        <w:rPr>
          <w:rStyle w:val="StyleUnderline"/>
        </w:rPr>
        <w:t xml:space="preserve">non-European nations did not voluntarily adopt European understandings of statehood and sovereignty, as IR scholars often mythologize. Instead, </w:t>
      </w:r>
      <w:r w:rsidRPr="00941876">
        <w:rPr>
          <w:rStyle w:val="StyleUnderline"/>
          <w:highlight w:val="yellow"/>
        </w:rPr>
        <w:t>Europe</w:t>
      </w:r>
      <w:r w:rsidRPr="00941876">
        <w:rPr>
          <w:rStyle w:val="StyleUnderline"/>
        </w:rPr>
        <w:t xml:space="preserve">, justified by Westphalia, </w:t>
      </w:r>
      <w:r w:rsidRPr="00941876">
        <w:rPr>
          <w:rStyle w:val="StyleUnderline"/>
          <w:highlight w:val="yellow"/>
        </w:rPr>
        <w:t>divided the world between</w:t>
      </w:r>
      <w:r w:rsidRPr="00941876">
        <w:rPr>
          <w:rStyle w:val="StyleUnderline"/>
        </w:rPr>
        <w:t xml:space="preserve"> the modern, </w:t>
      </w:r>
      <w:r w:rsidRPr="00941876">
        <w:rPr>
          <w:rStyle w:val="StyleUnderline"/>
          <w:highlight w:val="yellow"/>
        </w:rPr>
        <w:t>“civilized” states and conquered those</w:t>
      </w:r>
      <w:r w:rsidRPr="0094665D">
        <w:rPr>
          <w:sz w:val="16"/>
        </w:rPr>
        <w:t xml:space="preserve"> which</w:t>
      </w:r>
      <w:r w:rsidRPr="0094665D">
        <w:rPr>
          <w:rStyle w:val="StyleUnderline"/>
          <w:sz w:val="16"/>
          <w:u w:val="none"/>
        </w:rPr>
        <w:t xml:space="preserve"> </w:t>
      </w:r>
      <w:r w:rsidRPr="00941876">
        <w:rPr>
          <w:rStyle w:val="StyleUnderline"/>
          <w:highlight w:val="yellow"/>
        </w:rPr>
        <w:t>they did n</w:t>
      </w:r>
      <w:r w:rsidRPr="0094665D">
        <w:rPr>
          <w:sz w:val="16"/>
        </w:rPr>
        <w:t>o</w:t>
      </w:r>
      <w:r w:rsidRPr="00941876">
        <w:rPr>
          <w:rStyle w:val="StyleUnderline"/>
          <w:highlight w:val="yellow"/>
        </w:rPr>
        <w:t>t think belonged in the international system.</w:t>
      </w:r>
      <w:r w:rsidRPr="0094665D">
        <w:rPr>
          <w:sz w:val="16"/>
        </w:rPr>
        <w:t xml:space="preserve"> IR scholar Sankaran Krishna has argued that, </w:t>
      </w:r>
      <w:r w:rsidRPr="00941876">
        <w:rPr>
          <w:rStyle w:val="StyleUnderline"/>
          <w:highlight w:val="yellow"/>
        </w:rPr>
        <w:t>because IR privileges theorizing over historical</w:t>
      </w:r>
      <w:r w:rsidRPr="00941876">
        <w:rPr>
          <w:rStyle w:val="StyleUnderline"/>
        </w:rPr>
        <w:t xml:space="preserve"> description and </w:t>
      </w:r>
      <w:r w:rsidRPr="00941876">
        <w:rPr>
          <w:rStyle w:val="StyleUnderline"/>
          <w:highlight w:val="yellow"/>
        </w:rPr>
        <w:t>analysis, the field enables</w:t>
      </w:r>
      <w:r w:rsidRPr="00941876">
        <w:rPr>
          <w:rStyle w:val="StyleUnderline"/>
        </w:rPr>
        <w:t xml:space="preserve"> this kind of </w:t>
      </w:r>
      <w:r w:rsidRPr="00941876">
        <w:rPr>
          <w:rStyle w:val="StyleUnderline"/>
          <w:highlight w:val="yellow"/>
        </w:rPr>
        <w:t xml:space="preserve">whitewashing. Western concepts are prioritized at the expense of their applicability in the </w:t>
      </w:r>
      <w:r w:rsidRPr="00CC280D">
        <w:rPr>
          <w:rStyle w:val="StyleUnderline"/>
          <w:highlight w:val="yellow"/>
        </w:rPr>
        <w:t>world.</w:t>
      </w:r>
      <w:r w:rsidRPr="00FA6111">
        <w:rPr>
          <w:rStyle w:val="StyleUnderline"/>
        </w:rPr>
        <w:t xml:space="preserve"> Krishna called this “a systematic politics of forgetting, a willful amnesia, on the question of race.”</w:t>
      </w:r>
      <w:r w:rsidRPr="0094665D">
        <w:rPr>
          <w:sz w:val="16"/>
        </w:rPr>
        <w:t xml:space="preserve"> Importantly, IR has not always ignored race. </w:t>
      </w:r>
      <w:r w:rsidRPr="0094665D">
        <w:rPr>
          <w:rStyle w:val="StyleUnderline"/>
        </w:rPr>
        <w:t xml:space="preserve">In the late 1800s and early 1900s, foundational texts invoked race as the linchpin holding together colonial administration and war. </w:t>
      </w:r>
      <w:r w:rsidRPr="00160700">
        <w:rPr>
          <w:rStyle w:val="StyleUnderline"/>
          <w:highlight w:val="yellow"/>
        </w:rPr>
        <w:t>Belief in white people’s</w:t>
      </w:r>
      <w:r w:rsidRPr="00160700">
        <w:rPr>
          <w:rStyle w:val="StyleUnderline"/>
        </w:rPr>
        <w:t xml:space="preserve"> biological and sociological </w:t>
      </w:r>
      <w:r w:rsidRPr="00160700">
        <w:rPr>
          <w:rStyle w:val="StyleUnderline"/>
          <w:highlight w:val="yellow"/>
        </w:rPr>
        <w:t>supremacy offer</w:t>
      </w:r>
      <w:r w:rsidRPr="0094665D">
        <w:rPr>
          <w:sz w:val="16"/>
        </w:rPr>
        <w:t xml:space="preserve">ed </w:t>
      </w:r>
      <w:r w:rsidRPr="00160700">
        <w:rPr>
          <w:rStyle w:val="StyleUnderline"/>
          <w:highlight w:val="yellow"/>
        </w:rPr>
        <w:t>a tidy dualism between</w:t>
      </w:r>
      <w:r w:rsidRPr="0094665D">
        <w:rPr>
          <w:sz w:val="16"/>
        </w:rPr>
        <w:t xml:space="preserve"> the </w:t>
      </w:r>
      <w:r w:rsidRPr="00160700">
        <w:rPr>
          <w:rStyle w:val="StyleUnderline"/>
          <w:highlight w:val="yellow"/>
        </w:rPr>
        <w:t>civilized and</w:t>
      </w:r>
      <w:r w:rsidRPr="0094665D">
        <w:rPr>
          <w:sz w:val="16"/>
        </w:rPr>
        <w:t xml:space="preserve"> the </w:t>
      </w:r>
      <w:r w:rsidRPr="00160700">
        <w:rPr>
          <w:rStyle w:val="StyleUnderline"/>
          <w:highlight w:val="yellow"/>
        </w:rPr>
        <w:t>savage that justified</w:t>
      </w:r>
      <w:r w:rsidRPr="00160700">
        <w:rPr>
          <w:rStyle w:val="StyleUnderline"/>
        </w:rPr>
        <w:t xml:space="preserve"> the former’s </w:t>
      </w:r>
      <w:r w:rsidRPr="00160700">
        <w:rPr>
          <w:rStyle w:val="StyleUnderline"/>
          <w:highlight w:val="yellow"/>
        </w:rPr>
        <w:t>murderous exploitation</w:t>
      </w:r>
      <w:r w:rsidRPr="00160700">
        <w:rPr>
          <w:rStyle w:val="StyleUnderline"/>
        </w:rPr>
        <w:t xml:space="preserve"> of the latter</w:t>
      </w:r>
      <w:r w:rsidRPr="00160700">
        <w:rPr>
          <w:rStyle w:val="StyleUnderline"/>
          <w:highlight w:val="yellow"/>
        </w:rPr>
        <w:t>.</w:t>
      </w:r>
      <w:r w:rsidRPr="0094665D">
        <w:rPr>
          <w:sz w:val="16"/>
        </w:rPr>
        <w:t xml:space="preserve"> </w:t>
      </w:r>
      <w:r w:rsidRPr="00160700">
        <w:rPr>
          <w:rStyle w:val="StyleUnderline"/>
        </w:rPr>
        <w:t>Paul Samuel Reinsch,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RPr="0094665D">
        <w:rPr>
          <w:sz w:val="16"/>
        </w:rPr>
        <w:t xml:space="preserve"> </w:t>
      </w:r>
    </w:p>
    <w:p w14:paraId="413825D8" w14:textId="77777777" w:rsidR="00072057" w:rsidRDefault="00072057" w:rsidP="00072057">
      <w:pPr>
        <w:ind w:right="-720"/>
      </w:pPr>
    </w:p>
    <w:p w14:paraId="2210A6EA" w14:textId="77777777" w:rsidR="00072057" w:rsidRDefault="00072057" w:rsidP="00072057">
      <w:pPr>
        <w:spacing w:line="480" w:lineRule="auto"/>
        <w:ind w:right="-720"/>
      </w:pPr>
      <w:r>
        <w:rPr>
          <w:b/>
          <w:bCs/>
        </w:rPr>
        <w:t xml:space="preserve">TURNS AND OUTWEIGHS THE AFF – </w:t>
      </w:r>
      <w:r>
        <w:t xml:space="preserve">they </w:t>
      </w:r>
      <w:r>
        <w:rPr>
          <w:i/>
          <w:iCs/>
        </w:rPr>
        <w:t>worsen</w:t>
      </w:r>
      <w:r>
        <w:t xml:space="preserve"> security threats to non-White states – all of 20</w:t>
      </w:r>
      <w:r w:rsidRPr="0094665D">
        <w:rPr>
          <w:vertAlign w:val="superscript"/>
        </w:rPr>
        <w:t>th</w:t>
      </w:r>
      <w:r>
        <w:t xml:space="preserve"> century history proves it.</w:t>
      </w:r>
    </w:p>
    <w:p w14:paraId="00A46F50" w14:textId="77777777" w:rsidR="00072057" w:rsidRDefault="00072057" w:rsidP="008B655C">
      <w:pPr>
        <w:spacing w:line="480" w:lineRule="auto"/>
        <w:ind w:right="-720"/>
        <w:rPr>
          <w:rStyle w:val="StyleUnderline"/>
          <w:b w:val="0"/>
          <w:bCs/>
          <w:color w:val="000000" w:themeColor="text1"/>
          <w:u w:val="none"/>
        </w:rPr>
      </w:pPr>
    </w:p>
    <w:p w14:paraId="5399BA2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5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057"/>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B37"/>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87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55C"/>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6C6D5"/>
  <w14:defaultImageDpi w14:val="300"/>
  <w15:docId w15:val="{1A7B8784-E46A-4F47-8D92-9ABE23BD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55C"/>
    <w:rPr>
      <w:rFonts w:ascii="Times New Roman" w:hAnsi="Times New Roman" w:cs="Times New Roman"/>
    </w:rPr>
  </w:style>
  <w:style w:type="paragraph" w:styleId="Heading1">
    <w:name w:val="heading 1"/>
    <w:aliases w:val="Pocket"/>
    <w:basedOn w:val="Normal"/>
    <w:next w:val="Normal"/>
    <w:link w:val="Heading1Char"/>
    <w:uiPriority w:val="9"/>
    <w:qFormat/>
    <w:rsid w:val="008B655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8B655C"/>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8B655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8B655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B65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55C"/>
  </w:style>
  <w:style w:type="character" w:customStyle="1" w:styleId="Heading1Char">
    <w:name w:val="Heading 1 Char"/>
    <w:aliases w:val="Pocket Char"/>
    <w:basedOn w:val="DefaultParagraphFont"/>
    <w:link w:val="Heading1"/>
    <w:uiPriority w:val="9"/>
    <w:rsid w:val="008B655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8B655C"/>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8B655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8B655C"/>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8B655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cite,9.5 "/>
    <w:basedOn w:val="DefaultParagraphFont"/>
    <w:uiPriority w:val="1"/>
    <w:qFormat/>
    <w:rsid w:val="008B655C"/>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textbold"/>
    <w:uiPriority w:val="20"/>
    <w:qFormat/>
    <w:rsid w:val="008B655C"/>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8B655C"/>
    <w:rPr>
      <w:color w:val="auto"/>
      <w:u w:val="none"/>
    </w:rPr>
  </w:style>
  <w:style w:type="character" w:styleId="Hyperlink">
    <w:name w:val="Hyperlink"/>
    <w:basedOn w:val="DefaultParagraphFont"/>
    <w:uiPriority w:val="99"/>
    <w:unhideWhenUsed/>
    <w:rsid w:val="008B655C"/>
    <w:rPr>
      <w:color w:val="auto"/>
      <w:u w:val="none"/>
    </w:rPr>
  </w:style>
  <w:style w:type="paragraph" w:styleId="DocumentMap">
    <w:name w:val="Document Map"/>
    <w:basedOn w:val="Normal"/>
    <w:link w:val="DocumentMapChar"/>
    <w:uiPriority w:val="99"/>
    <w:semiHidden/>
    <w:unhideWhenUsed/>
    <w:rsid w:val="008B655C"/>
    <w:rPr>
      <w:rFonts w:ascii="Lucida Grande" w:hAnsi="Lucida Grande" w:cs="Lucida Grande"/>
    </w:rPr>
  </w:style>
  <w:style w:type="character" w:customStyle="1" w:styleId="DocumentMapChar">
    <w:name w:val="Document Map Char"/>
    <w:basedOn w:val="DefaultParagraphFont"/>
    <w:link w:val="DocumentMap"/>
    <w:uiPriority w:val="99"/>
    <w:semiHidden/>
    <w:rsid w:val="008B655C"/>
    <w:rPr>
      <w:rFonts w:ascii="Lucida Grande" w:hAnsi="Lucida Grande" w:cs="Lucida Grande"/>
    </w:rPr>
  </w:style>
  <w:style w:type="paragraph" w:customStyle="1" w:styleId="textbold">
    <w:name w:val="text bold"/>
    <w:basedOn w:val="Normal"/>
    <w:link w:val="Emphasis"/>
    <w:uiPriority w:val="20"/>
    <w:qFormat/>
    <w:rsid w:val="00072057"/>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4720</Words>
  <Characters>26908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2022-02-19T19:20:00Z</dcterms:created>
  <dcterms:modified xsi:type="dcterms:W3CDTF">2022-02-19T19:20:00Z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