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94201" w14:textId="77777777" w:rsidR="00EB25C3" w:rsidRDefault="00EB25C3" w:rsidP="00EB25C3">
      <w:pPr>
        <w:pStyle w:val="Heading1"/>
        <w:ind w:right="-720"/>
      </w:pPr>
      <w:r>
        <w:t>The Ground Floor AC (LOBBYSISTS)</w:t>
      </w:r>
    </w:p>
    <w:p w14:paraId="0FC5E108" w14:textId="77777777" w:rsidR="00EB25C3" w:rsidRDefault="00EB25C3" w:rsidP="00EB25C3">
      <w:pPr>
        <w:pStyle w:val="Heading2"/>
        <w:ind w:right="-720"/>
        <w:rPr>
          <w:u w:val="single"/>
        </w:rPr>
      </w:pPr>
      <w:r>
        <w:rPr>
          <w:u w:val="single"/>
        </w:rPr>
        <w:t>Part 1: White Rage</w:t>
      </w:r>
    </w:p>
    <w:p w14:paraId="35569A04" w14:textId="77777777" w:rsidR="00EB25C3" w:rsidRDefault="00EB25C3" w:rsidP="00EB25C3">
      <w:pPr>
        <w:ind w:right="-720"/>
      </w:pPr>
    </w:p>
    <w:p w14:paraId="565F6870" w14:textId="77777777" w:rsidR="00EB25C3" w:rsidRDefault="00EB25C3" w:rsidP="00EB25C3">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25367A7D" w14:textId="77777777" w:rsidR="00EB25C3" w:rsidRPr="003307B0" w:rsidRDefault="00EB25C3" w:rsidP="00EB25C3">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3605D32B" w14:textId="77777777" w:rsidR="00EB25C3" w:rsidRDefault="00EB25C3" w:rsidP="00EB25C3">
      <w:pPr>
        <w:ind w:right="-720"/>
      </w:pPr>
    </w:p>
    <w:p w14:paraId="1882F695" w14:textId="77777777" w:rsidR="00EB25C3" w:rsidRPr="00FB2D9E" w:rsidRDefault="00EB25C3" w:rsidP="00EB25C3">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733A836C" w14:textId="77777777" w:rsidR="00EB25C3" w:rsidRDefault="00EB25C3" w:rsidP="00EB25C3">
      <w:pPr>
        <w:ind w:right="-720"/>
      </w:pPr>
    </w:p>
    <w:p w14:paraId="26D0C983" w14:textId="77777777" w:rsidR="00EB25C3" w:rsidRDefault="00EB25C3" w:rsidP="00EB25C3">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32CF630F" w14:textId="77777777" w:rsidR="00EB25C3" w:rsidRPr="00736F49" w:rsidRDefault="00EB25C3" w:rsidP="00EB25C3">
      <w:pPr>
        <w:ind w:right="-720"/>
        <w:rPr>
          <w:rStyle w:val="StyleUnderline"/>
          <w:u w:val="none"/>
        </w:rPr>
      </w:pPr>
    </w:p>
    <w:p w14:paraId="59180054" w14:textId="77777777" w:rsidR="00EB25C3" w:rsidRPr="00FB2D9E" w:rsidRDefault="00EB25C3" w:rsidP="00EB25C3">
      <w:pPr>
        <w:spacing w:line="480" w:lineRule="auto"/>
        <w:ind w:right="-720"/>
        <w:rPr>
          <w:b/>
          <w:u w:val="single"/>
        </w:rPr>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08D1741B" w14:textId="77777777" w:rsidR="00EB25C3" w:rsidRDefault="00EB25C3" w:rsidP="00EB25C3">
      <w:pPr>
        <w:pStyle w:val="Heading4"/>
        <w:spacing w:line="480" w:lineRule="auto"/>
        <w:ind w:right="-720"/>
        <w:rPr>
          <w:b w:val="0"/>
          <w:bCs w:val="0"/>
        </w:rPr>
      </w:pPr>
      <w:r>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665FDE43" w14:textId="77777777" w:rsidR="00EB25C3" w:rsidRPr="006406F3" w:rsidRDefault="00EB25C3" w:rsidP="00EB25C3">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06DEA1DC" w14:textId="77777777" w:rsidR="00EB25C3" w:rsidRPr="00385B6A" w:rsidRDefault="00EB25C3" w:rsidP="00EB25C3">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25F42F85" w14:textId="77777777" w:rsidR="00EB25C3" w:rsidRPr="00DF1BB4" w:rsidRDefault="00EB25C3" w:rsidP="00EB25C3">
      <w:pPr>
        <w:ind w:right="-720"/>
        <w:rPr>
          <w:rStyle w:val="StyleUnderline"/>
          <w:b w:val="0"/>
          <w:bCs/>
          <w:u w:val="none"/>
        </w:rPr>
      </w:pPr>
    </w:p>
    <w:p w14:paraId="23CFB671" w14:textId="77777777" w:rsidR="00EB25C3" w:rsidRPr="006406F3" w:rsidRDefault="00EB25C3" w:rsidP="00EB25C3">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consciousness in particular, should be thought of less as an ability, and more of a way of being in the world. We can make rules for finding racism in practice, and we could learn those rules and then always be successful at 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particular aims is the precondition for radical solidarity.</w:t>
      </w:r>
    </w:p>
    <w:p w14:paraId="7296DE92" w14:textId="77777777" w:rsidR="00EB25C3" w:rsidRPr="002D2A24" w:rsidRDefault="00EB25C3" w:rsidP="00EB25C3">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20E578DB" w14:textId="77777777" w:rsidR="00EB25C3" w:rsidRPr="00C47801" w:rsidRDefault="00EB25C3" w:rsidP="00EB25C3">
      <w:pPr>
        <w:ind w:right="-720"/>
      </w:pPr>
      <w:r>
        <w:t xml:space="preserve"> </w:t>
      </w:r>
    </w:p>
    <w:p w14:paraId="1E5A401A" w14:textId="77777777" w:rsidR="00EB25C3" w:rsidRDefault="00EB25C3" w:rsidP="00EB25C3">
      <w:pPr>
        <w:pStyle w:val="Heading2"/>
        <w:ind w:right="-720"/>
        <w:rPr>
          <w:u w:val="single"/>
        </w:rPr>
      </w:pPr>
      <w:r>
        <w:rPr>
          <w:u w:val="single"/>
        </w:rPr>
        <w:t>Part 2: Wrecked &amp; Unchecked</w:t>
      </w:r>
    </w:p>
    <w:p w14:paraId="0759F76C" w14:textId="77777777" w:rsidR="00EB25C3" w:rsidRDefault="00EB25C3" w:rsidP="00EB25C3">
      <w:pPr>
        <w:ind w:right="-720"/>
      </w:pPr>
    </w:p>
    <w:p w14:paraId="217592C6" w14:textId="77777777" w:rsidR="00EB25C3" w:rsidRPr="00FD14E9" w:rsidRDefault="00EB25C3" w:rsidP="00EB25C3">
      <w:pPr>
        <w:pStyle w:val="Heading4"/>
        <w:spacing w:line="480" w:lineRule="auto"/>
        <w:ind w:right="-720"/>
        <w:rPr>
          <w:rFonts w:cs="Times New Roman"/>
          <w:b w:val="0"/>
          <w:bCs w:val="0"/>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368C73AC" w14:textId="77777777" w:rsidR="00EB25C3" w:rsidRPr="007E2EF2" w:rsidRDefault="00EB25C3" w:rsidP="00EB25C3">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453E5ABC" w14:textId="77777777" w:rsidR="00EB25C3" w:rsidRDefault="00EB25C3" w:rsidP="00EB25C3">
      <w:pPr>
        <w:ind w:right="-720"/>
      </w:pPr>
    </w:p>
    <w:p w14:paraId="042BC28E" w14:textId="77777777" w:rsidR="00EB25C3" w:rsidRPr="00462B67" w:rsidRDefault="00EB25C3" w:rsidP="00EB25C3">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1DD3766A" w14:textId="77777777" w:rsidR="00EB25C3" w:rsidRDefault="00EB25C3" w:rsidP="00EB25C3">
      <w:pPr>
        <w:pStyle w:val="Heading4"/>
        <w:spacing w:line="480" w:lineRule="auto"/>
        <w:ind w:right="-720"/>
      </w:pPr>
      <w:r>
        <w:t xml:space="preserve">[Shammas &amp; Holen] And </w:t>
      </w:r>
      <w:r>
        <w:rPr>
          <w:b w:val="0"/>
          <w:bCs w:val="0"/>
        </w:rPr>
        <w:t>private entities can’t appropriate space without state support – they’re inextricably linked.</w:t>
      </w:r>
    </w:p>
    <w:p w14:paraId="54727628" w14:textId="77777777" w:rsidR="00EB25C3" w:rsidRDefault="00EB25C3" w:rsidP="00EB25C3">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Holen</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r w:rsidRPr="00913FB9">
        <w:rPr>
          <w:sz w:val="16"/>
          <w:szCs w:val="16"/>
          <w:shd w:val="clear" w:color="auto" w:fill="FFFFFF"/>
          <w:lang w:bidi="he-IL"/>
        </w:rPr>
        <w:t>Holen</w:t>
      </w:r>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capitalistkind: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462BB878" w14:textId="77777777" w:rsidR="00EB25C3" w:rsidRPr="00913FB9" w:rsidRDefault="00EB25C3" w:rsidP="00EB25C3">
      <w:pPr>
        <w:ind w:right="-720"/>
        <w:rPr>
          <w:sz w:val="16"/>
          <w:szCs w:val="16"/>
          <w:lang w:bidi="he-IL"/>
        </w:rPr>
      </w:pPr>
    </w:p>
    <w:p w14:paraId="1650A891" w14:textId="77777777" w:rsidR="00EB25C3" w:rsidRDefault="00EB25C3" w:rsidP="00EB25C3">
      <w:pPr>
        <w:pStyle w:val="NormalWeb"/>
        <w:spacing w:before="0" w:beforeAutospacing="0" w:after="0" w:afterAutospacing="0" w:line="480" w:lineRule="auto"/>
        <w:ind w:right="-720"/>
        <w:rPr>
          <w:sz w:val="16"/>
        </w:rPr>
      </w:pPr>
      <w:r w:rsidRPr="006C692E">
        <w:rPr>
          <w:sz w:val="16"/>
          <w:lang w:bidi="ar-SA"/>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capitalistkind is undermined by</w:t>
      </w:r>
      <w:r w:rsidRPr="006C692E">
        <w:rPr>
          <w:rStyle w:val="StyleUnderline"/>
          <w:sz w:val="16"/>
          <w:u w:val="none"/>
        </w:rPr>
        <w:t xml:space="preserve"> </w:t>
      </w:r>
      <w:r w:rsidRPr="00ED56CA">
        <w:rPr>
          <w:rStyle w:val="StyleUnderline"/>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r w:rsidRPr="00ED56CA">
        <w:rPr>
          <w:rStyle w:val="StyleUnderline"/>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NewSpace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capitalistkind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2F5F7567" w14:textId="77777777" w:rsidR="00EB25C3" w:rsidRDefault="00EB25C3" w:rsidP="00EB25C3">
      <w:pPr>
        <w:ind w:right="-720"/>
      </w:pPr>
    </w:p>
    <w:p w14:paraId="7C27C921" w14:textId="77777777" w:rsidR="00EB25C3" w:rsidRPr="00965551" w:rsidRDefault="00EB25C3" w:rsidP="00EB25C3">
      <w:pPr>
        <w:pStyle w:val="Heading4"/>
        <w:spacing w:line="480" w:lineRule="auto"/>
        <w:ind w:right="-720"/>
        <w:rPr>
          <w:rFonts w:cs="Times New Roman"/>
          <w:b w:val="0"/>
          <w:bCs w:val="0"/>
        </w:rPr>
      </w:pPr>
      <w:r w:rsidRPr="005E4C48">
        <w:rPr>
          <w:rFonts w:cs="Times New Roman"/>
        </w:rPr>
        <w:t>[</w:t>
      </w:r>
      <w:r>
        <w:rPr>
          <w:rFonts w:cs="Times New Roman"/>
        </w:rPr>
        <w:t>Utrata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1D5BF997" w14:textId="77777777" w:rsidR="00EB25C3" w:rsidRPr="007E2EF2" w:rsidRDefault="00EB25C3" w:rsidP="00EB25C3">
      <w:pPr>
        <w:ind w:right="-720"/>
        <w:rPr>
          <w:rFonts w:eastAsia="Times New Roman"/>
          <w:lang w:bidi="he-IL"/>
        </w:rPr>
      </w:pPr>
      <w:r>
        <w:rPr>
          <w:b/>
          <w:bCs/>
          <w:u w:val="single"/>
        </w:rPr>
        <w:t>Utrata 2</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6C82E068" w14:textId="77777777" w:rsidR="00EB25C3" w:rsidRDefault="00EB25C3" w:rsidP="00EB25C3">
      <w:pPr>
        <w:ind w:right="-720"/>
      </w:pPr>
    </w:p>
    <w:p w14:paraId="73E7EBB7" w14:textId="77777777" w:rsidR="00EB25C3" w:rsidRDefault="00EB25C3" w:rsidP="00EB25C3">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234AC817" w14:textId="77777777" w:rsidR="00EB25C3" w:rsidRDefault="00EB25C3" w:rsidP="00EB25C3">
      <w:pPr>
        <w:pStyle w:val="Heading4"/>
        <w:spacing w:line="480" w:lineRule="auto"/>
        <w:ind w:right="-720"/>
      </w:pPr>
      <w:r>
        <w:t xml:space="preserve">[Utrata 3] AND </w:t>
      </w:r>
      <w:r>
        <w:rPr>
          <w:b w:val="0"/>
          <w:bCs w:val="0"/>
        </w:rPr>
        <w:t>appeals to extinction are a colonialist trope that justify infinite racialized violence for profit.</w:t>
      </w:r>
    </w:p>
    <w:p w14:paraId="06EAD088" w14:textId="77777777" w:rsidR="00EB25C3" w:rsidRPr="007E2EF2" w:rsidRDefault="00EB25C3" w:rsidP="00EB25C3">
      <w:pPr>
        <w:ind w:right="-720"/>
        <w:rPr>
          <w:rFonts w:eastAsia="Times New Roman"/>
          <w:lang w:bidi="he-IL"/>
        </w:rPr>
      </w:pPr>
      <w:r>
        <w:rPr>
          <w:b/>
          <w:bCs/>
          <w:u w:val="single"/>
        </w:rPr>
        <w:t>Utrata 3</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794EB164" w14:textId="77777777" w:rsidR="00EB25C3" w:rsidRDefault="00EB25C3" w:rsidP="00EB25C3">
      <w:pPr>
        <w:pStyle w:val="NoSpacing"/>
        <w:spacing w:line="480" w:lineRule="auto"/>
        <w:ind w:right="-720"/>
        <w:jc w:val="both"/>
        <w:rPr>
          <w:sz w:val="16"/>
        </w:rPr>
      </w:pPr>
    </w:p>
    <w:p w14:paraId="5AF84E2D" w14:textId="77777777" w:rsidR="00EB25C3" w:rsidRPr="0061475E" w:rsidRDefault="00EB25C3" w:rsidP="00EB25C3">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02DBF024" w14:textId="77777777" w:rsidR="00EB25C3" w:rsidRDefault="00EB25C3" w:rsidP="00EB25C3">
      <w:pPr>
        <w:pStyle w:val="Heading2"/>
        <w:ind w:right="-720"/>
        <w:rPr>
          <w:u w:val="single"/>
        </w:rPr>
      </w:pPr>
      <w:r>
        <w:rPr>
          <w:u w:val="single"/>
        </w:rPr>
        <w:t>Thus, I affirm</w:t>
      </w:r>
      <w:r w:rsidRPr="009E1BC8">
        <w:rPr>
          <w:u w:val="none"/>
        </w:rPr>
        <w:t xml:space="preserve">: </w:t>
      </w:r>
    </w:p>
    <w:p w14:paraId="4A9835BF" w14:textId="77777777" w:rsidR="00EB25C3" w:rsidRDefault="00EB25C3" w:rsidP="00EB25C3">
      <w:pPr>
        <w:ind w:right="-720"/>
      </w:pPr>
    </w:p>
    <w:p w14:paraId="4C52C1B8" w14:textId="77777777" w:rsidR="00EB25C3" w:rsidRDefault="00EB25C3" w:rsidP="00EB25C3">
      <w:pPr>
        <w:pStyle w:val="Heading4"/>
        <w:spacing w:line="480" w:lineRule="auto"/>
        <w:ind w:right="-720"/>
        <w:rPr>
          <w:b w:val="0"/>
          <w:bCs w:val="0"/>
        </w:rPr>
      </w:pPr>
      <w:r>
        <w:t xml:space="preserve">[Skibba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1DDE9ED1" w14:textId="77777777" w:rsidR="00EB25C3" w:rsidRPr="00432860" w:rsidRDefault="00EB25C3" w:rsidP="00EB25C3">
      <w:pPr>
        <w:ind w:right="-720"/>
        <w:rPr>
          <w:rStyle w:val="StyleUnderline"/>
          <w:b w:val="0"/>
          <w:bCs/>
          <w:sz w:val="16"/>
          <w:u w:val="none"/>
        </w:rPr>
      </w:pPr>
      <w:r w:rsidRPr="00432860">
        <w:rPr>
          <w:rStyle w:val="StyleUnderline"/>
        </w:rPr>
        <w:t>Skibba</w:t>
      </w:r>
      <w:r>
        <w:rPr>
          <w:rStyle w:val="StyleUnderline"/>
        </w:rPr>
        <w:t xml:space="preserve"> 1</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007F6BC8" w14:textId="77777777" w:rsidR="00EB25C3" w:rsidRDefault="00EB25C3" w:rsidP="00EB25C3">
      <w:pPr>
        <w:ind w:right="-720"/>
      </w:pPr>
    </w:p>
    <w:p w14:paraId="33567F72" w14:textId="77777777" w:rsidR="00EB25C3" w:rsidRPr="00BF5B73" w:rsidRDefault="00EB25C3" w:rsidP="00EB25C3">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1863FD34" w14:textId="77777777" w:rsidR="00EB25C3" w:rsidRDefault="00EB25C3" w:rsidP="00EB25C3">
      <w:pPr>
        <w:pStyle w:val="Heading2"/>
        <w:ind w:right="-720"/>
        <w:rPr>
          <w:u w:val="single"/>
        </w:rPr>
      </w:pPr>
      <w:r>
        <w:rPr>
          <w:u w:val="single"/>
        </w:rPr>
        <w:t>Part 3: Do It Now</w:t>
      </w:r>
    </w:p>
    <w:p w14:paraId="4EF56920" w14:textId="77777777" w:rsidR="00EB25C3" w:rsidRDefault="00EB25C3" w:rsidP="00EB25C3">
      <w:pPr>
        <w:ind w:right="-720"/>
      </w:pPr>
    </w:p>
    <w:p w14:paraId="37CEDFC8" w14:textId="77777777" w:rsidR="00EB25C3" w:rsidRPr="004D2010" w:rsidRDefault="00EB25C3" w:rsidP="00EB25C3">
      <w:pPr>
        <w:pStyle w:val="Heading4"/>
        <w:spacing w:line="480" w:lineRule="auto"/>
        <w:ind w:right="-720"/>
        <w:rPr>
          <w:b w:val="0"/>
          <w:bCs w:val="0"/>
        </w:rPr>
      </w:pPr>
      <w:r>
        <w:t xml:space="preserve">[Skibba 2] THE TIME HAS COME – </w:t>
      </w:r>
      <w:r>
        <w:rPr>
          <w:b w:val="0"/>
          <w:bCs w:val="0"/>
        </w:rPr>
        <w:t>global action is key for any hope of change, and existing rules are vastly outdated.</w:t>
      </w:r>
    </w:p>
    <w:p w14:paraId="166BD413" w14:textId="77777777" w:rsidR="00EB25C3" w:rsidRPr="00432860" w:rsidRDefault="00EB25C3" w:rsidP="00EB25C3">
      <w:pPr>
        <w:ind w:right="-720"/>
        <w:rPr>
          <w:rStyle w:val="StyleUnderline"/>
          <w:b w:val="0"/>
          <w:bCs/>
          <w:sz w:val="16"/>
          <w:u w:val="none"/>
        </w:rPr>
      </w:pPr>
      <w:r w:rsidRPr="00432860">
        <w:rPr>
          <w:rStyle w:val="StyleUnderline"/>
        </w:rPr>
        <w:t>Skibba</w:t>
      </w:r>
      <w:r>
        <w:rPr>
          <w:rStyle w:val="StyleUnderline"/>
        </w:rPr>
        <w:t xml:space="preserve"> 2</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41B39D44" w14:textId="77777777" w:rsidR="00EB25C3" w:rsidRDefault="00EB25C3" w:rsidP="00EB25C3">
      <w:pPr>
        <w:ind w:right="-720"/>
      </w:pPr>
    </w:p>
    <w:p w14:paraId="22A514AB" w14:textId="77777777" w:rsidR="00EB25C3" w:rsidRPr="006A75A8" w:rsidRDefault="00EB25C3" w:rsidP="00EB25C3">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All that is to say, </w:t>
      </w:r>
      <w:r w:rsidRPr="004D2010">
        <w:rPr>
          <w:rStyle w:val="StyleUnderline"/>
          <w:highlight w:val="yellow"/>
        </w:rPr>
        <w:t>things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outlaws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3216AB3B" w14:textId="77777777" w:rsidR="00EB25C3" w:rsidRPr="006A75A8" w:rsidRDefault="00EB25C3" w:rsidP="00EB25C3">
      <w:pPr>
        <w:pStyle w:val="Heading4"/>
        <w:spacing w:line="480" w:lineRule="auto"/>
        <w:ind w:right="-720"/>
        <w:rPr>
          <w:b w:val="0"/>
          <w:bCs w:val="0"/>
        </w:rPr>
      </w:pPr>
      <w:r>
        <w:t xml:space="preserve">[Skibba 3] AND </w:t>
      </w:r>
      <w:r>
        <w:rPr>
          <w:b w:val="0"/>
          <w:bCs w:val="0"/>
        </w:rPr>
        <w:t>we need new tools to rupture the public-private connection – companies exploit the lack of existing checks.</w:t>
      </w:r>
    </w:p>
    <w:p w14:paraId="2AB3B85F" w14:textId="77777777" w:rsidR="00EB25C3" w:rsidRPr="00432860" w:rsidRDefault="00EB25C3" w:rsidP="00EB25C3">
      <w:pPr>
        <w:ind w:right="-720"/>
        <w:rPr>
          <w:rStyle w:val="StyleUnderline"/>
          <w:b w:val="0"/>
          <w:bCs/>
          <w:sz w:val="16"/>
          <w:u w:val="none"/>
        </w:rPr>
      </w:pPr>
      <w:r w:rsidRPr="00432860">
        <w:rPr>
          <w:rStyle w:val="StyleUnderline"/>
        </w:rPr>
        <w:t>Skibba</w:t>
      </w:r>
      <w:r>
        <w:rPr>
          <w:rStyle w:val="StyleUnderline"/>
        </w:rPr>
        <w:t xml:space="preserve"> 3</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4BB4E85B" w14:textId="77777777" w:rsidR="00EB25C3" w:rsidRDefault="00EB25C3" w:rsidP="00EB25C3">
      <w:pPr>
        <w:ind w:right="-720"/>
      </w:pPr>
    </w:p>
    <w:p w14:paraId="7642CEB6" w14:textId="77777777" w:rsidR="00EB25C3" w:rsidRDefault="00EB25C3" w:rsidP="00EB25C3">
      <w:pPr>
        <w:spacing w:line="480" w:lineRule="auto"/>
        <w:ind w:right="-720"/>
        <w:rPr>
          <w:sz w:val="16"/>
        </w:rPr>
      </w:pPr>
      <w:r w:rsidRPr="000E228A">
        <w:rPr>
          <w:sz w:val="16"/>
        </w:rPr>
        <w:t>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no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responsibility space actors have to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no clearly established, agreed-upon rules governing space activity. </w:t>
      </w:r>
    </w:p>
    <w:p w14:paraId="7C010C48" w14:textId="77777777" w:rsidR="00EB25C3" w:rsidRPr="00945E26" w:rsidRDefault="00EB25C3" w:rsidP="00EB25C3">
      <w:pPr>
        <w:pStyle w:val="Heading4"/>
        <w:spacing w:line="480" w:lineRule="auto"/>
        <w:ind w:right="-720"/>
        <w:rPr>
          <w:b w:val="0"/>
          <w:bCs w:val="0"/>
        </w:rPr>
      </w:pPr>
      <w:r>
        <w:t xml:space="preserve">[Utrata 4] And </w:t>
      </w:r>
      <w:r>
        <w:rPr>
          <w:b w:val="0"/>
          <w:bCs w:val="0"/>
        </w:rPr>
        <w:t xml:space="preserve">util </w:t>
      </w:r>
      <w:r w:rsidRPr="00945E26">
        <w:rPr>
          <w:b w:val="0"/>
          <w:bCs w:val="0"/>
        </w:rPr>
        <w:t>logic fails</w:t>
      </w:r>
      <w:r>
        <w:rPr>
          <w:b w:val="0"/>
          <w:bCs w:val="0"/>
        </w:rPr>
        <w:t xml:space="preserve"> – it sacrifices POC for white men’s dreams.</w:t>
      </w:r>
    </w:p>
    <w:p w14:paraId="4F412336" w14:textId="77777777" w:rsidR="00EB25C3" w:rsidRPr="007E2EF2" w:rsidRDefault="00EB25C3" w:rsidP="00EB25C3">
      <w:pPr>
        <w:ind w:right="-720"/>
        <w:rPr>
          <w:rFonts w:eastAsia="Times New Roman"/>
          <w:lang w:bidi="he-IL"/>
        </w:rPr>
      </w:pPr>
      <w:r>
        <w:rPr>
          <w:b/>
          <w:bCs/>
          <w:u w:val="single"/>
        </w:rPr>
        <w:t>Utrata 4</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4"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10F0AE9B" w14:textId="77777777" w:rsidR="00EB25C3" w:rsidRDefault="00EB25C3" w:rsidP="00EB25C3">
      <w:pPr>
        <w:pStyle w:val="NoSpacing"/>
        <w:ind w:right="-720"/>
      </w:pPr>
    </w:p>
    <w:p w14:paraId="7C671791" w14:textId="77777777" w:rsidR="00EB25C3" w:rsidRDefault="00EB25C3" w:rsidP="00EB25C3">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1A001CC6" w14:textId="77777777" w:rsidR="00EB25C3" w:rsidRPr="0041543E" w:rsidRDefault="00EB25C3" w:rsidP="00EB25C3">
      <w:pPr>
        <w:pStyle w:val="Heading4"/>
        <w:spacing w:line="480" w:lineRule="auto"/>
        <w:ind w:right="-720"/>
        <w:rPr>
          <w:b w:val="0"/>
          <w:bCs w:val="0"/>
        </w:rPr>
      </w:pPr>
      <w:r>
        <w:t xml:space="preserve">[McCann] Next, </w:t>
      </w:r>
      <w:r>
        <w:rPr>
          <w:b w:val="0"/>
          <w:bCs w:val="0"/>
        </w:rPr>
        <w:t xml:space="preserve">failing to act magnifies capitalistic violence – the benefits of appropriation ONLY go to the rich, leaving others behind on an uninhabitable planet. </w:t>
      </w:r>
    </w:p>
    <w:p w14:paraId="115C9E97" w14:textId="77777777" w:rsidR="00EB25C3" w:rsidRPr="0041543E" w:rsidRDefault="00EB25C3" w:rsidP="00EB25C3">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293CC559" w14:textId="77777777" w:rsidR="00EB25C3" w:rsidRDefault="00EB25C3" w:rsidP="00EB25C3">
      <w:pPr>
        <w:ind w:right="-720"/>
        <w:rPr>
          <w:b/>
          <w:bCs/>
          <w:u w:val="single"/>
        </w:rPr>
      </w:pPr>
    </w:p>
    <w:p w14:paraId="1B6BAD8B" w14:textId="77777777" w:rsidR="00EB25C3" w:rsidRPr="007D47F8" w:rsidRDefault="00EB25C3" w:rsidP="00EB25C3">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With barely liveable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tonnes and </w:t>
      </w:r>
      <w:r w:rsidRPr="005003A0">
        <w:rPr>
          <w:b/>
          <w:bCs/>
          <w:u w:val="single"/>
        </w:rPr>
        <w:t xml:space="preserve">Tesla and SpaceX CEO Elon </w:t>
      </w:r>
      <w:r w:rsidRPr="0041543E">
        <w:rPr>
          <w:b/>
          <w:bCs/>
          <w:highlight w:val="yellow"/>
          <w:u w:val="single"/>
        </w:rPr>
        <w:t>Musk estimated at 2084 tonnes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amount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contract.Although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0CED688B" w14:textId="77777777" w:rsidR="00EB25C3" w:rsidRDefault="00EB25C3" w:rsidP="00EB25C3">
      <w:pPr>
        <w:pStyle w:val="Heading2"/>
        <w:ind w:right="-720"/>
        <w:rPr>
          <w:u w:val="single"/>
        </w:rPr>
      </w:pPr>
      <w:r>
        <w:rPr>
          <w:u w:val="single"/>
        </w:rPr>
        <w:t xml:space="preserve">Extra </w:t>
      </w:r>
    </w:p>
    <w:p w14:paraId="0AD05512" w14:textId="77777777" w:rsidR="00EB25C3" w:rsidRPr="003E6FD6" w:rsidRDefault="00EB25C3" w:rsidP="00EB25C3">
      <w:pPr>
        <w:ind w:right="-720"/>
      </w:pPr>
    </w:p>
    <w:p w14:paraId="755C4C55" w14:textId="77777777" w:rsidR="00EB25C3" w:rsidRDefault="00EB25C3" w:rsidP="00EB25C3">
      <w:pPr>
        <w:pStyle w:val="Heading4"/>
        <w:spacing w:line="480" w:lineRule="auto"/>
        <w:ind w:right="-720"/>
        <w:rPr>
          <w:b w:val="0"/>
          <w:bCs w:val="0"/>
        </w:rPr>
      </w:pPr>
      <w:r>
        <w:t xml:space="preserve">[Mitchell] Further, </w:t>
      </w:r>
      <w:r>
        <w:rPr>
          <w:b w:val="0"/>
          <w:bCs w:val="0"/>
        </w:rPr>
        <w:t>the history of corporate kickbacks from the state justifies acting now.</w:t>
      </w:r>
    </w:p>
    <w:p w14:paraId="70E94CF1" w14:textId="77777777" w:rsidR="00EB25C3" w:rsidRPr="00653AFE" w:rsidRDefault="00EB25C3" w:rsidP="00EB25C3">
      <w:pPr>
        <w:ind w:right="-720"/>
        <w:rPr>
          <w:rStyle w:val="StyleUnderline"/>
          <w:b w:val="0"/>
          <w:bCs/>
          <w:sz w:val="16"/>
          <w:u w:val="none"/>
        </w:rPr>
      </w:pPr>
      <w:r>
        <w:rPr>
          <w:rStyle w:val="StyleUnderline"/>
        </w:rPr>
        <w:t>Mitchell</w:t>
      </w:r>
      <w:r w:rsidRPr="00653AFE">
        <w:rPr>
          <w:rStyle w:val="StyleUnderline"/>
          <w:u w:val="none"/>
        </w:rPr>
        <w:t>:</w:t>
      </w:r>
      <w:r w:rsidRPr="00653AFE">
        <w:rPr>
          <w:rStyle w:val="StyleUnderline"/>
          <w:sz w:val="16"/>
          <w:u w:val="none"/>
        </w:rPr>
        <w:t xml:space="preserve"> </w:t>
      </w:r>
      <w:r w:rsidRPr="00653AFE">
        <w:rPr>
          <w:rStyle w:val="StyleUnderline"/>
          <w:b w:val="0"/>
          <w:bCs/>
          <w:sz w:val="16"/>
          <w:u w:val="none"/>
        </w:rPr>
        <w:t xml:space="preserve">Mitchell, Kirk. [General assignment reporter, </w:t>
      </w:r>
      <w:r w:rsidRPr="00653AFE">
        <w:rPr>
          <w:rStyle w:val="StyleUnderline"/>
          <w:b w:val="0"/>
          <w:bCs/>
          <w:i/>
          <w:iCs/>
          <w:sz w:val="16"/>
          <w:u w:val="none"/>
        </w:rPr>
        <w:t>The Denver Post</w:t>
      </w:r>
      <w:r w:rsidRPr="00653AFE">
        <w:rPr>
          <w:rStyle w:val="StyleUnderline"/>
          <w:b w:val="0"/>
          <w:bCs/>
          <w:sz w:val="16"/>
          <w:u w:val="none"/>
        </w:rPr>
        <w:t xml:space="preserve">] “Denver aerospace company pays $100,000 to settle kickback allegations.” </w:t>
      </w:r>
      <w:r w:rsidRPr="00653AFE">
        <w:rPr>
          <w:rStyle w:val="StyleUnderline"/>
          <w:b w:val="0"/>
          <w:bCs/>
          <w:i/>
          <w:iCs/>
          <w:sz w:val="16"/>
          <w:u w:val="none"/>
        </w:rPr>
        <w:t>The Denver Post</w:t>
      </w:r>
      <w:r w:rsidRPr="00653AFE">
        <w:rPr>
          <w:rStyle w:val="StyleUnderline"/>
          <w:b w:val="0"/>
          <w:bCs/>
          <w:sz w:val="16"/>
          <w:u w:val="none"/>
        </w:rPr>
        <w:t>, December 21, 2016. denverpost.com/2016/12/21/united-launch-alliance-kickback-allegations/ CH</w:t>
      </w:r>
    </w:p>
    <w:p w14:paraId="4139A154" w14:textId="77777777" w:rsidR="00EB25C3" w:rsidRPr="00653AFE" w:rsidRDefault="00EB25C3" w:rsidP="00EB25C3">
      <w:pPr>
        <w:ind w:right="-720"/>
        <w:rPr>
          <w:rStyle w:val="StyleUnderline"/>
          <w:b w:val="0"/>
          <w:bCs/>
          <w:u w:val="none"/>
        </w:rPr>
      </w:pPr>
    </w:p>
    <w:p w14:paraId="5AEEDD05" w14:textId="77777777" w:rsidR="00EB25C3" w:rsidRPr="00A21569" w:rsidRDefault="00EB25C3" w:rsidP="00EB25C3">
      <w:pPr>
        <w:spacing w:line="480" w:lineRule="auto"/>
        <w:ind w:right="-720"/>
        <w:rPr>
          <w:sz w:val="16"/>
        </w:rPr>
      </w:pPr>
      <w:r w:rsidRPr="00653AFE">
        <w:rPr>
          <w:rStyle w:val="StyleUnderline"/>
          <w:highlight w:val="yellow"/>
        </w:rPr>
        <w:t>United Launch Alliance, a joint venture of Lockheed Martin and Boeing Corp. formed to provide cost-efficient spacecraft launch services</w:t>
      </w:r>
      <w:r w:rsidRPr="00653AFE">
        <w:rPr>
          <w:rStyle w:val="StyleUnderline"/>
        </w:rPr>
        <w:t xml:space="preserve"> to the federal government</w:t>
      </w:r>
      <w:r w:rsidRPr="00653AFE">
        <w:rPr>
          <w:rStyle w:val="StyleUnderline"/>
          <w:highlight w:val="yellow"/>
        </w:rPr>
        <w:t>,</w:t>
      </w:r>
      <w:r w:rsidRPr="00653AFE">
        <w:rPr>
          <w:rStyle w:val="StyleUnderline"/>
        </w:rPr>
        <w:t xml:space="preserve"> has </w:t>
      </w:r>
      <w:r w:rsidRPr="00653AFE">
        <w:rPr>
          <w:rStyle w:val="StyleUnderline"/>
          <w:highlight w:val="yellow"/>
        </w:rPr>
        <w:t>paid the</w:t>
      </w:r>
      <w:r w:rsidRPr="00653AFE">
        <w:rPr>
          <w:rStyle w:val="StyleUnderline"/>
        </w:rPr>
        <w:t xml:space="preserve"> </w:t>
      </w:r>
      <w:r w:rsidRPr="00653AFE">
        <w:rPr>
          <w:rStyle w:val="StyleUnderline"/>
          <w:highlight w:val="yellow"/>
        </w:rPr>
        <w:t>U</w:t>
      </w:r>
      <w:r w:rsidRPr="00653AFE">
        <w:rPr>
          <w:rStyle w:val="StyleUnderline"/>
        </w:rPr>
        <w:t xml:space="preserve">nited </w:t>
      </w:r>
      <w:r w:rsidRPr="00653AFE">
        <w:rPr>
          <w:rStyle w:val="StyleUnderline"/>
          <w:highlight w:val="yellow"/>
        </w:rPr>
        <w:t>S</w:t>
      </w:r>
      <w:r w:rsidRPr="00653AFE">
        <w:rPr>
          <w:rStyle w:val="StyleUnderline"/>
        </w:rPr>
        <w:t xml:space="preserve">tates </w:t>
      </w:r>
      <w:r w:rsidRPr="00653AFE">
        <w:rPr>
          <w:rStyle w:val="StyleUnderline"/>
          <w:highlight w:val="yellow"/>
        </w:rPr>
        <w:t>$100,000 to settle allegations that a subcontractor paid its employees kickbacks</w:t>
      </w:r>
      <w:r w:rsidRPr="00653AFE">
        <w:rPr>
          <w:rStyle w:val="StyleUnderline"/>
        </w:rPr>
        <w:t xml:space="preserve"> in order </w:t>
      </w:r>
      <w:r w:rsidRPr="00653AFE">
        <w:rPr>
          <w:rStyle w:val="StyleUnderline"/>
          <w:highlight w:val="yellow"/>
        </w:rPr>
        <w:t xml:space="preserve">to win </w:t>
      </w:r>
      <w:r w:rsidRPr="00A21569">
        <w:rPr>
          <w:rStyle w:val="StyleUnderline"/>
          <w:highlight w:val="yellow"/>
        </w:rPr>
        <w:t>contracts. As a result of the preferential treatment, Centennial-based ULA, and</w:t>
      </w:r>
      <w:r w:rsidRPr="00A21569">
        <w:rPr>
          <w:rStyle w:val="StyleUnderline"/>
        </w:rPr>
        <w:t xml:space="preserve"> by extension, </w:t>
      </w:r>
      <w:r w:rsidRPr="00A21569">
        <w:rPr>
          <w:rStyle w:val="StyleUnderline"/>
          <w:highlight w:val="yellow"/>
        </w:rPr>
        <w:t>the U.S. government</w:t>
      </w:r>
      <w:r w:rsidRPr="00A21569">
        <w:rPr>
          <w:rStyle w:val="StyleUnderline"/>
        </w:rPr>
        <w:t xml:space="preserve">, </w:t>
      </w:r>
      <w:r w:rsidRPr="00A21569">
        <w:rPr>
          <w:rStyle w:val="StyleUnderline"/>
          <w:highlight w:val="yellow"/>
        </w:rPr>
        <w:t>paid higher costs for certain contracts to subcontractor Apriori Technologies between 2011 and</w:t>
      </w:r>
      <w:r w:rsidRPr="00A21569">
        <w:rPr>
          <w:rStyle w:val="StyleUnderline"/>
        </w:rPr>
        <w:t xml:space="preserve"> 20</w:t>
      </w:r>
      <w:r w:rsidRPr="00A21569">
        <w:rPr>
          <w:rStyle w:val="StyleUnderline"/>
          <w:highlight w:val="yellow"/>
        </w:rPr>
        <w:t>15</w:t>
      </w:r>
      <w:r w:rsidRPr="00A21569">
        <w:rPr>
          <w:rStyle w:val="StyleUnderline"/>
        </w:rPr>
        <w:t>, acting U.S. Attorney Robert Troyer said in a news release Wednesday</w:t>
      </w:r>
      <w:r w:rsidRPr="00A21569">
        <w:rPr>
          <w:rStyle w:val="StyleUnderline"/>
          <w:highlight w:val="yellow"/>
        </w:rPr>
        <w:t>.</w:t>
      </w:r>
      <w:r w:rsidRPr="00A21569">
        <w:rPr>
          <w:rStyle w:val="StyleUnderline"/>
        </w:rPr>
        <w:t xml:space="preserve"> According to Troyer, Apriori Technologies paid gratuities to certain ULA employees in order to induce ULA to award the consulting company contracts related to technology, compliance and project management. </w:t>
      </w:r>
      <w:r w:rsidRPr="00A21569">
        <w:rPr>
          <w:rStyle w:val="StyleUnderline"/>
          <w:highlight w:val="yellow"/>
        </w:rPr>
        <w:t>ULA voluntarily disclosed the allegations of misconduct to the U.S.</w:t>
      </w:r>
      <w:r w:rsidRPr="00A21569">
        <w:rPr>
          <w:sz w:val="16"/>
        </w:rPr>
        <w:t xml:space="preserve"> The Air Force’s Office of Special Investigations, the National Reconnaissance Office’s Office of the Inspector General, and the Defense Criminal Investigative Service conducted a joint investigation of the allegations, the news release says. The settlement agreement is neither an admission of liability by ULA, nor a concession by the U.S. that its claims are not well founded, according to the news release.</w:t>
      </w:r>
    </w:p>
    <w:p w14:paraId="68F7D1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5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5C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24B3F"/>
  <w14:defaultImageDpi w14:val="300"/>
  <w15:docId w15:val="{CBE85222-923D-2A4E-9CF9-D62E17231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25C3"/>
    <w:rPr>
      <w:rFonts w:ascii="Times New Roman" w:hAnsi="Times New Roman" w:cs="Times New Roman"/>
    </w:rPr>
  </w:style>
  <w:style w:type="paragraph" w:styleId="Heading1">
    <w:name w:val="heading 1"/>
    <w:aliases w:val="Pocket"/>
    <w:basedOn w:val="Normal"/>
    <w:next w:val="Normal"/>
    <w:link w:val="Heading1Char"/>
    <w:uiPriority w:val="9"/>
    <w:qFormat/>
    <w:rsid w:val="00EB25C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25C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B25C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EB25C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B25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5C3"/>
  </w:style>
  <w:style w:type="character" w:customStyle="1" w:styleId="Heading1Char">
    <w:name w:val="Heading 1 Char"/>
    <w:aliases w:val="Pocket Char"/>
    <w:basedOn w:val="DefaultParagraphFont"/>
    <w:link w:val="Heading1"/>
    <w:uiPriority w:val="9"/>
    <w:rsid w:val="00EB25C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B25C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B25C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EB25C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B25C3"/>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B25C3"/>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B25C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B25C3"/>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EB25C3"/>
    <w:rPr>
      <w:color w:val="auto"/>
      <w:u w:val="none"/>
    </w:rPr>
  </w:style>
  <w:style w:type="paragraph" w:styleId="DocumentMap">
    <w:name w:val="Document Map"/>
    <w:basedOn w:val="Normal"/>
    <w:link w:val="DocumentMapChar"/>
    <w:uiPriority w:val="99"/>
    <w:semiHidden/>
    <w:unhideWhenUsed/>
    <w:rsid w:val="00EB25C3"/>
    <w:rPr>
      <w:rFonts w:ascii="Lucida Grande" w:hAnsi="Lucida Grande" w:cs="Lucida Grande"/>
    </w:rPr>
  </w:style>
  <w:style w:type="character" w:customStyle="1" w:styleId="DocumentMapChar">
    <w:name w:val="Document Map Char"/>
    <w:basedOn w:val="DefaultParagraphFont"/>
    <w:link w:val="DocumentMap"/>
    <w:uiPriority w:val="99"/>
    <w:semiHidden/>
    <w:rsid w:val="00EB25C3"/>
    <w:rPr>
      <w:rFonts w:ascii="Lucida Grande" w:hAnsi="Lucida Grande" w:cs="Lucida Grande"/>
    </w:rPr>
  </w:style>
  <w:style w:type="paragraph" w:styleId="NoSpacing">
    <w:name w:val="No Spacing"/>
    <w:uiPriority w:val="1"/>
    <w:qFormat/>
    <w:rsid w:val="00EB25C3"/>
    <w:rPr>
      <w:rFonts w:ascii="Times New Roman" w:hAnsi="Times New Roman" w:cs="Times New Roman"/>
    </w:rPr>
  </w:style>
  <w:style w:type="character" w:customStyle="1" w:styleId="apple-converted-space">
    <w:name w:val="apple-converted-space"/>
    <w:basedOn w:val="DefaultParagraphFont"/>
    <w:rsid w:val="00EB25C3"/>
  </w:style>
  <w:style w:type="paragraph" w:styleId="NormalWeb">
    <w:name w:val="Normal (Web)"/>
    <w:basedOn w:val="Normal"/>
    <w:uiPriority w:val="99"/>
    <w:semiHidden/>
    <w:unhideWhenUsed/>
    <w:rsid w:val="00EB25C3"/>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EB25C3"/>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B25C3"/>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8352</Words>
  <Characters>47607</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2022-02-11T21:23:00Z</dcterms:created>
  <dcterms:modified xsi:type="dcterms:W3CDTF">2022-02-11T21:24:00Z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