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ED5FB" w14:textId="31104636" w:rsidR="0003406A" w:rsidRDefault="0003406A" w:rsidP="005F0150">
      <w:pPr>
        <w:pStyle w:val="Heading3"/>
      </w:pPr>
      <w:r>
        <w:t>1</w:t>
      </w:r>
    </w:p>
    <w:p w14:paraId="2DDA3F08" w14:textId="3596D82D" w:rsidR="006B31C5" w:rsidRPr="00A32E3A" w:rsidRDefault="00A32E3A" w:rsidP="00A32E3A">
      <w:pPr>
        <w:pStyle w:val="Heading4"/>
        <w:rPr>
          <w:rFonts w:cs="Calibri"/>
        </w:rPr>
      </w:pPr>
      <w:bookmarkStart w:id="0" w:name="_Hlk90647405"/>
      <w:r>
        <w:rPr>
          <w:rFonts w:cs="Calibri"/>
        </w:rPr>
        <w:t>T</w:t>
      </w:r>
      <w:r w:rsidR="006B31C5" w:rsidRPr="00C7794F">
        <w:rPr>
          <w:rFonts w:cs="Calibri"/>
        </w:rPr>
        <w:t>he standard is maximizing expected wellbeing</w:t>
      </w:r>
    </w:p>
    <w:p w14:paraId="28B0D2AD" w14:textId="77777777" w:rsidR="006B31C5" w:rsidRPr="008A282C" w:rsidRDefault="006B31C5" w:rsidP="006B31C5">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228EF63D" w14:textId="77777777" w:rsidR="006B31C5" w:rsidRPr="008A282C" w:rsidRDefault="006B31C5" w:rsidP="006B31C5">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1894F42" w14:textId="77777777" w:rsidR="006B31C5" w:rsidRDefault="006B31C5" w:rsidP="006B31C5">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w:t>
      </w:r>
      <w:r w:rsidRPr="008A282C">
        <w:rPr>
          <w:rFonts w:cstheme="minorHAnsi"/>
          <w:sz w:val="16"/>
        </w:rPr>
        <w:lastRenderedPageBreak/>
        <w:t xml:space="preserve">(see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BB293A8" w14:textId="77777777" w:rsidR="006B31C5" w:rsidRPr="0076472F" w:rsidRDefault="006B31C5" w:rsidP="006B31C5">
      <w:pPr>
        <w:rPr>
          <w:rFonts w:cstheme="minorHAnsi"/>
          <w:sz w:val="16"/>
        </w:rPr>
      </w:pPr>
    </w:p>
    <w:p w14:paraId="3CD77776" w14:textId="77777777" w:rsidR="006B31C5" w:rsidRPr="008A282C" w:rsidRDefault="006B31C5" w:rsidP="006B31C5">
      <w:pPr>
        <w:pStyle w:val="Heading4"/>
        <w:rPr>
          <w:rFonts w:cstheme="minorHAnsi"/>
        </w:rPr>
      </w:pPr>
      <w:r w:rsidRPr="008A282C">
        <w:rPr>
          <w:rFonts w:cstheme="minorHAnsi"/>
        </w:rPr>
        <w:t xml:space="preserve">2 – Actor specificity: </w:t>
      </w:r>
    </w:p>
    <w:p w14:paraId="1EB045D7" w14:textId="4794E0F2" w:rsidR="006B31C5" w:rsidRPr="00AD26CD" w:rsidRDefault="006B31C5" w:rsidP="00AD26CD">
      <w:pPr>
        <w:pStyle w:val="Heading4"/>
        <w:rPr>
          <w:rFonts w:cstheme="minorHAnsi"/>
        </w:rPr>
      </w:pPr>
      <w:r w:rsidRPr="008A282C">
        <w:rPr>
          <w:rFonts w:cstheme="minorHAnsi"/>
        </w:rPr>
        <w:t>[A] Governments must aggregate since every policy benefits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6B741CCC" w14:textId="04592D73" w:rsidR="006B31C5" w:rsidRDefault="006B31C5" w:rsidP="006B31C5">
      <w:pPr>
        <w:pStyle w:val="Heading4"/>
      </w:pPr>
      <w:r>
        <w:t xml:space="preserve">3 - </w:t>
      </w:r>
      <w:r w:rsidRPr="008A282C">
        <w:t>only it can explain degrees of wrongness- it is worse to kill thousands than to lie to a friend- either ethical theories cannot explain comparative badness, or it collapses</w:t>
      </w:r>
    </w:p>
    <w:bookmarkEnd w:id="0"/>
    <w:p w14:paraId="0E560E7C" w14:textId="545CFDE4" w:rsidR="005F0150" w:rsidRDefault="004D2C6A" w:rsidP="005F0150">
      <w:pPr>
        <w:pStyle w:val="Heading3"/>
        <w:rPr>
          <w:rFonts w:asciiTheme="minorHAnsi" w:hAnsiTheme="minorHAnsi" w:cstheme="minorHAnsi"/>
        </w:rPr>
      </w:pPr>
      <w:r>
        <w:rPr>
          <w:rFonts w:asciiTheme="minorHAnsi" w:hAnsiTheme="minorHAnsi" w:cstheme="minorHAnsi"/>
        </w:rPr>
        <w:lastRenderedPageBreak/>
        <w:t>2</w:t>
      </w:r>
    </w:p>
    <w:p w14:paraId="6AAFEB6B" w14:textId="77777777" w:rsidR="007B5CA1" w:rsidRPr="006421B7" w:rsidRDefault="007B5CA1" w:rsidP="007B5CA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9E7678C" w14:textId="77777777" w:rsidR="007B5CA1" w:rsidRPr="00604157" w:rsidRDefault="007B5CA1" w:rsidP="007B5CA1">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D7C537B" w14:textId="77777777" w:rsidR="007B5CA1" w:rsidRDefault="007B5CA1" w:rsidP="007B5CA1">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59B65A1" w14:textId="77777777" w:rsidR="007B5CA1" w:rsidRPr="006A7FF4" w:rsidRDefault="007B5CA1" w:rsidP="007B5CA1">
      <w:pPr>
        <w:pStyle w:val="Heading4"/>
      </w:pPr>
      <w:r>
        <w:t xml:space="preserve">Short innovation cycles mean every contract counts </w:t>
      </w:r>
    </w:p>
    <w:p w14:paraId="1596CA6D" w14:textId="77777777" w:rsidR="007B5CA1" w:rsidRPr="006A7FF4" w:rsidRDefault="007B5CA1" w:rsidP="007B5CA1">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4E07184" w14:textId="77777777" w:rsidR="007B5CA1" w:rsidRDefault="007B5CA1" w:rsidP="007B5CA1">
      <w:r w:rsidRPr="006A7FF4">
        <w:rPr>
          <w:sz w:val="16"/>
        </w:rPr>
        <w:lastRenderedPageBreak/>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16FBE74" w14:textId="77777777" w:rsidR="007B5CA1" w:rsidRDefault="007B5CA1" w:rsidP="007B5CA1">
      <w:pPr>
        <w:pStyle w:val="Heading4"/>
      </w:pPr>
      <w:r>
        <w:t xml:space="preserve">Tech innovation solves every existential threat – cumulative extinction events outweigh the aff </w:t>
      </w:r>
    </w:p>
    <w:p w14:paraId="76EA3863" w14:textId="77777777" w:rsidR="007B5CA1" w:rsidRDefault="007B5CA1" w:rsidP="007B5CA1">
      <w:r>
        <w:t xml:space="preserve">Dylan </w:t>
      </w:r>
      <w:r w:rsidRPr="003A2CA8">
        <w:rPr>
          <w:rFonts w:eastAsiaTheme="majorEastAsia" w:cstheme="majorBidi"/>
          <w:b/>
          <w:bCs/>
          <w:sz w:val="26"/>
          <w:szCs w:val="26"/>
        </w:rPr>
        <w:t>Matthews 18</w:t>
      </w:r>
      <w:r>
        <w:t>. Co-founder of Vox, citing Nick Beckstead @ Rutgers University. 10-26-2018. "How to help people millions of years from now." Vox. https://www.vox.com/future-perfect/2018/10/26/18023366/far-future-effective-altruism-existential-risk-doing-good</w:t>
      </w:r>
    </w:p>
    <w:p w14:paraId="40D9E65D" w14:textId="05D5E1E3" w:rsidR="00B96435" w:rsidRPr="00DB6122" w:rsidRDefault="007B5CA1" w:rsidP="00DB6122">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w:t>
      </w:r>
      <w:r w:rsidRPr="006421B7">
        <w:rPr>
          <w:sz w:val="14"/>
        </w:rPr>
        <w:lastRenderedPageBreak/>
        <w:t xml:space="preserve">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sectPr w:rsidR="00B96435" w:rsidRPr="00DB61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4696C"/>
    <w:multiLevelType w:val="hybridMultilevel"/>
    <w:tmpl w:val="35AEB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000C76"/>
    <w:multiLevelType w:val="hybridMultilevel"/>
    <w:tmpl w:val="0C965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1AF5"/>
    <w:rsid w:val="000139A3"/>
    <w:rsid w:val="0003406A"/>
    <w:rsid w:val="00100833"/>
    <w:rsid w:val="00104529"/>
    <w:rsid w:val="00105942"/>
    <w:rsid w:val="00107396"/>
    <w:rsid w:val="00126FD2"/>
    <w:rsid w:val="00144A4C"/>
    <w:rsid w:val="00172174"/>
    <w:rsid w:val="00176AB0"/>
    <w:rsid w:val="00177B7D"/>
    <w:rsid w:val="0018322D"/>
    <w:rsid w:val="001B5776"/>
    <w:rsid w:val="001C1377"/>
    <w:rsid w:val="001E527A"/>
    <w:rsid w:val="001F4D44"/>
    <w:rsid w:val="001F78CE"/>
    <w:rsid w:val="00251FC7"/>
    <w:rsid w:val="002855A7"/>
    <w:rsid w:val="002B146A"/>
    <w:rsid w:val="002B5E17"/>
    <w:rsid w:val="002D0CE9"/>
    <w:rsid w:val="00315690"/>
    <w:rsid w:val="00316B75"/>
    <w:rsid w:val="00325646"/>
    <w:rsid w:val="003460F2"/>
    <w:rsid w:val="0038158C"/>
    <w:rsid w:val="003902BA"/>
    <w:rsid w:val="00392CDB"/>
    <w:rsid w:val="003A09E2"/>
    <w:rsid w:val="003A2016"/>
    <w:rsid w:val="00402BFD"/>
    <w:rsid w:val="00407037"/>
    <w:rsid w:val="00444A40"/>
    <w:rsid w:val="004605D6"/>
    <w:rsid w:val="004C240F"/>
    <w:rsid w:val="004C60E8"/>
    <w:rsid w:val="004D2C6A"/>
    <w:rsid w:val="004E3579"/>
    <w:rsid w:val="004E728B"/>
    <w:rsid w:val="004F39E0"/>
    <w:rsid w:val="00537BD5"/>
    <w:rsid w:val="0057268A"/>
    <w:rsid w:val="00581AF5"/>
    <w:rsid w:val="005A4C01"/>
    <w:rsid w:val="005D2912"/>
    <w:rsid w:val="005F0150"/>
    <w:rsid w:val="006065BD"/>
    <w:rsid w:val="00645FA9"/>
    <w:rsid w:val="00647866"/>
    <w:rsid w:val="00665003"/>
    <w:rsid w:val="006A2AD0"/>
    <w:rsid w:val="006B31C5"/>
    <w:rsid w:val="006C2375"/>
    <w:rsid w:val="006C6E26"/>
    <w:rsid w:val="006D4ECC"/>
    <w:rsid w:val="006E15CA"/>
    <w:rsid w:val="00716BF4"/>
    <w:rsid w:val="00722258"/>
    <w:rsid w:val="007243E5"/>
    <w:rsid w:val="00766EA0"/>
    <w:rsid w:val="007A2226"/>
    <w:rsid w:val="007B5516"/>
    <w:rsid w:val="007B5CA1"/>
    <w:rsid w:val="007F5B66"/>
    <w:rsid w:val="00822B8B"/>
    <w:rsid w:val="00823A1C"/>
    <w:rsid w:val="008457CB"/>
    <w:rsid w:val="00845B9D"/>
    <w:rsid w:val="00860984"/>
    <w:rsid w:val="008B3ECB"/>
    <w:rsid w:val="008B4E85"/>
    <w:rsid w:val="008C1B2E"/>
    <w:rsid w:val="0091627E"/>
    <w:rsid w:val="00933B5D"/>
    <w:rsid w:val="0097032B"/>
    <w:rsid w:val="009D2EAD"/>
    <w:rsid w:val="009D54B2"/>
    <w:rsid w:val="009E1922"/>
    <w:rsid w:val="009F7ED2"/>
    <w:rsid w:val="00A329DF"/>
    <w:rsid w:val="00A32E3A"/>
    <w:rsid w:val="00A56444"/>
    <w:rsid w:val="00A61ADE"/>
    <w:rsid w:val="00A93661"/>
    <w:rsid w:val="00A95652"/>
    <w:rsid w:val="00AC0AB8"/>
    <w:rsid w:val="00AC4A5C"/>
    <w:rsid w:val="00AD26CD"/>
    <w:rsid w:val="00B0199C"/>
    <w:rsid w:val="00B33C6D"/>
    <w:rsid w:val="00B4508F"/>
    <w:rsid w:val="00B52653"/>
    <w:rsid w:val="00B55AD5"/>
    <w:rsid w:val="00B8057C"/>
    <w:rsid w:val="00B96435"/>
    <w:rsid w:val="00BB6763"/>
    <w:rsid w:val="00BD6238"/>
    <w:rsid w:val="00BF593B"/>
    <w:rsid w:val="00BF773A"/>
    <w:rsid w:val="00BF7E81"/>
    <w:rsid w:val="00C13773"/>
    <w:rsid w:val="00C17CC8"/>
    <w:rsid w:val="00C45FDF"/>
    <w:rsid w:val="00C83417"/>
    <w:rsid w:val="00C9604F"/>
    <w:rsid w:val="00CA0745"/>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122"/>
    <w:rsid w:val="00DD3392"/>
    <w:rsid w:val="00E15E75"/>
    <w:rsid w:val="00E5262C"/>
    <w:rsid w:val="00E622FF"/>
    <w:rsid w:val="00EC7DC4"/>
    <w:rsid w:val="00ED30CF"/>
    <w:rsid w:val="00EE234A"/>
    <w:rsid w:val="00EF7C38"/>
    <w:rsid w:val="00F176EF"/>
    <w:rsid w:val="00F45E10"/>
    <w:rsid w:val="00F5578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600FD"/>
  <w15:chartTrackingRefBased/>
  <w15:docId w15:val="{BFD69ABF-D125-413A-9478-C8B8AA4F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406A"/>
    <w:rPr>
      <w:rFonts w:ascii="Calibri" w:hAnsi="Calibri"/>
    </w:rPr>
  </w:style>
  <w:style w:type="paragraph" w:styleId="Heading1">
    <w:name w:val="heading 1"/>
    <w:aliases w:val="Pocket"/>
    <w:basedOn w:val="Normal"/>
    <w:next w:val="Normal"/>
    <w:link w:val="Heading1Char"/>
    <w:qFormat/>
    <w:rsid w:val="00034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40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0340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Card"/>
    <w:basedOn w:val="Normal"/>
    <w:next w:val="Normal"/>
    <w:link w:val="Heading4Char"/>
    <w:uiPriority w:val="3"/>
    <w:unhideWhenUsed/>
    <w:qFormat/>
    <w:rsid w:val="000340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4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06A"/>
  </w:style>
  <w:style w:type="character" w:customStyle="1" w:styleId="Heading1Char">
    <w:name w:val="Heading 1 Char"/>
    <w:aliases w:val="Pocket Char"/>
    <w:basedOn w:val="DefaultParagraphFont"/>
    <w:link w:val="Heading1"/>
    <w:rsid w:val="000340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406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03406A"/>
    <w:rPr>
      <w:rFonts w:ascii="Calibri" w:eastAsiaTheme="majorEastAsia" w:hAnsi="Calibri" w:cstheme="majorBidi"/>
      <w:b/>
      <w:sz w:val="32"/>
      <w:szCs w:val="24"/>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ta Char"/>
    <w:basedOn w:val="DefaultParagraphFont"/>
    <w:link w:val="Heading4"/>
    <w:uiPriority w:val="3"/>
    <w:rsid w:val="0003406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3406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406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03406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link w:val="NoSpacing"/>
    <w:uiPriority w:val="99"/>
    <w:unhideWhenUsed/>
    <w:rsid w:val="0003406A"/>
    <w:rPr>
      <w:color w:val="auto"/>
      <w:u w:val="none"/>
    </w:rPr>
  </w:style>
  <w:style w:type="character" w:styleId="FollowedHyperlink">
    <w:name w:val="FollowedHyperlink"/>
    <w:basedOn w:val="DefaultParagraphFont"/>
    <w:uiPriority w:val="99"/>
    <w:semiHidden/>
    <w:unhideWhenUsed/>
    <w:rsid w:val="0003406A"/>
    <w:rPr>
      <w:color w:val="auto"/>
      <w:u w:val="none"/>
    </w:rPr>
  </w:style>
  <w:style w:type="paragraph" w:customStyle="1" w:styleId="textbold">
    <w:name w:val="text bold"/>
    <w:basedOn w:val="Normal"/>
    <w:link w:val="Emphasis"/>
    <w:uiPriority w:val="7"/>
    <w:qFormat/>
    <w:rsid w:val="005F0150"/>
    <w:pPr>
      <w:ind w:left="720"/>
      <w:jc w:val="both"/>
    </w:pPr>
    <w:rPr>
      <w:b/>
      <w:iCs/>
      <w:u w:val="single"/>
    </w:rPr>
  </w:style>
  <w:style w:type="paragraph" w:customStyle="1" w:styleId="Emphasis1">
    <w:name w:val="Emphasis1"/>
    <w:basedOn w:val="Normal"/>
    <w:uiPriority w:val="7"/>
    <w:qFormat/>
    <w:rsid w:val="005F01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64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Read This,title,Block Heading"/>
    <w:basedOn w:val="Normal"/>
    <w:next w:val="Normal"/>
    <w:link w:val="TitleChar"/>
    <w:uiPriority w:val="6"/>
    <w:qFormat/>
    <w:rsid w:val="00A56444"/>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A5644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5</Pages>
  <Words>3060</Words>
  <Characters>17444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39</cp:revision>
  <dcterms:created xsi:type="dcterms:W3CDTF">2022-02-12T18:38:00Z</dcterms:created>
  <dcterms:modified xsi:type="dcterms:W3CDTF">2022-02-12T20:32:00Z</dcterms:modified>
</cp:coreProperties>
</file>