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A9FDE" w14:textId="77777777" w:rsidR="00DC57F4" w:rsidRDefault="00DC57F4" w:rsidP="00DC57F4">
      <w:pPr>
        <w:pStyle w:val="Heading2"/>
      </w:pPr>
      <w:r>
        <w:t>1</w:t>
      </w:r>
    </w:p>
    <w:p w14:paraId="2793B79B" w14:textId="77777777" w:rsidR="00DC57F4" w:rsidRDefault="00DC57F4" w:rsidP="00DC57F4">
      <w:pPr>
        <w:pStyle w:val="Heading4"/>
      </w:pPr>
      <w:r>
        <w:t>Pharmaceutical innovation is accelerating now – new medicines are substantially better than existing treatments.</w:t>
      </w:r>
    </w:p>
    <w:p w14:paraId="68F7725F" w14:textId="77777777" w:rsidR="00DC57F4" w:rsidRPr="004531FB" w:rsidRDefault="00DC57F4" w:rsidP="00DC57F4">
      <w:pPr>
        <w:rPr>
          <w:sz w:val="16"/>
        </w:rPr>
      </w:pPr>
      <w:r w:rsidRPr="004531FB">
        <w:rPr>
          <w:rStyle w:val="Style13ptBold"/>
        </w:rPr>
        <w:t>Wills, MBA, and Lipkus, PhD, 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77EBA822" w14:textId="77777777" w:rsidR="00DC57F4" w:rsidRPr="004531FB" w:rsidRDefault="00DC57F4" w:rsidP="00DC57F4">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269E29B2" w14:textId="77777777" w:rsidR="00DC57F4" w:rsidRPr="004531FB" w:rsidRDefault="00DC57F4" w:rsidP="00DC57F4">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1CB2698F" w14:textId="77777777" w:rsidR="00DC57F4" w:rsidRPr="004531FB" w:rsidRDefault="00DC57F4" w:rsidP="00DC57F4">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038848E7" w14:textId="77777777" w:rsidR="00DC57F4" w:rsidRPr="004531FB" w:rsidRDefault="00DC57F4" w:rsidP="00DC57F4">
      <w:pPr>
        <w:rPr>
          <w:sz w:val="16"/>
        </w:rPr>
      </w:pPr>
      <w:r w:rsidRPr="004531FB">
        <w:rPr>
          <w:rStyle w:val="StyleUnderline"/>
        </w:rPr>
        <w:t xml:space="preserve">As it often </w:t>
      </w:r>
      <w:r w:rsidRPr="00B778A4">
        <w:rPr>
          <w:rStyle w:val="StyleUnderline"/>
        </w:rPr>
        <w:t>takes more than 10 years after initial discovery for an experimental drug to gain FDA approval, any measure of drug innovation that relies on the time of approval incorporates a significant time lag between initial discovery and ultimate approval</w:t>
      </w:r>
      <w:r w:rsidRPr="00B778A4">
        <w:rPr>
          <w:sz w:val="16"/>
        </w:rPr>
        <w:t xml:space="preserve">. However, </w:t>
      </w:r>
      <w:r w:rsidRPr="00B778A4">
        <w:rPr>
          <w:rStyle w:val="StyleUnderline"/>
        </w:rPr>
        <w:t>characterizing drug innovation based on structural novelty provides a means to assess the forward-looking innovation potential of an experimental drug at the time</w:t>
      </w:r>
      <w:r w:rsidRPr="004531FB">
        <w:rPr>
          <w:rStyle w:val="StyleUnderline"/>
        </w:rPr>
        <w:t xml:space="preserv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1E617101" w14:textId="77777777" w:rsidR="00DC57F4" w:rsidRPr="004531FB" w:rsidRDefault="00DC57F4" w:rsidP="00DC57F4">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B38F7DA" w14:textId="77777777" w:rsidR="00DC57F4" w:rsidRPr="00AB1385" w:rsidRDefault="00DC57F4" w:rsidP="00DC57F4"/>
    <w:p w14:paraId="73891A6B" w14:textId="77777777" w:rsidR="00DC57F4" w:rsidRDefault="00DC57F4" w:rsidP="00DC57F4">
      <w:pPr>
        <w:pStyle w:val="Heading4"/>
      </w:pPr>
      <w:r>
        <w:lastRenderedPageBreak/>
        <w:t>The biopharmaceutical industry is uniquely reliant on IP protections – undermining them would kill innovation by making an already expensive process completely unfeasible.</w:t>
      </w:r>
    </w:p>
    <w:p w14:paraId="6DC76BDC" w14:textId="77777777" w:rsidR="00DC57F4" w:rsidRPr="00BE4941" w:rsidRDefault="00DC57F4" w:rsidP="00DC57F4">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1681D3D5" w14:textId="77777777" w:rsidR="00DC57F4" w:rsidRPr="00381E8C" w:rsidRDefault="00DC57F4" w:rsidP="00DC57F4">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r w:rsidRPr="009C7379">
        <w:rPr>
          <w:sz w:val="16"/>
        </w:rPr>
        <w:t xml:space="preserve">DiMasi and colleagues, </w:t>
      </w:r>
      <w:r w:rsidRPr="009C7379">
        <w:rPr>
          <w:rStyle w:val="StyleUnderline"/>
        </w:rPr>
        <w:t>the estimated cost of developing a new medicine is US</w:t>
      </w:r>
      <w:r w:rsidRPr="009C7379">
        <w:rPr>
          <w:rStyle w:val="Emphasis"/>
        </w:rPr>
        <w:t>$2.6 billion</w:t>
      </w:r>
      <w:r w:rsidRPr="009C7379">
        <w:rPr>
          <w:sz w:val="16"/>
        </w:rPr>
        <w:t xml:space="preserve"> (DiMasi, Grabowski, and Hansen, 2016).2 In addition, </w:t>
      </w:r>
      <w:r w:rsidRPr="009C7379">
        <w:rPr>
          <w:rStyle w:val="StyleUnderline"/>
        </w:rPr>
        <w:t xml:space="preserve">the time required to develop a new drug is also significant, averaging 10 to 15 years </w:t>
      </w:r>
      <w:r w:rsidRPr="009C7379">
        <w:rPr>
          <w:rStyle w:val="Emphasis"/>
        </w:rPr>
        <w:t>without any guarantee of success</w:t>
      </w:r>
      <w:r w:rsidRPr="009C7379">
        <w:rPr>
          <w:sz w:val="16"/>
        </w:rPr>
        <w:t xml:space="preserve"> (PhRMA</w:t>
      </w:r>
      <w:r w:rsidRPr="00381E8C">
        <w:rPr>
          <w:sz w:val="16"/>
        </w:rPr>
        <w:t xml:space="preserve">, n.d.). </w:t>
      </w:r>
      <w:r w:rsidRPr="00B778A4">
        <w:rPr>
          <w:sz w:val="16"/>
        </w:rPr>
        <w:t xml:space="preserve">While these figures are highly controversial, </w:t>
      </w:r>
      <w:r w:rsidRPr="00B778A4">
        <w:rPr>
          <w:rStyle w:val="StyleUnderline"/>
        </w:rPr>
        <w:t>biopharmaceutical innovation is unquestionably an expensive and lengthy undertaking</w:t>
      </w:r>
      <w:r w:rsidRPr="00B778A4">
        <w:rPr>
          <w:sz w:val="16"/>
        </w:rPr>
        <w:t xml:space="preserve">.3 For the biopharmaceutical industry, </w:t>
      </w:r>
      <w:r w:rsidRPr="00B778A4">
        <w:rPr>
          <w:rStyle w:val="Emphasis"/>
        </w:rPr>
        <w:t>innovation and its protection</w:t>
      </w:r>
      <w:r w:rsidRPr="00B778A4">
        <w:rPr>
          <w:rStyle w:val="StyleUnderline"/>
        </w:rPr>
        <w:t xml:space="preserve"> are essential and the</w:t>
      </w:r>
      <w:r w:rsidRPr="00914CB1">
        <w:rPr>
          <w:rStyle w:val="StyleUnderline"/>
        </w:rPr>
        <w:t xml:space="preserv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w:t>
      </w:r>
      <w:r w:rsidRPr="00B778A4">
        <w:rPr>
          <w:sz w:val="16"/>
        </w:rPr>
        <w:t xml:space="preserve">patents are again considered “unambiguously the least effective appropriability mechanisms,” the drug industry and other scholars regard them as strictly more effective than alternative mechanisms (Cohen, Nelson, and Walsh, 1996). </w:t>
      </w:r>
      <w:r w:rsidRPr="00B778A4">
        <w:rPr>
          <w:rStyle w:val="StyleUnderline"/>
        </w:rPr>
        <w:t>The industry’s disproportionate reliance on patents and other forms of intellectual property protection is confirmed in numerous ot</w:t>
      </w:r>
      <w:r w:rsidRPr="00C91BBA">
        <w:rPr>
          <w:rStyle w:val="StyleUnderline"/>
        </w:rPr>
        <w:t>her studies</w:t>
      </w:r>
      <w:r w:rsidRPr="00381E8C">
        <w:rPr>
          <w:sz w:val="16"/>
        </w:rPr>
        <w:t>.4</w:t>
      </w:r>
    </w:p>
    <w:p w14:paraId="0DA83E11" w14:textId="77777777" w:rsidR="00DC57F4" w:rsidRPr="00381E8C" w:rsidRDefault="00DC57F4" w:rsidP="00DC57F4">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A61C1AF" w14:textId="77777777" w:rsidR="00DC57F4" w:rsidRPr="00B778A4" w:rsidRDefault="00DC57F4" w:rsidP="00DC57F4">
      <w:pPr>
        <w:rPr>
          <w:sz w:val="16"/>
        </w:rPr>
      </w:pPr>
      <w:r w:rsidRPr="00E51F4D">
        <w:rPr>
          <w:rStyle w:val="StyleUnderline"/>
        </w:rPr>
        <w:t xml:space="preserve">The biopharmaceutical industry is characterized by a number of legal and economic issues that </w:t>
      </w:r>
      <w:r w:rsidRPr="00E51F4D">
        <w:rPr>
          <w:rStyle w:val="Emphasis"/>
        </w:rPr>
        <w:t xml:space="preserve">distinguish it from other </w:t>
      </w:r>
      <w:r w:rsidRPr="00B778A4">
        <w:rPr>
          <w:rStyle w:val="Emphasis"/>
        </w:rPr>
        <w:t>research-intensive industries</w:t>
      </w:r>
      <w:r w:rsidRPr="00B778A4">
        <w:rPr>
          <w:sz w:val="16"/>
        </w:rPr>
        <w:t xml:space="preserve">. Danzon (1999) describes three features that are particularly noteworthy. </w:t>
      </w:r>
      <w:r w:rsidRPr="00B778A4">
        <w:rPr>
          <w:rStyle w:val="StyleUnderline"/>
        </w:rPr>
        <w:t xml:space="preserve">First, given that the biopharmaceutical industry is characterized by an unusually high rate of R&amp;D, intellectual property protection provides for the potential for </w:t>
      </w:r>
      <w:r w:rsidRPr="00B778A4">
        <w:rPr>
          <w:rStyle w:val="Emphasis"/>
        </w:rPr>
        <w:t>significant market power</w:t>
      </w:r>
      <w:r w:rsidRPr="00B778A4">
        <w:rPr>
          <w:rStyle w:val="StyleUnderline"/>
        </w:rPr>
        <w:t xml:space="preserve"> and monopoly</w:t>
      </w:r>
      <w:r w:rsidRPr="00BB372E">
        <w:rPr>
          <w:rStyle w:val="StyleUnderline"/>
        </w:rPr>
        <w:t xml:space="preserve">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Danzon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w:t>
      </w:r>
      <w:r w:rsidRPr="00B778A4">
        <w:rPr>
          <w:rStyle w:val="StyleUnderline"/>
        </w:rPr>
        <w:t>even within a single country, affecting consumption patterns, productivity, R&amp;D and hence the supply of future technologies”</w:t>
      </w:r>
      <w:r w:rsidRPr="00B778A4">
        <w:rPr>
          <w:sz w:val="16"/>
        </w:rPr>
        <w:t xml:space="preserve"> (</w:t>
      </w:r>
      <w:r w:rsidRPr="00BB372E">
        <w:rPr>
          <w:sz w:val="16"/>
        </w:rPr>
        <w:t xml:space="preserve">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w:t>
      </w:r>
      <w:r w:rsidRPr="00B778A4">
        <w:rPr>
          <w:sz w:val="16"/>
        </w:rPr>
        <w:t>heir production, marketing, and distribution.</w:t>
      </w:r>
    </w:p>
    <w:p w14:paraId="63501031" w14:textId="77777777" w:rsidR="00DC57F4" w:rsidRPr="00381E8C" w:rsidRDefault="00DC57F4" w:rsidP="00DC57F4">
      <w:pPr>
        <w:rPr>
          <w:sz w:val="16"/>
        </w:rPr>
      </w:pPr>
      <w:r w:rsidRPr="00B778A4">
        <w:rPr>
          <w:rStyle w:val="StyleUnderline"/>
        </w:rPr>
        <w:t>Innovative companies make far greater investments in time, resources, and financial support than do generic firms</w:t>
      </w:r>
      <w:r w:rsidRPr="00B778A4">
        <w:rPr>
          <w:sz w:val="16"/>
        </w:rPr>
        <w:t xml:space="preserve">. Notably, </w:t>
      </w:r>
      <w:r w:rsidRPr="00B778A4">
        <w:rPr>
          <w:rStyle w:val="StyleUnderline"/>
        </w:rPr>
        <w:t>i</w:t>
      </w:r>
      <w:r w:rsidRPr="00A2522C">
        <w:rPr>
          <w:rStyle w:val="StyleUnderline"/>
          <w:highlight w:val="yellow"/>
        </w:rPr>
        <w:t xml:space="preserve">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 xml:space="preserve">the investment of time, from laboratory to market, is also close to </w:t>
      </w:r>
      <w:r w:rsidRPr="00B778A4">
        <w:rPr>
          <w:rStyle w:val="StyleUnderline"/>
        </w:rPr>
        <w:t>double for innovative companies relative to generic producers</w:t>
      </w:r>
      <w:r w:rsidRPr="00B778A4">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118A1BCB" w14:textId="77777777" w:rsidR="00DC57F4" w:rsidRPr="00381E8C" w:rsidRDefault="00DC57F4" w:rsidP="00DC57F4">
      <w:pPr>
        <w:rPr>
          <w:sz w:val="16"/>
        </w:rPr>
      </w:pPr>
      <w:r w:rsidRPr="00381E8C">
        <w:rPr>
          <w:sz w:val="16"/>
        </w:rPr>
        <w:t xml:space="preserve">The risk </w:t>
      </w:r>
      <w:r w:rsidRPr="00B778A4">
        <w:rPr>
          <w:sz w:val="16"/>
        </w:rPr>
        <w:t xml:space="preserve">involved in biopharmaceutical development is starkly illustrated in a recent report by Biotechnology Innovation Organization (BIO), which reports that </w:t>
      </w:r>
      <w:r w:rsidRPr="00B778A4">
        <w:rPr>
          <w:rStyle w:val="StyleUnderline"/>
        </w:rPr>
        <w:t>less than one of every 10 drugs that enter clinical trials is ultimately approved by the F</w:t>
      </w:r>
      <w:r w:rsidRPr="00B778A4">
        <w:rPr>
          <w:sz w:val="16"/>
        </w:rPr>
        <w:t xml:space="preserve">ood and </w:t>
      </w:r>
      <w:r w:rsidRPr="00B778A4">
        <w:rPr>
          <w:rStyle w:val="StyleUnderline"/>
        </w:rPr>
        <w:t>D</w:t>
      </w:r>
      <w:r w:rsidRPr="00B778A4">
        <w:rPr>
          <w:sz w:val="16"/>
        </w:rPr>
        <w:t xml:space="preserve">rug </w:t>
      </w:r>
      <w:r w:rsidRPr="00B778A4">
        <w:rPr>
          <w:rStyle w:val="StyleUnderline"/>
        </w:rPr>
        <w:t>A</w:t>
      </w:r>
      <w:r w:rsidRPr="00B778A4">
        <w:rPr>
          <w:sz w:val="16"/>
        </w:rPr>
        <w:t>dministration in the United States.</w:t>
      </w:r>
      <w:r w:rsidRPr="00381E8C">
        <w:rPr>
          <w:sz w:val="16"/>
        </w:rPr>
        <w:t xml:space="preserve">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A58F51D" w14:textId="77777777" w:rsidR="00DC57F4" w:rsidRPr="00381E8C" w:rsidRDefault="00DC57F4" w:rsidP="00DC57F4">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41C0467B" w14:textId="77777777" w:rsidR="00DC57F4" w:rsidRDefault="00DC57F4" w:rsidP="00DC57F4"/>
    <w:p w14:paraId="085CBAB9" w14:textId="77777777" w:rsidR="00DC57F4" w:rsidRPr="00BB372E" w:rsidRDefault="00DC57F4" w:rsidP="00DC57F4">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6873FD1B" w14:textId="77777777" w:rsidR="00DC57F4" w:rsidRPr="00BB372E" w:rsidRDefault="00DC57F4" w:rsidP="00DC57F4">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44C1F3F6" w14:textId="77777777" w:rsidR="00DC57F4" w:rsidRPr="00BB372E" w:rsidRDefault="00DC57F4" w:rsidP="00DC57F4">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well-recognised</w:t>
      </w:r>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w:t>
      </w:r>
      <w:r w:rsidRPr="00B778A4">
        <w:rPr>
          <w:rFonts w:eastAsia="Cambria"/>
          <w:sz w:val="16"/>
        </w:rPr>
        <w:t xml:space="preserve">pharmaceutical industry commercial models, shareholder expectations and compe-tition within the industry. However, </w:t>
      </w:r>
      <w:r w:rsidRPr="00B778A4">
        <w:rPr>
          <w:rFonts w:eastAsia="Cambria"/>
          <w:u w:val="single"/>
        </w:rPr>
        <w:t>the expertise, networks and infrastructure that industry has within its reach</w:t>
      </w:r>
      <w:r w:rsidRPr="00B778A4">
        <w:rPr>
          <w:rFonts w:eastAsia="Cambria"/>
          <w:sz w:val="16"/>
        </w:rPr>
        <w:t xml:space="preserve">, as well as public expectations and the moral imperative, </w:t>
      </w:r>
      <w:r w:rsidRPr="00B778A4">
        <w:rPr>
          <w:rFonts w:eastAsia="Cambria"/>
          <w:u w:val="single"/>
        </w:rPr>
        <w:t xml:space="preserve">make pharmaceutical companies and the wider life sciences sector an </w:t>
      </w:r>
      <w:r w:rsidRPr="00B778A4">
        <w:rPr>
          <w:rFonts w:eastAsia="Cambria"/>
          <w:b/>
          <w:bCs/>
          <w:u w:val="single"/>
        </w:rPr>
        <w:t xml:space="preserve">indispensable </w:t>
      </w:r>
      <w:r w:rsidRPr="00B778A4">
        <w:rPr>
          <w:rFonts w:eastAsia="Cambria"/>
          <w:u w:val="single"/>
        </w:rPr>
        <w:t xml:space="preserve">partner in the </w:t>
      </w:r>
      <w:r w:rsidRPr="00B778A4">
        <w:rPr>
          <w:rFonts w:eastAsia="Cambria"/>
          <w:u w:val="single"/>
        </w:rPr>
        <w:lastRenderedPageBreak/>
        <w:t>search for solutions that save lives</w:t>
      </w:r>
      <w:r w:rsidRPr="00B778A4">
        <w:rPr>
          <w:rFonts w:eastAsia="Cambria"/>
          <w:sz w:val="16"/>
        </w:rPr>
        <w:t xml:space="preserve">. </w:t>
      </w:r>
      <w:r w:rsidRPr="00B778A4">
        <w:rPr>
          <w:rFonts w:eastAsia="Cambria"/>
          <w:u w:val="single"/>
        </w:rPr>
        <w:t>This perspective argues for the need to establish more sustainable and scalable ways of incentivising pharmaceu-tical innovation in</w:t>
      </w:r>
      <w:r w:rsidRPr="00BB372E">
        <w:rPr>
          <w:rFonts w:eastAsia="Cambria"/>
          <w:u w:val="single"/>
        </w:rPr>
        <w:t xml:space="preserve">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w:t>
      </w:r>
      <w:r w:rsidRPr="00B778A4">
        <w:rPr>
          <w:rFonts w:eastAsia="Cambria"/>
          <w:u w:val="single"/>
        </w:rPr>
        <w:t xml:space="preserve">that contributing to the search for effective medicines, vaccines or diagnostics is </w:t>
      </w:r>
      <w:r w:rsidRPr="00B778A4">
        <w:rPr>
          <w:rFonts w:eastAsia="Cambria"/>
          <w:b/>
          <w:bCs/>
          <w:u w:val="single"/>
        </w:rPr>
        <w:t>essential</w:t>
      </w:r>
      <w:r w:rsidRPr="00B778A4">
        <w:rPr>
          <w:rFonts w:eastAsia="Cambria"/>
          <w:u w:val="single"/>
        </w:rPr>
        <w:t xml:space="preserve"> for socially responsible companies in the sec-tor</w:t>
      </w:r>
      <w:r w:rsidRPr="00B778A4">
        <w:rPr>
          <w:rFonts w:eastAsia="Cambria"/>
          <w:sz w:val="16"/>
        </w:rPr>
        <w:t>.2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w:t>
      </w:r>
      <w:r w:rsidRPr="00BB372E">
        <w:rPr>
          <w:rFonts w:eastAsia="Cambria"/>
          <w:sz w:val="16"/>
        </w:rPr>
        <w:t xml:space="preserve">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5FB90792" w14:textId="77777777" w:rsidR="00DC57F4" w:rsidRDefault="00DC57F4" w:rsidP="00DC57F4">
      <w:pPr>
        <w:rPr>
          <w:rFonts w:eastAsia="Cambria"/>
          <w:sz w:val="16"/>
        </w:rPr>
      </w:pPr>
    </w:p>
    <w:p w14:paraId="586458C2" w14:textId="77777777" w:rsidR="00DC57F4" w:rsidRDefault="00DC57F4" w:rsidP="00DC57F4">
      <w:pPr>
        <w:pStyle w:val="Heading4"/>
      </w:pPr>
      <w:r>
        <w:t>Bioterrorism and future pandemics cause extinction.</w:t>
      </w:r>
    </w:p>
    <w:p w14:paraId="1CADF9D3" w14:textId="77777777" w:rsidR="00DC57F4" w:rsidRPr="00CA2687" w:rsidRDefault="00DC57F4" w:rsidP="00DC57F4">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5955C3FB" w14:textId="77777777" w:rsidR="00DC57F4" w:rsidRPr="00AB1385" w:rsidRDefault="00DC57F4" w:rsidP="00DC57F4">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w:t>
      </w:r>
      <w:r w:rsidRPr="00B778A4">
        <w:rPr>
          <w:rStyle w:val="StyleUnderline"/>
        </w:rPr>
        <w:t>the future whose combination of virulence</w:t>
      </w:r>
      <w:r w:rsidRPr="00B778A4">
        <w:rPr>
          <w:sz w:val="16"/>
        </w:rPr>
        <w:t xml:space="preserve"> (the harm a pathogen does to its host), </w:t>
      </w:r>
      <w:r w:rsidRPr="00B778A4">
        <w:rPr>
          <w:rStyle w:val="StyleUnderline"/>
        </w:rPr>
        <w:t xml:space="preserve">transmissibility, and other characteristics </w:t>
      </w:r>
      <w:r w:rsidRPr="00A2522C">
        <w:rPr>
          <w:rStyle w:val="StyleUnderline"/>
          <w:highlight w:val="yellow"/>
        </w:rPr>
        <w:t>pose much greater danger</w:t>
      </w:r>
      <w:r w:rsidRPr="00AB1385">
        <w:rPr>
          <w:sz w:val="16"/>
        </w:rPr>
        <w:t>.</w:t>
      </w:r>
    </w:p>
    <w:p w14:paraId="4A4C5417" w14:textId="77777777" w:rsidR="00DC57F4" w:rsidRPr="009C7379" w:rsidRDefault="00DC57F4" w:rsidP="00DC57F4">
      <w:pPr>
        <w:rPr>
          <w:sz w:val="16"/>
        </w:rPr>
      </w:pPr>
      <w:r w:rsidRPr="00AB1385">
        <w:rPr>
          <w:sz w:val="16"/>
        </w:rPr>
        <w:t xml:space="preserve">While overwhelming evidence points to SARS-CoV-2 spontaneously spreading to </w:t>
      </w:r>
      <w:r w:rsidRPr="009C7379">
        <w:rPr>
          <w:sz w:val="16"/>
        </w:rPr>
        <w:t xml:space="preserve">humans, </w:t>
      </w:r>
      <w:r w:rsidRPr="009C7379">
        <w:rPr>
          <w:rStyle w:val="StyleUnderline"/>
        </w:rPr>
        <w:t>the advances in synthetic biology and the growth in the number of Level 3 and 4 biocontainment facilities around the world storing deadly viruses</w:t>
      </w:r>
      <w:r w:rsidRPr="009C7379">
        <w:rPr>
          <w:sz w:val="16"/>
        </w:rPr>
        <w:t xml:space="preserve">1 </w:t>
      </w:r>
      <w:r w:rsidRPr="009C7379">
        <w:rPr>
          <w:rStyle w:val="StyleUnderline"/>
        </w:rPr>
        <w:t xml:space="preserve">mean there is also the very real possibility that in the future, bad actors will try to </w:t>
      </w:r>
      <w:r w:rsidRPr="009C7379">
        <w:rPr>
          <w:rStyle w:val="Emphasis"/>
        </w:rPr>
        <w:t xml:space="preserve">engineer or </w:t>
      </w:r>
      <w:r w:rsidRPr="009C7379">
        <w:rPr>
          <w:rStyle w:val="Emphasis"/>
        </w:rPr>
        <w:lastRenderedPageBreak/>
        <w:t>steal</w:t>
      </w:r>
      <w:r w:rsidRPr="009C7379">
        <w:rPr>
          <w:rStyle w:val="StyleUnderline"/>
        </w:rPr>
        <w:t xml:space="preserve">/obtain a highly transmissible and highly virulent virus and unleash it onto the world. Another risk is </w:t>
      </w:r>
      <w:r w:rsidRPr="009C7379">
        <w:rPr>
          <w:rStyle w:val="Emphasis"/>
        </w:rPr>
        <w:t>accidental releases</w:t>
      </w:r>
      <w:r w:rsidRPr="009C7379">
        <w:rPr>
          <w:rStyle w:val="StyleUnderline"/>
        </w:rPr>
        <w:t xml:space="preserve"> from such biocontainment facilities</w:t>
      </w:r>
      <w:r w:rsidRPr="009C7379">
        <w:rPr>
          <w:sz w:val="16"/>
        </w:rPr>
        <w:t>.</w:t>
      </w:r>
    </w:p>
    <w:p w14:paraId="6D42E360" w14:textId="77777777" w:rsidR="00DC57F4" w:rsidRPr="00AB1385" w:rsidRDefault="00DC57F4" w:rsidP="00DC57F4">
      <w:pPr>
        <w:rPr>
          <w:sz w:val="16"/>
        </w:rPr>
      </w:pPr>
      <w:r w:rsidRPr="009C7379">
        <w:rPr>
          <w:rStyle w:val="StyleUnderline"/>
        </w:rPr>
        <w:t>COVID-19, a highly transmissible but not very virulent pathogen, has had a devastating</w:t>
      </w:r>
      <w:r w:rsidRPr="00AB1385">
        <w:rPr>
          <w:rStyle w:val="StyleUnderline"/>
        </w:rPr>
        <w:t xml:space="preserve">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3A19BEBB" w14:textId="77777777" w:rsidR="00DC57F4" w:rsidRPr="00AB1385" w:rsidRDefault="00DC57F4" w:rsidP="00DC57F4">
      <w:pPr>
        <w:rPr>
          <w:sz w:val="16"/>
        </w:rPr>
      </w:pPr>
      <w:r w:rsidRPr="00AB1385">
        <w:rPr>
          <w:sz w:val="16"/>
        </w:rPr>
        <w:t>The Need to Rethink Likelihood</w:t>
      </w:r>
    </w:p>
    <w:p w14:paraId="08B6D24C" w14:textId="77777777" w:rsidR="00DC57F4" w:rsidRPr="00AB1385" w:rsidRDefault="00DC57F4" w:rsidP="00DC57F4">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68AE5039" w14:textId="77777777" w:rsidR="00DC57F4" w:rsidRPr="00AB1385" w:rsidRDefault="00DC57F4" w:rsidP="00DC57F4">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024897C4" w14:textId="77777777" w:rsidR="00DC57F4" w:rsidRPr="00AB1385" w:rsidRDefault="00DC57F4" w:rsidP="00DC57F4">
      <w:pPr>
        <w:rPr>
          <w:sz w:val="16"/>
        </w:rPr>
      </w:pPr>
      <w:r w:rsidRPr="00AB1385">
        <w:rPr>
          <w:sz w:val="16"/>
        </w:rPr>
        <w:t>In the August 2020 issue of this publication, scientists at the U.S. Military Academy at West Point warned that:</w:t>
      </w:r>
    </w:p>
    <w:p w14:paraId="35F2F3C0" w14:textId="77777777" w:rsidR="00DC57F4" w:rsidRPr="00AB1385" w:rsidRDefault="00DC57F4" w:rsidP="00DC57F4">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447DD369" w14:textId="77777777" w:rsidR="00DC57F4" w:rsidRPr="00AB1385" w:rsidRDefault="00DC57F4" w:rsidP="00DC57F4">
      <w:pPr>
        <w:rPr>
          <w:sz w:val="16"/>
        </w:rPr>
      </w:pPr>
      <w:r w:rsidRPr="009C7379">
        <w:rPr>
          <w:sz w:val="16"/>
        </w:rPr>
        <w:t xml:space="preserve">The cost threshold of engineering viruses is also lowering, with the West Point scientists warning that </w:t>
      </w:r>
      <w:r w:rsidRPr="009C7379">
        <w:rPr>
          <w:rStyle w:val="StyleUnderline"/>
        </w:rPr>
        <w:t>synthetic biology has “placed the ability to recreate some of the deadliest infectious diseases kn</w:t>
      </w:r>
      <w:r w:rsidRPr="00AB1385">
        <w:rPr>
          <w:rStyle w:val="StyleUnderline"/>
        </w:rPr>
        <w:t xml:space="preserve">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2A2438A4" w14:textId="77777777" w:rsidR="00DC57F4" w:rsidRPr="00AB1385" w:rsidRDefault="00DC57F4" w:rsidP="00DC57F4">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4A9DA8B8" w14:textId="77777777" w:rsidR="00DC57F4" w:rsidRDefault="00DC57F4" w:rsidP="00DC57F4">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3919970A" w14:textId="03799B9F" w:rsidR="00A95652" w:rsidRDefault="008105CE" w:rsidP="008105CE">
      <w:pPr>
        <w:pStyle w:val="Heading2"/>
      </w:pPr>
      <w:r>
        <w:lastRenderedPageBreak/>
        <w:t>2</w:t>
      </w:r>
    </w:p>
    <w:p w14:paraId="4AFA488F" w14:textId="77777777" w:rsidR="008105CE" w:rsidRDefault="008105CE" w:rsidP="008105CE">
      <w:pPr>
        <w:pStyle w:val="Heading4"/>
        <w:rPr>
          <w:rStyle w:val="Style13ptBold"/>
          <w:b/>
          <w:bCs w:val="0"/>
          <w:sz w:val="28"/>
        </w:rPr>
      </w:pPr>
      <w:r>
        <w:rPr>
          <w:rStyle w:val="Style13ptBold"/>
          <w:b/>
          <w:bCs w:val="0"/>
          <w:sz w:val="28"/>
        </w:rPr>
        <w:t>International donors should allocate 30% of vertical disease funding towards infrastructure in developing nations.</w:t>
      </w:r>
    </w:p>
    <w:p w14:paraId="7EBE6572" w14:textId="77777777" w:rsidR="008105CE" w:rsidRPr="0078342D" w:rsidRDefault="008105CE" w:rsidP="008105CE"/>
    <w:p w14:paraId="6946BBE6" w14:textId="756F4650" w:rsidR="008105CE" w:rsidRDefault="008105CE" w:rsidP="008105CE">
      <w:pPr>
        <w:pStyle w:val="Heading4"/>
        <w:rPr>
          <w:rStyle w:val="Style13ptBold"/>
          <w:b/>
          <w:bCs w:val="0"/>
          <w:sz w:val="28"/>
        </w:rPr>
      </w:pPr>
      <w:r>
        <w:rPr>
          <w:rStyle w:val="Style13ptBold"/>
          <w:b/>
          <w:bCs w:val="0"/>
          <w:sz w:val="28"/>
        </w:rPr>
        <w:t>Disease specific funding causes budget imbalances and inequity in treatment. Using that funding to improve primary health care is key to non-HIV diseases and pandemics.</w:t>
      </w:r>
      <w:r w:rsidR="008063CA">
        <w:rPr>
          <w:rStyle w:val="Style13ptBold"/>
          <w:b/>
          <w:bCs w:val="0"/>
          <w:sz w:val="28"/>
        </w:rPr>
        <w:t xml:space="preserve"> Also spurs innovation.</w:t>
      </w:r>
    </w:p>
    <w:p w14:paraId="59A35F90" w14:textId="77777777" w:rsidR="008105CE" w:rsidRDefault="008105CE" w:rsidP="008105CE">
      <w:pPr>
        <w:rPr>
          <w:rStyle w:val="Style13ptBold"/>
          <w:b w:val="0"/>
          <w:bCs w:val="0"/>
          <w:sz w:val="22"/>
          <w:szCs w:val="18"/>
        </w:rPr>
      </w:pPr>
      <w:r w:rsidRPr="00BC4AD5">
        <w:rPr>
          <w:rStyle w:val="Style13ptBold"/>
        </w:rPr>
        <w:t xml:space="preserve">De Maeseneer et al. </w:t>
      </w:r>
      <w:r w:rsidRPr="00646FB2">
        <w:rPr>
          <w:rStyle w:val="Style13ptBold"/>
        </w:rPr>
        <w:t xml:space="preserve">’20 </w:t>
      </w:r>
      <w:r w:rsidRPr="00646FB2">
        <w:rPr>
          <w:rStyle w:val="Style13ptBold"/>
          <w:b w:val="0"/>
          <w:bCs w:val="0"/>
          <w:sz w:val="22"/>
          <w:szCs w:val="18"/>
        </w:rPr>
        <w:t>(Jan De Maesenee</w:t>
      </w:r>
      <w:r>
        <w:rPr>
          <w:rStyle w:val="Style13ptBold"/>
          <w:b w:val="0"/>
          <w:bCs w:val="0"/>
          <w:sz w:val="22"/>
          <w:szCs w:val="18"/>
        </w:rPr>
        <w:t xml:space="preserve">r is the Head of the Department of Family Medicine and Primary Health Care of Ghent University. He is also the Director of the International Centre for Primary Health Care and Family Medicine; Jan De Maeseneer, Donald Li, Bjorg Palsdottir, November 2020, “Universal health coverage and primary health care: the 30 by 2030 campaign,” Bulletin of the World Health Organization, </w:t>
      </w:r>
      <w:hyperlink r:id="rId9" w:history="1">
        <w:r w:rsidRPr="009D1C4A">
          <w:rPr>
            <w:rStyle w:val="Hyperlink"/>
            <w:szCs w:val="18"/>
          </w:rPr>
          <w:t>https://www.researchgate.net/publication/345938887_Universal_health_coverage_and_primary_health_care_the_30_by_2030_campaign</w:t>
        </w:r>
      </w:hyperlink>
      <w:r>
        <w:rPr>
          <w:rStyle w:val="Style13ptBold"/>
          <w:b w:val="0"/>
          <w:bCs w:val="0"/>
          <w:sz w:val="22"/>
          <w:szCs w:val="18"/>
        </w:rPr>
        <w:t>)</w:t>
      </w:r>
    </w:p>
    <w:p w14:paraId="6A72279D" w14:textId="05C3997C" w:rsidR="008105CE" w:rsidRPr="008105CE" w:rsidRDefault="008105CE" w:rsidP="002B79C8">
      <w:r w:rsidRPr="00FF1C3F">
        <w:rPr>
          <w:rStyle w:val="Style13ptBold"/>
          <w:b w:val="0"/>
          <w:bCs w:val="0"/>
          <w:sz w:val="22"/>
          <w:szCs w:val="18"/>
          <w:highlight w:val="green"/>
        </w:rPr>
        <w:t>The</w:t>
      </w:r>
      <w:r>
        <w:rPr>
          <w:rStyle w:val="Style13ptBold"/>
          <w:b w:val="0"/>
          <w:bCs w:val="0"/>
          <w:sz w:val="22"/>
          <w:szCs w:val="18"/>
        </w:rPr>
        <w:t xml:space="preserve"> World Health Organization (</w:t>
      </w:r>
      <w:r w:rsidRPr="00FF1C3F">
        <w:rPr>
          <w:rStyle w:val="Style13ptBold"/>
          <w:b w:val="0"/>
          <w:bCs w:val="0"/>
          <w:sz w:val="22"/>
          <w:szCs w:val="18"/>
          <w:highlight w:val="green"/>
        </w:rPr>
        <w:t>WHO) considers primary health care a cornerstone of universal health coverage</w:t>
      </w:r>
      <w:r>
        <w:rPr>
          <w:rStyle w:val="Style13ptBold"/>
          <w:b w:val="0"/>
          <w:bCs w:val="0"/>
          <w:sz w:val="22"/>
          <w:szCs w:val="18"/>
        </w:rPr>
        <w:t xml:space="preserve"> (UHC) and describes it as an approach to health and well-being centred on the needs and circumstances of individuals, families and communities. Primary health care should address physical, mental and social health and well-being, and is about providing whole-person care for health needs throughout life, not just treating a set of specific diseases.1 We argue that implementing primary health care should focus on broadbased participatory action, including integrated and comprehensive personcentred care, community development and social determinants of health. </w:t>
      </w:r>
      <w:r w:rsidRPr="00FF1C3F">
        <w:rPr>
          <w:rStyle w:val="Style13ptBold"/>
          <w:b w:val="0"/>
          <w:bCs w:val="0"/>
          <w:sz w:val="22"/>
          <w:szCs w:val="18"/>
          <w:highlight w:val="green"/>
        </w:rPr>
        <w:t>The 30 by 2030 campaign</w:t>
      </w:r>
      <w:r>
        <w:rPr>
          <w:rStyle w:val="Style13ptBold"/>
          <w:b w:val="0"/>
          <w:bCs w:val="0"/>
          <w:sz w:val="22"/>
          <w:szCs w:val="18"/>
        </w:rPr>
        <w:t xml:space="preserve"> </w:t>
      </w:r>
      <w:r w:rsidRPr="00654136">
        <w:rPr>
          <w:rStyle w:val="Style13ptBold"/>
          <w:b w:val="0"/>
          <w:bCs w:val="0"/>
          <w:sz w:val="22"/>
          <w:szCs w:val="18"/>
        </w:rPr>
        <w:t>To prevent most diseases</w:t>
      </w:r>
      <w:r>
        <w:rPr>
          <w:rStyle w:val="Style13ptBold"/>
          <w:b w:val="0"/>
          <w:bCs w:val="0"/>
          <w:sz w:val="22"/>
          <w:szCs w:val="18"/>
        </w:rPr>
        <w:t xml:space="preserve"> and treat people in a holistic way, </w:t>
      </w:r>
      <w:r w:rsidRPr="00654136">
        <w:rPr>
          <w:rStyle w:val="Style13ptBold"/>
          <w:b w:val="0"/>
          <w:bCs w:val="0"/>
          <w:sz w:val="22"/>
          <w:szCs w:val="18"/>
        </w:rPr>
        <w:t>community-based</w:t>
      </w:r>
      <w:r>
        <w:rPr>
          <w:rStyle w:val="Style13ptBold"/>
          <w:b w:val="0"/>
          <w:bCs w:val="0"/>
          <w:sz w:val="22"/>
          <w:szCs w:val="18"/>
        </w:rPr>
        <w:t xml:space="preserve"> primary health-care </w:t>
      </w:r>
      <w:r w:rsidRPr="00654136">
        <w:rPr>
          <w:rStyle w:val="Style13ptBold"/>
          <w:b w:val="0"/>
          <w:bCs w:val="0"/>
          <w:sz w:val="22"/>
          <w:szCs w:val="18"/>
        </w:rPr>
        <w:t>systems need to be strengthened</w:t>
      </w:r>
      <w:r>
        <w:rPr>
          <w:rStyle w:val="Style13ptBold"/>
          <w:b w:val="0"/>
          <w:bCs w:val="0"/>
          <w:sz w:val="22"/>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b w:val="0"/>
          <w:bCs w:val="0"/>
          <w:sz w:val="22"/>
          <w:szCs w:val="18"/>
          <w:highlight w:val="green"/>
        </w:rPr>
        <w:t>organizations call for international donors to assign 30% of their vertical top-down, disease oriented budgets to strengthening integrated horizontal community-based primary health-care systems by 2030</w:t>
      </w:r>
      <w:r>
        <w:rPr>
          <w:rStyle w:val="Style13ptBold"/>
          <w:b w:val="0"/>
          <w:bCs w:val="0"/>
          <w:sz w:val="22"/>
          <w:szCs w:val="18"/>
        </w:rPr>
        <w:t>. The campaign seeks to put into practice Resolution WHA62.12, which urges Member States “to encourage the development, i</w:t>
      </w:r>
      <w:r w:rsidRPr="008105CE">
        <w:rPr>
          <w:rStyle w:val="Style13ptBold"/>
          <w:b w:val="0"/>
          <w:bCs w:val="0"/>
          <w:sz w:val="22"/>
          <w:szCs w:val="18"/>
        </w:rPr>
        <w:t>ntegration and implementation of vertical programmes, including disease-specific programmes, in the context of integrated primary health care.”2 This integration should also allow primary health-care services to become more responsive to the health needs of populations. The campaign has two components: (i) information, analysis and awareness on the impact of vertical programmes on health systems; (ii) encouraging the use of 30% of vertical donor investment to strengthen primary health-care services through coordination, increased human resources and improved infrastructure. The first component The average public expenditure in the WHO Africa Region on non-primary health care (hospitals and specialist care, mostly used by population groups with high incomes</w:t>
      </w:r>
      <w:r>
        <w:rPr>
          <w:rStyle w:val="Style13ptBold"/>
          <w:b w:val="0"/>
          <w:bCs w:val="0"/>
          <w:sz w:val="22"/>
          <w:szCs w:val="18"/>
        </w:rPr>
        <w:t xml:space="preserve">) is up to three times higher than the spending on primary health care and prevention.3 </w:t>
      </w:r>
      <w:r w:rsidRPr="00FF1C3F">
        <w:rPr>
          <w:rStyle w:val="Style13ptBold"/>
          <w:b w:val="0"/>
          <w:bCs w:val="0"/>
          <w:sz w:val="22"/>
          <w:szCs w:val="18"/>
          <w:highlight w:val="green"/>
        </w:rPr>
        <w:t>Only one third of total spending on primary health care comes from governments, and the lower the country’s income, the lower the share.</w:t>
      </w:r>
      <w:r>
        <w:rPr>
          <w:rStyle w:val="Style13ptBold"/>
          <w:b w:val="0"/>
          <w:bCs w:val="0"/>
          <w:sz w:val="22"/>
          <w:szCs w:val="18"/>
        </w:rPr>
        <w:t xml:space="preserve"> </w:t>
      </w:r>
      <w:r w:rsidRPr="008105CE">
        <w:rPr>
          <w:rStyle w:val="Style13ptBold"/>
          <w:b w:val="0"/>
          <w:bCs w:val="0"/>
          <w:sz w:val="22"/>
          <w:szCs w:val="18"/>
        </w:rPr>
        <w:t xml:space="preserve">The predominant source of financing for primary health-care services are private and external funds, including out-of-pocket expenses.3 Most of these funds are channelled through categorical programmes </w:t>
      </w:r>
      <w:r w:rsidRPr="008105CE">
        <w:rPr>
          <w:rStyle w:val="Style13ptBold"/>
          <w:b w:val="0"/>
          <w:bCs w:val="0"/>
          <w:sz w:val="22"/>
          <w:szCs w:val="18"/>
        </w:rPr>
        <w:lastRenderedPageBreak/>
        <w:t>– that is, programmes that focus on the health problems of specific population subgroups or conditions – with little funding going through integrated primary health-care s</w:t>
      </w:r>
      <w:r>
        <w:rPr>
          <w:rStyle w:val="Style13ptBold"/>
          <w:b w:val="0"/>
          <w:bCs w:val="0"/>
          <w:sz w:val="22"/>
          <w:szCs w:val="18"/>
        </w:rPr>
        <w:t xml:space="preserve">ervices, which address health conditions in a holistic manner. In the strategy to achieve UHC, WHO has put forward the target of adding 1% of gross domestic product (GDP)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b w:val="0"/>
          <w:bCs w:val="0"/>
          <w:sz w:val="22"/>
          <w:szCs w:val="18"/>
          <w:highlight w:val="green"/>
        </w:rPr>
        <w:t>the U</w:t>
      </w:r>
      <w:r>
        <w:rPr>
          <w:rStyle w:val="Style13ptBold"/>
          <w:b w:val="0"/>
          <w:bCs w:val="0"/>
          <w:sz w:val="22"/>
          <w:szCs w:val="18"/>
        </w:rPr>
        <w:t xml:space="preserve">nited </w:t>
      </w:r>
      <w:r w:rsidRPr="00FF1C3F">
        <w:rPr>
          <w:rStyle w:val="Style13ptBold"/>
          <w:b w:val="0"/>
          <w:bCs w:val="0"/>
          <w:sz w:val="22"/>
          <w:szCs w:val="18"/>
          <w:highlight w:val="green"/>
        </w:rPr>
        <w:t>S</w:t>
      </w:r>
      <w:r>
        <w:rPr>
          <w:rStyle w:val="Style13ptBold"/>
          <w:b w:val="0"/>
          <w:bCs w:val="0"/>
          <w:sz w:val="22"/>
          <w:szCs w:val="18"/>
        </w:rPr>
        <w:t xml:space="preserve">tates President’s </w:t>
      </w:r>
      <w:r w:rsidRPr="00FF1C3F">
        <w:rPr>
          <w:rStyle w:val="Style13ptBold"/>
          <w:b w:val="0"/>
          <w:bCs w:val="0"/>
          <w:sz w:val="22"/>
          <w:szCs w:val="18"/>
          <w:highlight w:val="green"/>
        </w:rPr>
        <w:t>Emergency Plan for AIDS Relief</w:t>
      </w:r>
      <w:r>
        <w:rPr>
          <w:rStyle w:val="Style13ptBold"/>
          <w:b w:val="0"/>
          <w:bCs w:val="0"/>
          <w:sz w:val="22"/>
          <w:szCs w:val="18"/>
        </w:rPr>
        <w:t xml:space="preserve"> (PEPFAR) </w:t>
      </w:r>
      <w:r w:rsidRPr="00FF1C3F">
        <w:rPr>
          <w:rStyle w:val="Style13ptBold"/>
          <w:b w:val="0"/>
          <w:bCs w:val="0"/>
          <w:sz w:val="22"/>
          <w:szCs w:val="18"/>
          <w:highlight w:val="green"/>
        </w:rPr>
        <w:t>provided Zambia with</w:t>
      </w:r>
      <w:r>
        <w:rPr>
          <w:rStyle w:val="Style13ptBold"/>
          <w:b w:val="0"/>
          <w:bCs w:val="0"/>
          <w:sz w:val="22"/>
          <w:szCs w:val="18"/>
        </w:rPr>
        <w:t xml:space="preserve"> a budget of US</w:t>
      </w:r>
      <w:r w:rsidRPr="00FF1C3F">
        <w:rPr>
          <w:rStyle w:val="Style13ptBold"/>
          <w:b w:val="0"/>
          <w:bCs w:val="0"/>
          <w:sz w:val="22"/>
          <w:szCs w:val="18"/>
          <w:highlight w:val="green"/>
        </w:rPr>
        <w:t>$ 150 million</w:t>
      </w:r>
      <w:r>
        <w:rPr>
          <w:rStyle w:val="Style13ptBold"/>
          <w:b w:val="0"/>
          <w:bCs w:val="0"/>
          <w:sz w:val="22"/>
          <w:szCs w:val="18"/>
        </w:rPr>
        <w:t xml:space="preserve"> targeted </w:t>
      </w:r>
      <w:r w:rsidRPr="00FF1C3F">
        <w:rPr>
          <w:rStyle w:val="Style13ptBold"/>
          <w:b w:val="0"/>
          <w:bCs w:val="0"/>
          <w:sz w:val="22"/>
          <w:szCs w:val="18"/>
          <w:highlight w:val="green"/>
        </w:rPr>
        <w:t>for</w:t>
      </w:r>
      <w:r>
        <w:rPr>
          <w:rStyle w:val="Style13ptBold"/>
          <w:b w:val="0"/>
          <w:bCs w:val="0"/>
          <w:sz w:val="22"/>
          <w:szCs w:val="18"/>
        </w:rPr>
        <w:t xml:space="preserve"> human immunodeficiency virus (</w:t>
      </w:r>
      <w:r w:rsidRPr="00FF1C3F">
        <w:rPr>
          <w:rStyle w:val="Style13ptBold"/>
          <w:b w:val="0"/>
          <w:bCs w:val="0"/>
          <w:sz w:val="22"/>
          <w:szCs w:val="18"/>
          <w:highlight w:val="green"/>
        </w:rPr>
        <w:t>HIV</w:t>
      </w:r>
      <w:r>
        <w:rPr>
          <w:rStyle w:val="Style13ptBold"/>
          <w:b w:val="0"/>
          <w:bCs w:val="0"/>
          <w:sz w:val="22"/>
          <w:szCs w:val="18"/>
        </w:rPr>
        <w:t xml:space="preserve">), </w:t>
      </w:r>
      <w:r w:rsidRPr="00FF1C3F">
        <w:rPr>
          <w:rStyle w:val="Style13ptBold"/>
          <w:b w:val="0"/>
          <w:bCs w:val="0"/>
          <w:sz w:val="22"/>
          <w:szCs w:val="18"/>
          <w:highlight w:val="green"/>
        </w:rPr>
        <w:t>whereas the entire budget of the health ministry was only US$ 136 million</w:t>
      </w:r>
      <w:r>
        <w:rPr>
          <w:rStyle w:val="Style13ptBold"/>
          <w:b w:val="0"/>
          <w:bCs w:val="0"/>
          <w:sz w:val="22"/>
          <w:szCs w:val="18"/>
        </w:rPr>
        <w:t xml:space="preserve">. This is an example of unbalanced distribution of health funding, and it continues to occur across sub-Saharan Africa.5 In many countries in the African continent, people living with HIV receive free care, food and educational grants for their children, whereas </w:t>
      </w:r>
      <w:r w:rsidRPr="00FF1C3F">
        <w:rPr>
          <w:rStyle w:val="Style13ptBold"/>
          <w:b w:val="0"/>
          <w:bCs w:val="0"/>
          <w:sz w:val="22"/>
          <w:szCs w:val="18"/>
          <w:highlight w:val="green"/>
        </w:rPr>
        <w:t>those with other diseases receive poor care</w:t>
      </w:r>
      <w:r>
        <w:rPr>
          <w:rStyle w:val="Style13ptBold"/>
          <w:b w:val="0"/>
          <w:bCs w:val="0"/>
          <w:sz w:val="22"/>
          <w:szCs w:val="18"/>
        </w:rPr>
        <w:t xml:space="preserve"> and still have to pay out-of-pocket, leading to inequity by disease. Worldwide, the primary care facilities that address all diseases across the life-cycle, including common illnesses such as diarrhoea, malnutrition and respiratory tract infections, are largely underfunded. In addition, salaries of health-care providers working for donor-funded vertical programmes are often more than </w:t>
      </w:r>
      <w:r w:rsidRPr="008105CE">
        <w:rPr>
          <w:rStyle w:val="Style13ptBold"/>
          <w:b w:val="0"/>
          <w:bCs w:val="0"/>
          <w:sz w:val="22"/>
          <w:szCs w:val="18"/>
        </w:rPr>
        <w:t xml:space="preserve">double those of equally trained government workers in the fragile public health sector, creating an internal brain drain. Interviews with </w:t>
      </w:r>
      <w:r w:rsidRPr="008105CE">
        <w:t xml:space="preserve">796 alumni from a medical school in Uganda found an influence of the PEPFAR projects on career choices of health professionals, with almost half working for an HIV-related nongovernmental organization and only over one third for government. </w:t>
      </w:r>
      <w:r w:rsidRPr="008105CE">
        <w:rPr>
          <w:rStyle w:val="Emphasis"/>
        </w:rPr>
        <w:t>We recommend that donor funds earmarked for HIV be channelled to primary health-care budgets through the 30 by 2030 mechanism, to attract health workers into other disease areas and broaden health-care capacity</w:t>
      </w:r>
      <w:r w:rsidRPr="008105CE">
        <w:t>.6 A review on the impact of global health initiatives on reci</w:t>
      </w:r>
      <w:r>
        <w:t xml:space="preserve">pient country health systems in low- and middleincome countries selected three initiatives that accounted for an estimated two thirds of external funding </w:t>
      </w:r>
      <w:r w:rsidRPr="008105CE">
        <w:t xml:space="preserve">earmarked for HIV/AIDS: the Global Fund to Fight AIDS, Tuberculosis and Malaria; the World Bank Multi-country AIDS Program; and PEPFAR. The review found the following effects of global health initiatives: distortion of recipient countries’ national health policies, notably through </w:t>
      </w:r>
      <w:r w:rsidRPr="00FF1C3F">
        <w:rPr>
          <w:rStyle w:val="Emphasis"/>
          <w:highlight w:val="green"/>
        </w:rPr>
        <w:t>distracting governments from coordinated efforts to strengthen health systems and forcing health systems to adopt vertical, disease-specific projects.</w:t>
      </w:r>
      <w:r>
        <w:t xml:space="preserve">7 In the second decade of this century, a group of new vertical disease-oriented programmes focusing on noncommunicable diseases were developed by governments and major health </w:t>
      </w:r>
      <w:r w:rsidRPr="008105CE">
        <w:t xml:space="preserve">actors. Evidence suggests that, the same as for infectious diseases, the best approach to tackle noncommunicable diseases is rather strengthening integrated primary health care. </w:t>
      </w:r>
      <w:r w:rsidRPr="008105CE">
        <w:rPr>
          <w:rStyle w:val="Emphasis"/>
        </w:rPr>
        <w:t>The</w:t>
      </w:r>
      <w:r w:rsidRPr="00F3006F">
        <w:rPr>
          <w:rStyle w:val="Emphasis"/>
        </w:rPr>
        <w:t xml:space="preserve"> </w:t>
      </w:r>
      <w:r w:rsidRPr="00F3006F">
        <w:rPr>
          <w:rStyle w:val="Emphasis"/>
          <w:highlight w:val="green"/>
        </w:rPr>
        <w:t>long-term management</w:t>
      </w:r>
      <w:r w:rsidRPr="00F3006F">
        <w:rPr>
          <w:rStyle w:val="Emphasis"/>
        </w:rPr>
        <w:t xml:space="preserve"> of noncommunicable diseases </w:t>
      </w:r>
      <w:r w:rsidRPr="00F3006F">
        <w:rPr>
          <w:rStyle w:val="Emphasis"/>
          <w:highlight w:val="green"/>
        </w:rPr>
        <w:t>requires much more than</w:t>
      </w:r>
      <w:r w:rsidRPr="00F3006F">
        <w:rPr>
          <w:rStyle w:val="Emphasis"/>
        </w:rPr>
        <w:t xml:space="preserve"> the implementation of standardized </w:t>
      </w:r>
      <w:r w:rsidRPr="00F3006F">
        <w:rPr>
          <w:rStyle w:val="Emphasis"/>
          <w:highlight w:val="green"/>
        </w:rPr>
        <w:t>protocols and access to</w:t>
      </w:r>
      <w:r w:rsidRPr="00F3006F">
        <w:rPr>
          <w:rStyle w:val="Emphasis"/>
        </w:rPr>
        <w:t xml:space="preserve"> affordable </w:t>
      </w:r>
      <w:r w:rsidRPr="00F3006F">
        <w:rPr>
          <w:rStyle w:val="Emphasis"/>
          <w:highlight w:val="green"/>
        </w:rPr>
        <w:t>essential drugs</w:t>
      </w:r>
      <w:r>
        <w:t xml:space="preserve">. </w:t>
      </w:r>
      <w:r w:rsidRPr="00F3006F">
        <w:rPr>
          <w:sz w:val="16"/>
          <w:szCs w:val="16"/>
        </w:rPr>
        <w:t xml:space="preserve">Such management requires empowering people, reducing barriers to healthy lifestyles and providing care that reflects the values and goals of the individual patient. Evidence of the effectiveness of primary health care in reducing hospital admissions related to noncommunicable diseases is well documented, and multimorbidity among those with such diseases has been shown to be better tackled in primary health care.8 Evidence suggests that vertical disease-oriented programmes do not contribute to UHC. For example, in Mozambique, after nearly 15 years of significant foreign aid for health, 65% of the government’s health budget was funded by external donors in 2014. However, the health system coverage has barely changed: in 2014 the health workforce per population ratio was still among the five lowest in the world at 71/10 000, and the number of health facilities per capita was only 1/16 795 in 2015.9 The proportion of total governmental health expenditure allocated to health declined from 13.4% (US$ 109 million) in 2006 to 11.9% (US$ 138 million) in 2009 and 7.8% (US$ 481 million) in 2014, moving away from the Abuja target of 15%9 (whereby the increase in absolute numbers is due to the increase of GDP and of global government expenditure). Second component The first strategy of this campaign is direct investments to strengthen primary health care. Moreover, the 30 by 2030 campaign advocates for diagonal investments.10 Ethiopia offers an example, where the Global Fund, Gavi, the Vaccine Alliance and PEPFAR have collaborated with other donors to increase their financial support, therefore strengthening the primary health-care system. For example, 18.4% of the total Gavi support (US$ 173 million) between 2007 and 2018 was largely focused on the construction of primary health-care facilities, strengthening of the supply chain, laboratory management and training of primary health-care </w:t>
      </w:r>
      <w:r w:rsidRPr="00F3006F">
        <w:rPr>
          <w:sz w:val="16"/>
          <w:szCs w:val="16"/>
        </w:rPr>
        <w:lastRenderedPageBreak/>
        <w:t xml:space="preserve">staff.11 When major donors launch a call for project proposals focusing on specific health conditions such as HIV, diabetes, mental health conditions, tuberculosis, malaria, or more recently, coronavirus disease 2019 (COVID-19) in low- and middle-income countries, applicants should make clear how they are going to improve primary healthcare service delivery and channel 30% of the resources into strengthening such service. This strengthening can be done by financing the cost of integrating the project in the local primary health-care system. Achieving such integration requires contributing to capacity building for primary health care, supporting infrastructure upgrading, strengthening leadership and organization and improving the community’s involvement. However, characteristics of high-quality care such as accessibility, continuity, coordination and person-centredness are also needed. Investment should also be made in assessing the impact of projects on the health system. Those authorities responsible for primary health-care development at project level (national, regional, provincial, district, community) should be involved in implementation. Moreover, together with other agents, the 30 by 2030 campaign will develop action plans to improve the government’s spending and governance efficiency, participatory processes at the community level and monitoring and evaluation processes. The organizations involved in the campaign, in the spirit of resolution WHA62.12, reiterate the importance to “train and retain adequate numbers of health workers, with appropriate skill mix, including primary health care nurses, midwives, allied health professionals and family physicians, able to work in a multidisciplinary context, in cooperation with community health workers in order to respond effectively to people’s health needs.”2 </w:t>
      </w:r>
      <w:r>
        <w:t xml:space="preserve">Resources could also be used to improve sustainability through better pay for teams of primary health-care professionals, preventing brain drain. </w:t>
      </w:r>
      <w:r w:rsidRPr="0078342D">
        <w:rPr>
          <w:rStyle w:val="Emphasis"/>
          <w:highlight w:val="green"/>
        </w:rPr>
        <w:t>The COVID-19 pandemic has documented</w:t>
      </w:r>
      <w:r w:rsidRPr="00FF1C3F">
        <w:rPr>
          <w:highlight w:val="green"/>
        </w:rPr>
        <w:t xml:space="preserve"> the role </w:t>
      </w:r>
      <w:r w:rsidRPr="0078342D">
        <w:t>primary</w:t>
      </w:r>
      <w:r w:rsidRPr="00FF1C3F">
        <w:rPr>
          <w:highlight w:val="green"/>
        </w:rPr>
        <w:t xml:space="preserve"> health-care teams play </w:t>
      </w:r>
      <w:r w:rsidRPr="0078342D">
        <w:t>in preparedness</w:t>
      </w:r>
      <w:r w:rsidRPr="00FF1C3F">
        <w:rPr>
          <w:highlight w:val="green"/>
        </w:rPr>
        <w:t xml:space="preserve"> to address </w:t>
      </w:r>
      <w:r w:rsidRPr="0078342D">
        <w:t>the challenges of a</w:t>
      </w:r>
      <w:r w:rsidRPr="00FF1C3F">
        <w:rPr>
          <w:highlight w:val="green"/>
        </w:rPr>
        <w:t xml:space="preserve"> new, rapidly spreading disease.</w:t>
      </w:r>
      <w:r>
        <w:t xml:space="preserve"> </w:t>
      </w:r>
      <w:r w:rsidRPr="0078342D">
        <w:rPr>
          <w:rStyle w:val="Emphasis"/>
          <w:highlight w:val="green"/>
        </w:rPr>
        <w:t>Where primary health-care services</w:t>
      </w:r>
      <w:r>
        <w:t xml:space="preserve"> (community screening and testing, case investigation with support for home-based isolation or quarantine, triage at primary-care facilities) </w:t>
      </w:r>
      <w:r w:rsidRPr="0078342D">
        <w:rPr>
          <w:rStyle w:val="Emphasis"/>
          <w:highlight w:val="green"/>
        </w:rPr>
        <w:t>were effective, there was less pressure on hospitals</w:t>
      </w:r>
      <w:r>
        <w:t>.12 Not all countries have been able to respond to the pandemic from an effective primary health-care system, which is why we advocate for the 30 by 2030 campaign (</w:t>
      </w:r>
      <w:hyperlink r:id="rId10" w:history="1">
        <w:r w:rsidRPr="009D1C4A">
          <w:rPr>
            <w:rStyle w:val="Hyperlink"/>
          </w:rPr>
          <w:t>www.30by2030.net</w:t>
        </w:r>
      </w:hyperlink>
      <w:r>
        <w:t>).</w:t>
      </w:r>
      <w:r w:rsidR="00916733" w:rsidRPr="003279E4">
        <w:rPr>
          <w:rStyle w:val="Emphasis"/>
        </w:rPr>
        <w:t xml:space="preserve"> </w:t>
      </w:r>
    </w:p>
    <w:sectPr w:rsidR="008105CE" w:rsidRPr="00810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2477"/>
    <w:rsid w:val="000139A3"/>
    <w:rsid w:val="00043AE4"/>
    <w:rsid w:val="000C7C55"/>
    <w:rsid w:val="00100833"/>
    <w:rsid w:val="00104529"/>
    <w:rsid w:val="00105942"/>
    <w:rsid w:val="00107396"/>
    <w:rsid w:val="00144A4C"/>
    <w:rsid w:val="001569DD"/>
    <w:rsid w:val="00176AB0"/>
    <w:rsid w:val="00177B7D"/>
    <w:rsid w:val="0018322D"/>
    <w:rsid w:val="001B5776"/>
    <w:rsid w:val="001E527A"/>
    <w:rsid w:val="001F6D4F"/>
    <w:rsid w:val="001F78CE"/>
    <w:rsid w:val="00251FC7"/>
    <w:rsid w:val="002855A7"/>
    <w:rsid w:val="0028774E"/>
    <w:rsid w:val="002B146A"/>
    <w:rsid w:val="002B5E17"/>
    <w:rsid w:val="002B79C8"/>
    <w:rsid w:val="00315690"/>
    <w:rsid w:val="00316B75"/>
    <w:rsid w:val="00325646"/>
    <w:rsid w:val="003460F2"/>
    <w:rsid w:val="0038158C"/>
    <w:rsid w:val="003902BA"/>
    <w:rsid w:val="003A09E2"/>
    <w:rsid w:val="00407037"/>
    <w:rsid w:val="004605D6"/>
    <w:rsid w:val="00470F52"/>
    <w:rsid w:val="004C60E8"/>
    <w:rsid w:val="004E3579"/>
    <w:rsid w:val="004E728B"/>
    <w:rsid w:val="004F39E0"/>
    <w:rsid w:val="00514A7D"/>
    <w:rsid w:val="00537BD5"/>
    <w:rsid w:val="0057268A"/>
    <w:rsid w:val="005D2912"/>
    <w:rsid w:val="006065BD"/>
    <w:rsid w:val="00645FA9"/>
    <w:rsid w:val="00647866"/>
    <w:rsid w:val="00665003"/>
    <w:rsid w:val="0069487F"/>
    <w:rsid w:val="006A2AD0"/>
    <w:rsid w:val="006A43CF"/>
    <w:rsid w:val="006C2375"/>
    <w:rsid w:val="006D4ECC"/>
    <w:rsid w:val="00722258"/>
    <w:rsid w:val="007243E5"/>
    <w:rsid w:val="00732477"/>
    <w:rsid w:val="00766EA0"/>
    <w:rsid w:val="007A2226"/>
    <w:rsid w:val="007B24FE"/>
    <w:rsid w:val="007F5B66"/>
    <w:rsid w:val="008063CA"/>
    <w:rsid w:val="008105CE"/>
    <w:rsid w:val="00823A1C"/>
    <w:rsid w:val="00845B9D"/>
    <w:rsid w:val="00860984"/>
    <w:rsid w:val="008B3ECB"/>
    <w:rsid w:val="008B4E85"/>
    <w:rsid w:val="008C1B2E"/>
    <w:rsid w:val="008D79B1"/>
    <w:rsid w:val="00910D9E"/>
    <w:rsid w:val="0091627E"/>
    <w:rsid w:val="00916733"/>
    <w:rsid w:val="00933B5D"/>
    <w:rsid w:val="0097032B"/>
    <w:rsid w:val="009D2EAD"/>
    <w:rsid w:val="009D54B2"/>
    <w:rsid w:val="009E1922"/>
    <w:rsid w:val="009F7ED2"/>
    <w:rsid w:val="00A93661"/>
    <w:rsid w:val="00A95652"/>
    <w:rsid w:val="00AC0AB8"/>
    <w:rsid w:val="00B33C6D"/>
    <w:rsid w:val="00B4508F"/>
    <w:rsid w:val="00B46E78"/>
    <w:rsid w:val="00B55AD5"/>
    <w:rsid w:val="00B8057C"/>
    <w:rsid w:val="00BB3061"/>
    <w:rsid w:val="00BD6238"/>
    <w:rsid w:val="00BF593B"/>
    <w:rsid w:val="00BF773A"/>
    <w:rsid w:val="00BF7E81"/>
    <w:rsid w:val="00C13773"/>
    <w:rsid w:val="00C17CC8"/>
    <w:rsid w:val="00C83417"/>
    <w:rsid w:val="00C842E9"/>
    <w:rsid w:val="00C9604F"/>
    <w:rsid w:val="00CA19AA"/>
    <w:rsid w:val="00CC5298"/>
    <w:rsid w:val="00CD736E"/>
    <w:rsid w:val="00CD798D"/>
    <w:rsid w:val="00CE161E"/>
    <w:rsid w:val="00CE636B"/>
    <w:rsid w:val="00CF59A8"/>
    <w:rsid w:val="00D11475"/>
    <w:rsid w:val="00D325A9"/>
    <w:rsid w:val="00D36A8A"/>
    <w:rsid w:val="00D61409"/>
    <w:rsid w:val="00D6691E"/>
    <w:rsid w:val="00D71170"/>
    <w:rsid w:val="00DA1C92"/>
    <w:rsid w:val="00DA25D4"/>
    <w:rsid w:val="00DA6538"/>
    <w:rsid w:val="00DC57F4"/>
    <w:rsid w:val="00E15E75"/>
    <w:rsid w:val="00E44C8A"/>
    <w:rsid w:val="00E5262C"/>
    <w:rsid w:val="00E773F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00B9F"/>
  <w15:chartTrackingRefBased/>
  <w15:docId w15:val="{8410CB45-DC41-4492-9553-58DF0235F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79C8"/>
    <w:rPr>
      <w:rFonts w:ascii="Calibri" w:hAnsi="Calibri"/>
    </w:rPr>
  </w:style>
  <w:style w:type="paragraph" w:styleId="Heading1">
    <w:name w:val="heading 1"/>
    <w:aliases w:val="Pocket"/>
    <w:basedOn w:val="Normal"/>
    <w:next w:val="Normal"/>
    <w:link w:val="Heading1Char"/>
    <w:qFormat/>
    <w:rsid w:val="002B79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79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79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2B79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79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9C8"/>
  </w:style>
  <w:style w:type="character" w:customStyle="1" w:styleId="Heading1Char">
    <w:name w:val="Heading 1 Char"/>
    <w:aliases w:val="Pocket Char"/>
    <w:basedOn w:val="DefaultParagraphFont"/>
    <w:link w:val="Heading1"/>
    <w:rsid w:val="002B79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79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79C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2B79C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2B79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79C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2B79C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B79C8"/>
    <w:rPr>
      <w:color w:val="auto"/>
      <w:u w:val="none"/>
    </w:rPr>
  </w:style>
  <w:style w:type="character" w:styleId="FollowedHyperlink">
    <w:name w:val="FollowedHyperlink"/>
    <w:basedOn w:val="DefaultParagraphFont"/>
    <w:uiPriority w:val="99"/>
    <w:semiHidden/>
    <w:unhideWhenUsed/>
    <w:rsid w:val="002B79C8"/>
    <w:rPr>
      <w:color w:val="auto"/>
      <w:u w:val="none"/>
    </w:rPr>
  </w:style>
  <w:style w:type="paragraph" w:customStyle="1" w:styleId="Emphasis1">
    <w:name w:val="Emphasis1"/>
    <w:basedOn w:val="Normal"/>
    <w:link w:val="Emphasis"/>
    <w:autoRedefine/>
    <w:uiPriority w:val="7"/>
    <w:qFormat/>
    <w:rsid w:val="00DC57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C57F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43A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6A43C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30by2030.net" TargetMode="External"/><Relationship Id="rId4" Type="http://schemas.openxmlformats.org/officeDocument/2006/relationships/settings" Target="settings.xml"/><Relationship Id="rId9" Type="http://schemas.openxmlformats.org/officeDocument/2006/relationships/hyperlink" Target="https://www.researchgate.net/publication/345938887_Universal_health_coverage_and_primary_health_care_the_30_by_2030_campaig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12</Pages>
  <Words>5237</Words>
  <Characters>29854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27</cp:revision>
  <dcterms:created xsi:type="dcterms:W3CDTF">2021-09-12T14:04:00Z</dcterms:created>
  <dcterms:modified xsi:type="dcterms:W3CDTF">2021-09-18T14:25:00Z</dcterms:modified>
</cp:coreProperties>
</file>