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FFB7F" w14:textId="7CFFFF93" w:rsidR="00354945" w:rsidRDefault="00354945" w:rsidP="00565C62">
      <w:pPr>
        <w:pStyle w:val="Heading2"/>
      </w:pPr>
      <w:r>
        <w:t>Case</w:t>
      </w:r>
    </w:p>
    <w:p w14:paraId="0C698DD2" w14:textId="4D303452" w:rsidR="008F691B" w:rsidRDefault="008F691B" w:rsidP="008F691B">
      <w:pPr>
        <w:pStyle w:val="Heading4"/>
      </w:pPr>
      <w:r>
        <w:t>Extend the first advantage whistleblowing is key to make sure public interest in protected in the medical industry, current lack of protections means that whistle blowers are at a special risk of intimidation lawsuits, covid causes a societal illusion of preparedness and a future pandemic could cause extinction because of climate pressures</w:t>
      </w:r>
      <w:r w:rsidR="00291B37">
        <w:t xml:space="preserve">. Compare this world with the Neg </w:t>
      </w:r>
      <w:proofErr w:type="spellStart"/>
      <w:r w:rsidR="00291B37">
        <w:t>squo</w:t>
      </w:r>
      <w:proofErr w:type="spellEnd"/>
      <w:r w:rsidR="00291B37">
        <w:t xml:space="preserve"> which can’t solve for any of these issues, it’s </w:t>
      </w:r>
      <w:proofErr w:type="gramStart"/>
      <w:r w:rsidR="00291B37">
        <w:t>try</w:t>
      </w:r>
      <w:proofErr w:type="gramEnd"/>
      <w:r w:rsidR="00291B37">
        <w:t xml:space="preserve"> or die for the </w:t>
      </w:r>
      <w:proofErr w:type="spellStart"/>
      <w:r w:rsidR="00291B37">
        <w:t>aff</w:t>
      </w:r>
      <w:proofErr w:type="spellEnd"/>
      <w:r w:rsidR="00291B37">
        <w:t xml:space="preserve">, 1% </w:t>
      </w:r>
      <w:proofErr w:type="spellStart"/>
      <w:r w:rsidR="00291B37">
        <w:t>aff</w:t>
      </w:r>
      <w:proofErr w:type="spellEnd"/>
      <w:r w:rsidR="00291B37">
        <w:t xml:space="preserve"> solvency means you vote </w:t>
      </w:r>
      <w:proofErr w:type="spellStart"/>
      <w:r w:rsidR="00291B37">
        <w:t>aff</w:t>
      </w:r>
      <w:proofErr w:type="spellEnd"/>
      <w:r w:rsidR="009D48E0">
        <w:t xml:space="preserve">. They’ve conceded </w:t>
      </w:r>
      <w:proofErr w:type="spellStart"/>
      <w:r w:rsidR="009D48E0">
        <w:t>supry</w:t>
      </w:r>
      <w:proofErr w:type="spellEnd"/>
    </w:p>
    <w:p w14:paraId="1CA80FEB" w14:textId="5CE08876" w:rsidR="00946C20" w:rsidRDefault="00946C20" w:rsidP="00565C62">
      <w:pPr>
        <w:pStyle w:val="Heading2"/>
      </w:pPr>
      <w:r>
        <w:lastRenderedPageBreak/>
        <w:t>T</w:t>
      </w:r>
    </w:p>
    <w:p w14:paraId="76775A66" w14:textId="77777777" w:rsidR="00946C20" w:rsidRDefault="00946C20" w:rsidP="00946C20">
      <w:pPr>
        <w:pStyle w:val="Heading4"/>
      </w:pPr>
      <w:r>
        <w:t>Counter-</w:t>
      </w:r>
      <w:proofErr w:type="spellStart"/>
      <w:r>
        <w:t>interp</w:t>
      </w:r>
      <w:proofErr w:type="spellEnd"/>
      <w:r>
        <w:t xml:space="preserve">: </w:t>
      </w:r>
      <w:proofErr w:type="spellStart"/>
      <w:r>
        <w:t>affs</w:t>
      </w:r>
      <w:proofErr w:type="spellEnd"/>
      <w:r>
        <w:t xml:space="preserve"> can specify states</w:t>
      </w:r>
    </w:p>
    <w:p w14:paraId="5BD3E574" w14:textId="77777777" w:rsidR="00946C20" w:rsidRDefault="00946C20" w:rsidP="00946C20">
      <w:pPr>
        <w:pStyle w:val="Heading4"/>
      </w:pPr>
      <w:r>
        <w:t xml:space="preserve">1] </w:t>
      </w:r>
      <w:bookmarkStart w:id="0" w:name="_Hlk82258995"/>
      <w:r>
        <w:t xml:space="preserve">We meet—member states </w:t>
      </w:r>
      <w:proofErr w:type="gramStart"/>
      <w:r>
        <w:t>isn’t</w:t>
      </w:r>
      <w:proofErr w:type="gramEnd"/>
      <w:r>
        <w:t xml:space="preserve"> generic because it’s modified by “the” and “of the WTO”</w:t>
      </w:r>
    </w:p>
    <w:p w14:paraId="6B166A48" w14:textId="77777777" w:rsidR="00946C20" w:rsidRPr="00CE2769" w:rsidRDefault="00946C20" w:rsidP="00946C20">
      <w:pPr>
        <w:pStyle w:val="Heading4"/>
      </w:pPr>
      <w:r>
        <w:t>“The” implies specification</w:t>
      </w:r>
    </w:p>
    <w:p w14:paraId="55F82F83" w14:textId="77777777" w:rsidR="00946C20" w:rsidRPr="00CE2769" w:rsidRDefault="00946C20" w:rsidP="00946C20">
      <w:pPr>
        <w:widowControl w:val="0"/>
        <w:rPr>
          <w:rFonts w:eastAsia="Times New Roman"/>
          <w:szCs w:val="20"/>
        </w:rPr>
      </w:pPr>
      <w:r w:rsidRPr="00AE2CBD">
        <w:rPr>
          <w:rStyle w:val="Style13ptBold"/>
        </w:rPr>
        <w:t>Random House 6</w:t>
      </w:r>
      <w:r w:rsidRPr="00CE2769">
        <w:rPr>
          <w:rFonts w:eastAsia="Times New Roman"/>
          <w:szCs w:val="20"/>
        </w:rPr>
        <w:t xml:space="preserve"> (Unabridged Dictionary, http://dictionary.reference.com/browse/the)</w:t>
      </w:r>
    </w:p>
    <w:p w14:paraId="2D438909" w14:textId="77777777" w:rsidR="00946C20" w:rsidRPr="00CE2769" w:rsidRDefault="00946C20" w:rsidP="00946C20">
      <w:pPr>
        <w:widowControl w:val="0"/>
        <w:rPr>
          <w:rFonts w:eastAsia="Times New Roman"/>
          <w:szCs w:val="20"/>
        </w:rPr>
      </w:pPr>
      <w:r w:rsidRPr="00CE2769">
        <w:rPr>
          <w:rFonts w:eastAsia="Times New Roman"/>
          <w:szCs w:val="20"/>
        </w:rPr>
        <w:t>(</w:t>
      </w:r>
      <w:proofErr w:type="gramStart"/>
      <w:r w:rsidRPr="00290107">
        <w:rPr>
          <w:rFonts w:eastAsia="SimSun"/>
          <w:highlight w:val="cyan"/>
          <w:u w:val="single"/>
          <w:lang w:eastAsia="zh-CN"/>
        </w:rPr>
        <w:t>used</w:t>
      </w:r>
      <w:proofErr w:type="gramEnd"/>
      <w:r w:rsidRPr="00290107">
        <w:rPr>
          <w:rFonts w:eastAsia="Times New Roman"/>
          <w:szCs w:val="20"/>
          <w:highlight w:val="cyan"/>
        </w:rPr>
        <w:t xml:space="preserve">, esp. </w:t>
      </w:r>
      <w:r w:rsidRPr="00290107">
        <w:rPr>
          <w:rFonts w:eastAsia="SimSun"/>
          <w:highlight w:val="cyan"/>
          <w:u w:val="single"/>
          <w:lang w:eastAsia="zh-CN"/>
        </w:rPr>
        <w:t>before a noun</w:t>
      </w:r>
      <w:r w:rsidRPr="00290107">
        <w:rPr>
          <w:rFonts w:eastAsia="Times New Roman"/>
          <w:szCs w:val="20"/>
          <w:highlight w:val="cyan"/>
        </w:rPr>
        <w:t xml:space="preserve">, </w:t>
      </w:r>
      <w:r w:rsidRPr="00290107">
        <w:rPr>
          <w:rFonts w:eastAsia="SimSun"/>
          <w:highlight w:val="cyan"/>
          <w:u w:val="single"/>
          <w:lang w:eastAsia="zh-CN"/>
        </w:rPr>
        <w:t>with a</w:t>
      </w:r>
      <w:r w:rsidRPr="00290107">
        <w:rPr>
          <w:rFonts w:eastAsia="Times New Roman"/>
          <w:szCs w:val="20"/>
          <w:highlight w:val="cyan"/>
        </w:rPr>
        <w:t xml:space="preserve"> </w:t>
      </w:r>
      <w:r w:rsidRPr="00290107">
        <w:rPr>
          <w:rFonts w:eastAsia="SimSun"/>
          <w:b/>
          <w:highlight w:val="cyan"/>
          <w:u w:val="single"/>
          <w:lang w:eastAsia="zh-CN"/>
        </w:rPr>
        <w:t>specifying or particularizing effect</w:t>
      </w:r>
      <w:r w:rsidRPr="00CE2769">
        <w:rPr>
          <w:rFonts w:eastAsia="Times New Roman"/>
          <w:szCs w:val="20"/>
        </w:rPr>
        <w:t xml:space="preserve">, as opposed to the indefinite or generalizing force of the indefinite article </w:t>
      </w:r>
      <w:r w:rsidRPr="00CE2769">
        <w:rPr>
          <w:rFonts w:eastAsia="Times New Roman"/>
          <w:i/>
          <w:iCs/>
          <w:szCs w:val="20"/>
        </w:rPr>
        <w:t>a</w:t>
      </w:r>
      <w:r w:rsidRPr="00CE2769">
        <w:rPr>
          <w:rFonts w:eastAsia="Times New Roman"/>
          <w:szCs w:val="20"/>
        </w:rPr>
        <w:t xml:space="preserve"> or </w:t>
      </w:r>
      <w:r w:rsidRPr="00CE2769">
        <w:rPr>
          <w:rFonts w:eastAsia="Times New Roman"/>
          <w:i/>
          <w:iCs/>
          <w:szCs w:val="20"/>
        </w:rPr>
        <w:t>an</w:t>
      </w:r>
      <w:r w:rsidRPr="00CE2769">
        <w:rPr>
          <w:rFonts w:eastAsia="Times New Roman"/>
          <w:szCs w:val="20"/>
        </w:rPr>
        <w:t>): the book you gave me; Come into the house.</w:t>
      </w:r>
    </w:p>
    <w:bookmarkEnd w:id="0"/>
    <w:p w14:paraId="12ECECF3" w14:textId="77777777" w:rsidR="00946C20" w:rsidRDefault="00946C20" w:rsidP="00946C20">
      <w:pPr>
        <w:pStyle w:val="Heading4"/>
      </w:pPr>
      <w:r>
        <w:t xml:space="preserve">2] Subsets prove generics—their </w:t>
      </w:r>
      <w:proofErr w:type="spellStart"/>
      <w:r>
        <w:t>interp</w:t>
      </w:r>
      <w:proofErr w:type="spellEnd"/>
      <w:r>
        <w:t xml:space="preserve"> is arbitrary. Tessler and Goodman 18 </w:t>
      </w:r>
    </w:p>
    <w:p w14:paraId="264ACF1D" w14:textId="77777777" w:rsidR="00946C20" w:rsidRPr="002D5207" w:rsidRDefault="00946C20" w:rsidP="00946C20">
      <w:pPr>
        <w:rPr>
          <w:rStyle w:val="Style13ptBold"/>
        </w:rPr>
      </w:pPr>
      <w:r w:rsidRPr="002D5207">
        <w:rPr>
          <w:rStyle w:val="Style13ptBold"/>
        </w:rPr>
        <w:t xml:space="preserve">Michael Henry Tessler </w:t>
      </w:r>
      <w:r>
        <w:rPr>
          <w:rStyle w:val="Style13ptBold"/>
        </w:rPr>
        <w:t>(</w:t>
      </w:r>
      <w:proofErr w:type="spellStart"/>
      <w:r>
        <w:rPr>
          <w:rStyle w:val="Style13ptBold"/>
        </w:rPr>
        <w:t>ph.D.</w:t>
      </w:r>
      <w:proofErr w:type="spellEnd"/>
      <w:r>
        <w:rPr>
          <w:rStyle w:val="Style13ptBold"/>
        </w:rPr>
        <w:t xml:space="preserve">, post-doc fellow @ MIT) </w:t>
      </w:r>
      <w:r w:rsidRPr="002D5207">
        <w:rPr>
          <w:rStyle w:val="Style13ptBold"/>
        </w:rPr>
        <w:t>&amp; Noah D. Goodman</w:t>
      </w:r>
      <w:r>
        <w:rPr>
          <w:rStyle w:val="Style13ptBold"/>
        </w:rPr>
        <w:t xml:space="preserve"> (</w:t>
      </w:r>
      <w:r w:rsidRPr="002D5207">
        <w:rPr>
          <w:rStyle w:val="Style13ptBold"/>
        </w:rPr>
        <w:t>Associate Professor of Psychology and Computer Science, and Linguistics</w:t>
      </w:r>
      <w:r>
        <w:rPr>
          <w:rStyle w:val="Style13ptBold"/>
        </w:rPr>
        <w:t xml:space="preserve"> @Stanford University)</w:t>
      </w:r>
      <w:r w:rsidRPr="002D5207">
        <w:rPr>
          <w:rStyle w:val="Style13ptBold"/>
        </w:rPr>
        <w:t xml:space="preserve">, “The Language of Generalization,” Department of Psychology, Stanford University, December 2018, </w:t>
      </w:r>
      <w:hyperlink r:id="rId6" w:history="1">
        <w:r w:rsidRPr="002D5207">
          <w:rPr>
            <w:rStyle w:val="Style13ptBold"/>
          </w:rPr>
          <w:t>https://arxiv.org/pdf/1608.02926.pdf</w:t>
        </w:r>
      </w:hyperlink>
      <w:r w:rsidRPr="002D5207">
        <w:rPr>
          <w:rStyle w:val="Style13ptBold"/>
        </w:rPr>
        <w:t xml:space="preserve">. </w:t>
      </w:r>
    </w:p>
    <w:p w14:paraId="130B1185" w14:textId="45CC514D" w:rsidR="002D7E4B" w:rsidRPr="00374883" w:rsidRDefault="00946C20" w:rsidP="002D7E4B">
      <w:pPr>
        <w:rPr>
          <w:sz w:val="16"/>
        </w:rPr>
      </w:pPr>
      <w:r w:rsidRPr="002D5207">
        <w:rPr>
          <w:sz w:val="16"/>
        </w:rPr>
        <w:t xml:space="preserve">The basic intuition behind our account is that before a listener hears a novel generalization such as </w:t>
      </w:r>
      <w:r w:rsidRPr="005012CF">
        <w:rPr>
          <w:rStyle w:val="StyleUnderline"/>
        </w:rPr>
        <w:t>“Alligators grow to be 10-feet long”</w:t>
      </w:r>
      <w:r w:rsidRPr="005012CF">
        <w:rPr>
          <w:sz w:val="16"/>
        </w:rPr>
        <w:t xml:space="preserve">, they do not know how widely distributed the property to be in the category, including </w:t>
      </w:r>
      <w:proofErr w:type="gramStart"/>
      <w:r w:rsidRPr="005012CF">
        <w:rPr>
          <w:sz w:val="16"/>
        </w:rPr>
        <w:t>whether or not</w:t>
      </w:r>
      <w:proofErr w:type="gramEnd"/>
      <w:r w:rsidRPr="005012CF">
        <w:rPr>
          <w:sz w:val="16"/>
        </w:rPr>
        <w:t xml:space="preserve"> it is present at all. </w:t>
      </w:r>
      <w:r w:rsidRPr="005012CF">
        <w:rPr>
          <w:rStyle w:val="StyleUnderline"/>
        </w:rPr>
        <w:t>The utterance provides a vague sense of how strongly the generalization applies (e.g., how many alligators grow to be 10-feet long), which the listener derives from their knowledge of how the property (growing to be 10-feet long) is distributed among other categories (e.g., other</w:t>
      </w:r>
      <w:r w:rsidRPr="002D5207">
        <w:rPr>
          <w:rStyle w:val="StyleUnderline"/>
        </w:rPr>
        <w:t xml:space="preserve"> animals). The </w:t>
      </w:r>
      <w:r w:rsidRPr="00A34EE7">
        <w:rPr>
          <w:rStyle w:val="StyleUnderline"/>
          <w:highlight w:val="yellow"/>
        </w:rPr>
        <w:t xml:space="preserve">decision of </w:t>
      </w:r>
      <w:proofErr w:type="gramStart"/>
      <w:r w:rsidRPr="00A34EE7">
        <w:rPr>
          <w:rStyle w:val="StyleUnderline"/>
          <w:highlight w:val="yellow"/>
        </w:rPr>
        <w:t>whether or not</w:t>
      </w:r>
      <w:proofErr w:type="gramEnd"/>
      <w:r w:rsidRPr="00A34EE7">
        <w:rPr>
          <w:rStyle w:val="StyleUnderline"/>
          <w:highlight w:val="yellow"/>
        </w:rPr>
        <w:t xml:space="preserve"> to endorse the generalization is </w:t>
      </w:r>
      <w:r w:rsidRPr="002D5207">
        <w:rPr>
          <w:rStyle w:val="StyleUnderline"/>
        </w:rPr>
        <w:t>that of a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 xml:space="preserve">speaker reasoning </w:t>
      </w:r>
      <w:r w:rsidRPr="00A34EE7">
        <w:rPr>
          <w:rStyle w:val="StyleUnderline"/>
          <w:highlight w:val="yellow"/>
        </w:rPr>
        <w:t xml:space="preserve">about how well the utterance would align their interlocutor’s beliefs </w:t>
      </w:r>
      <w:r w:rsidRPr="002D5207">
        <w:rPr>
          <w:rStyle w:val="StyleUnderline"/>
        </w:rPr>
        <w:t>about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>the prevalence of the feature in the category with those of their own.</w:t>
      </w:r>
      <w:r w:rsidRPr="002D5207">
        <w:rPr>
          <w:sz w:val="16"/>
        </w:rPr>
        <w:t xml:space="preserve"> We formalize this intuition in a truth-conditional semantics incorporated into a Bayesian model of belief updating. Interpretation model. Our model of interpreting the language of generalizations has three conceptual components: Probability, vagueness, and context. If generalization from observations can be described by a probability p, it is natural to posit that same construct will be at the heart of a semantic theory of the language of generalization (Ingredient 1: Probability). </w:t>
      </w:r>
      <w:r w:rsidRPr="002D5207">
        <w:rPr>
          <w:rStyle w:val="StyleUnderline"/>
        </w:rPr>
        <w:t>In semantics, belief updating generally passes through Boolean truth values</w:t>
      </w:r>
      <w:r>
        <w:rPr>
          <w:rStyle w:val="StyleUnderline"/>
        </w:rPr>
        <w:t xml:space="preserve"> </w:t>
      </w:r>
      <w:r w:rsidRPr="002D5207">
        <w:rPr>
          <w:sz w:val="16"/>
        </w:rPr>
        <w:t xml:space="preserve">(Montague, 1973). </w:t>
      </w:r>
      <w:r w:rsidRPr="002D5207">
        <w:rPr>
          <w:rStyle w:val="StyleUnderline"/>
        </w:rPr>
        <w:t>The simplest way to derive a Boolean from a scalar quantity like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 xml:space="preserve">probability is via a threshold semantics: </w:t>
      </w:r>
      <w:r w:rsidRPr="00A34EE7">
        <w:rPr>
          <w:rStyle w:val="StyleUnderline"/>
          <w:highlight w:val="yellow"/>
        </w:rPr>
        <w:t>The utterance is true if the relevant scalar value is above a threshold.</w:t>
      </w:r>
      <w:r w:rsidRPr="002D5207">
        <w:rPr>
          <w:rStyle w:val="StyleUnderline"/>
        </w:rPr>
        <w:t xml:space="preserve"> For example, the literal meaning of the sentence “Some dogs have four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>legs” is that there is a non-zero chance that a given dog will have four legs: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>[[some</w:t>
      </w:r>
      <w:proofErr w:type="gramStart"/>
      <w:r w:rsidRPr="002D5207">
        <w:rPr>
          <w:rStyle w:val="StyleUnderline"/>
        </w:rPr>
        <w:t>]](</w:t>
      </w:r>
      <w:proofErr w:type="gramEnd"/>
      <w:r w:rsidRPr="002D5207">
        <w:rPr>
          <w:rStyle w:val="StyleUnderline"/>
        </w:rPr>
        <w:t>p) := p &gt; 0. “Most dogs have four legs” can also be described as a threshold on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>prevalence (e.g., the chance that a dog will have four legs is greater than 50%):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>[[most</w:t>
      </w:r>
      <w:proofErr w:type="gramStart"/>
      <w:r w:rsidRPr="002D5207">
        <w:rPr>
          <w:rStyle w:val="StyleUnderline"/>
        </w:rPr>
        <w:t>]](</w:t>
      </w:r>
      <w:proofErr w:type="gramEnd"/>
      <w:r w:rsidRPr="002D5207">
        <w:rPr>
          <w:rStyle w:val="StyleUnderline"/>
        </w:rPr>
        <w:t>p) := p &gt; 0.5.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 xml:space="preserve">3 Thus, </w:t>
      </w:r>
      <w:r w:rsidRPr="00917282">
        <w:rPr>
          <w:rStyle w:val="StyleUnderline"/>
        </w:rPr>
        <w:t xml:space="preserve">the simplest semantics for a generalization would also be a threshold on the prevalence: </w:t>
      </w:r>
      <w:r w:rsidRPr="002D5207">
        <w:rPr>
          <w:rStyle w:val="StyleUnderline"/>
        </w:rPr>
        <w:t>[[gen</w:t>
      </w:r>
      <w:proofErr w:type="gramStart"/>
      <w:r w:rsidRPr="002D5207">
        <w:rPr>
          <w:rStyle w:val="StyleUnderline"/>
        </w:rPr>
        <w:t>]](</w:t>
      </w:r>
      <w:proofErr w:type="gramEnd"/>
      <w:r w:rsidRPr="002D5207">
        <w:rPr>
          <w:rStyle w:val="StyleUnderline"/>
        </w:rPr>
        <w:t>p, θ) := p &gt; θ.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 xml:space="preserve">The </w:t>
      </w:r>
      <w:r w:rsidRPr="00A34EE7">
        <w:rPr>
          <w:rStyle w:val="StyleUnderline"/>
          <w:highlight w:val="yellow"/>
        </w:rPr>
        <w:t>extreme flexibility of generalizations</w:t>
      </w:r>
      <w:r w:rsidRPr="002D5207">
        <w:rPr>
          <w:rStyle w:val="StyleUnderline"/>
        </w:rPr>
        <w:t xml:space="preserve"> (e.g., “Mosquitos carry malaria”; “Birds lay eggs” vs. “Birds are female”) </w:t>
      </w:r>
      <w:r w:rsidRPr="00A34EE7">
        <w:rPr>
          <w:rStyle w:val="StyleUnderline"/>
          <w:highlight w:val="yellow"/>
        </w:rPr>
        <w:t>suggests that no fixed threshold would suffice</w:t>
      </w:r>
      <w:r w:rsidRPr="002D5207">
        <w:rPr>
          <w:rStyle w:val="StyleUnderline"/>
        </w:rPr>
        <w:t>. Rather than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 xml:space="preserve">throw out the threshold-semantics, </w:t>
      </w:r>
      <w:r w:rsidRPr="008A2A8C">
        <w:rPr>
          <w:rStyle w:val="StyleUnderline"/>
        </w:rPr>
        <w:t xml:space="preserve">we posit that </w:t>
      </w:r>
      <w:r w:rsidRPr="00A34EE7">
        <w:rPr>
          <w:rStyle w:val="StyleUnderline"/>
          <w:highlight w:val="yellow"/>
        </w:rPr>
        <w:t xml:space="preserve">the threshold is underspecified in the literal meaning and is </w:t>
      </w:r>
      <w:proofErr w:type="gramStart"/>
      <w:r w:rsidRPr="00A34EE7">
        <w:rPr>
          <w:rStyle w:val="StyleUnderline"/>
          <w:highlight w:val="yellow"/>
        </w:rPr>
        <w:t>contextually-determined</w:t>
      </w:r>
      <w:proofErr w:type="gramEnd"/>
      <w:r w:rsidRPr="00A34EE7">
        <w:rPr>
          <w:rStyle w:val="StyleUnderline"/>
          <w:highlight w:val="yellow"/>
        </w:rPr>
        <w:t xml:space="preserve"> in a way analogous to </w:t>
      </w:r>
      <w:r w:rsidRPr="008A2A8C">
        <w:rPr>
          <w:rStyle w:val="StyleUnderline"/>
        </w:rPr>
        <w:t xml:space="preserve">how </w:t>
      </w:r>
      <w:r w:rsidRPr="00A34EE7">
        <w:rPr>
          <w:rStyle w:val="StyleUnderline"/>
          <w:highlight w:val="yellow"/>
        </w:rPr>
        <w:t xml:space="preserve">gradable adjectives like tall </w:t>
      </w:r>
      <w:r w:rsidRPr="008A2A8C">
        <w:rPr>
          <w:rStyle w:val="StyleUnderline"/>
        </w:rPr>
        <w:t xml:space="preserve">have contextually-determined thresholds </w:t>
      </w:r>
      <w:r w:rsidRPr="002D5207">
        <w:rPr>
          <w:rStyle w:val="StyleUnderline"/>
        </w:rPr>
        <w:t>(e.g., what counts as tall for a person is</w:t>
      </w:r>
      <w:r>
        <w:rPr>
          <w:rStyle w:val="StyleUnderline"/>
        </w:rPr>
        <w:t xml:space="preserve"> </w:t>
      </w:r>
      <w:r w:rsidRPr="002D5207">
        <w:rPr>
          <w:rStyle w:val="StyleUnderline"/>
        </w:rPr>
        <w:t xml:space="preserve">different than </w:t>
      </w:r>
    </w:p>
    <w:p w14:paraId="21256F20" w14:textId="62DF97E8" w:rsidR="00946C20" w:rsidRDefault="00946C20" w:rsidP="006A3207">
      <w:pPr>
        <w:pStyle w:val="Heading4"/>
      </w:pPr>
      <w:r>
        <w:lastRenderedPageBreak/>
        <w:t>Semantics are a floor not a ceiling—</w:t>
      </w:r>
      <w:r w:rsidRPr="00947CBF">
        <w:t xml:space="preserve"> </w:t>
      </w:r>
      <w:r>
        <w:t xml:space="preserve">we all interpret the resolution to allow specification and can determine the most predictable </w:t>
      </w:r>
      <w:proofErr w:type="spellStart"/>
      <w:r>
        <w:t>interp</w:t>
      </w:r>
      <w:proofErr w:type="spellEnd"/>
      <w:r>
        <w:t xml:space="preserve"> based on factors like clash and limits. If we have a sufficiently predictable interpretation of the topic then division of ground is more important. High schoolers shouldn’t need a PhD-level understanding of semantics to interpret the topic</w:t>
      </w:r>
    </w:p>
    <w:p w14:paraId="3424F432" w14:textId="77777777" w:rsidR="00946C20" w:rsidRPr="00947CBF" w:rsidRDefault="00946C20" w:rsidP="00946C20">
      <w:pPr>
        <w:pStyle w:val="Heading4"/>
      </w:pPr>
      <w:r>
        <w:t>Standards:</w:t>
      </w:r>
    </w:p>
    <w:p w14:paraId="08B8E647" w14:textId="77777777" w:rsidR="00946C20" w:rsidRDefault="00946C20" w:rsidP="00946C20">
      <w:pPr>
        <w:pStyle w:val="Heading4"/>
      </w:pPr>
      <w:r>
        <w:t xml:space="preserve">1] Clash—allows us to go in-depth on </w:t>
      </w:r>
      <w:proofErr w:type="gramStart"/>
      <w:r>
        <w:t>particular parts</w:t>
      </w:r>
      <w:proofErr w:type="gramEnd"/>
      <w:r>
        <w:t xml:space="preserve"> of the literature which allows for more nuanced debates because different regions and groups of countries have distinct lit bases—they vastly overlimit</w:t>
      </w:r>
    </w:p>
    <w:p w14:paraId="3866E98A" w14:textId="286D0421" w:rsidR="00946C20" w:rsidRDefault="00946C20" w:rsidP="00946C20">
      <w:pPr>
        <w:pStyle w:val="Heading4"/>
      </w:pPr>
      <w:r>
        <w:t xml:space="preserve">2] </w:t>
      </w:r>
      <w:proofErr w:type="spellStart"/>
      <w:r w:rsidRPr="00A04046">
        <w:t>Aff</w:t>
      </w:r>
      <w:proofErr w:type="spellEnd"/>
      <w:r w:rsidRPr="00A04046">
        <w:t xml:space="preserve"> Ground—no advantage applies to all </w:t>
      </w:r>
      <w:r>
        <w:t>country</w:t>
      </w:r>
      <w:r w:rsidRPr="00A04046">
        <w:t xml:space="preserve"> pics since </w:t>
      </w:r>
      <w:r>
        <w:t>every country is different</w:t>
      </w:r>
      <w:r w:rsidRPr="00A04046">
        <w:t xml:space="preserve"> – pics are worse than </w:t>
      </w:r>
      <w:proofErr w:type="spellStart"/>
      <w:r w:rsidRPr="00A04046">
        <w:t>aff</w:t>
      </w:r>
      <w:proofErr w:type="spellEnd"/>
      <w:r w:rsidRPr="00A04046">
        <w:t xml:space="preserve"> spec since negs have generics like</w:t>
      </w:r>
      <w:r>
        <w:t xml:space="preserve"> the innovation da and cap k</w:t>
      </w:r>
      <w:r w:rsidRPr="00A04046">
        <w:t xml:space="preserve"> but </w:t>
      </w:r>
      <w:proofErr w:type="spellStart"/>
      <w:r w:rsidRPr="00A04046">
        <w:t>affs</w:t>
      </w:r>
      <w:proofErr w:type="spellEnd"/>
      <w:r w:rsidRPr="00A04046">
        <w:t xml:space="preserve"> don’t have</w:t>
      </w:r>
      <w:r>
        <w:t xml:space="preserve"> </w:t>
      </w:r>
      <w:r w:rsidRPr="00A04046">
        <w:t>any</w:t>
      </w:r>
      <w:r>
        <w:t>thing to restart with</w:t>
      </w:r>
      <w:r w:rsidRPr="00A04046">
        <w:t xml:space="preserve"> vs </w:t>
      </w:r>
      <w:r w:rsidR="00DB474A">
        <w:t xml:space="preserve">the thousands of possible </w:t>
      </w:r>
      <w:r w:rsidRPr="00A04046">
        <w:t>pics</w:t>
      </w:r>
      <w:r w:rsidRPr="001E2BA2">
        <w:t xml:space="preserve"> </w:t>
      </w:r>
      <w:r>
        <w:t>and the barrier to entry for pics is lower because they don’t require solvency advocates or robust lit</w:t>
      </w:r>
    </w:p>
    <w:p w14:paraId="5F1A325D" w14:textId="211C376D" w:rsidR="00946C20" w:rsidRPr="00FE1047" w:rsidRDefault="00946C20" w:rsidP="00946C20">
      <w:pPr>
        <w:pStyle w:val="Heading4"/>
      </w:pPr>
      <w:r>
        <w:t xml:space="preserve">3] </w:t>
      </w:r>
      <w:r w:rsidRPr="003B2DE8">
        <w:t>Functional limits:</w:t>
      </w:r>
      <w:r>
        <w:t xml:space="preserve"> only so many </w:t>
      </w:r>
      <w:proofErr w:type="spellStart"/>
      <w:r>
        <w:t>affs</w:t>
      </w:r>
      <w:proofErr w:type="spellEnd"/>
      <w:r>
        <w:t xml:space="preserve"> have impacts and solvency advocates</w:t>
      </w:r>
      <w:r w:rsidRPr="003B2DE8">
        <w:t xml:space="preserve">—small </w:t>
      </w:r>
      <w:proofErr w:type="spellStart"/>
      <w:r w:rsidRPr="003B2DE8">
        <w:t>affs</w:t>
      </w:r>
      <w:proofErr w:type="spellEnd"/>
      <w:r w:rsidRPr="003B2DE8">
        <w:t xml:space="preserve"> lose to </w:t>
      </w:r>
      <w:r>
        <w:t>generics because they have no offense specific to that country</w:t>
      </w:r>
    </w:p>
    <w:p w14:paraId="105A24BF" w14:textId="2AD16933" w:rsidR="00EE584A" w:rsidRDefault="00946C20" w:rsidP="00EE584A">
      <w:pPr>
        <w:pStyle w:val="Heading4"/>
      </w:pPr>
      <w:r>
        <w:t xml:space="preserve">4] Reasonability—good is good enough and key to avoid substance </w:t>
      </w:r>
      <w:proofErr w:type="spellStart"/>
      <w:r>
        <w:t>crowdout</w:t>
      </w:r>
      <w:proofErr w:type="spellEnd"/>
    </w:p>
    <w:p w14:paraId="3EBD9654" w14:textId="6F4EA61D" w:rsidR="00EE584A" w:rsidRPr="00EE584A" w:rsidRDefault="00EE584A" w:rsidP="00EE584A">
      <w:pPr>
        <w:pStyle w:val="Heading4"/>
      </w:pPr>
      <w:r>
        <w:t xml:space="preserve">5] No TVA – pics and generics slap me down makes the TVA impossible for the </w:t>
      </w:r>
      <w:proofErr w:type="spellStart"/>
      <w:r>
        <w:t>aff</w:t>
      </w:r>
      <w:proofErr w:type="spellEnd"/>
      <w:r>
        <w:t xml:space="preserve"> to win</w:t>
      </w:r>
    </w:p>
    <w:p w14:paraId="3AF2FDBC" w14:textId="6F2F418A" w:rsidR="00017E8D" w:rsidRDefault="00EE584A" w:rsidP="00DC2840">
      <w:pPr>
        <w:pStyle w:val="Heading4"/>
      </w:pPr>
      <w:r>
        <w:t>6</w:t>
      </w:r>
      <w:r w:rsidR="004F3F34">
        <w:t>] Yes RVIs on 1N</w:t>
      </w:r>
      <w:r w:rsidR="00396FD2">
        <w:t>C</w:t>
      </w:r>
      <w:r w:rsidR="004F3F34">
        <w:t xml:space="preserve"> T – we don’t have enough time in the time crunched </w:t>
      </w:r>
      <w:proofErr w:type="gramStart"/>
      <w:r w:rsidR="004F3F34">
        <w:t>4 minute</w:t>
      </w:r>
      <w:proofErr w:type="gramEnd"/>
      <w:r w:rsidR="004F3F34">
        <w:t xml:space="preserve"> 1AR to respond to everything the Neg has said in the 7 minute NC</w:t>
      </w:r>
    </w:p>
    <w:p w14:paraId="5743D30C" w14:textId="5A005648" w:rsidR="00676DE6" w:rsidRDefault="00676DE6" w:rsidP="00676DE6">
      <w:pPr>
        <w:pStyle w:val="Heading2"/>
      </w:pPr>
      <w:r>
        <w:lastRenderedPageBreak/>
        <w:t>Kant</w:t>
      </w:r>
    </w:p>
    <w:p w14:paraId="09917BBE" w14:textId="77777777" w:rsidR="00676DE6" w:rsidRPr="003B74B9" w:rsidRDefault="00676DE6" w:rsidP="00676DE6">
      <w:pPr>
        <w:pStyle w:val="Heading4"/>
      </w:pPr>
      <w:proofErr w:type="spellStart"/>
      <w:r w:rsidRPr="003B74B9">
        <w:t>predicitons</w:t>
      </w:r>
      <w:proofErr w:type="spellEnd"/>
      <w:r w:rsidRPr="003B74B9">
        <w:t xml:space="preserve"> are possible and useful</w:t>
      </w:r>
    </w:p>
    <w:p w14:paraId="2D44DD00" w14:textId="77777777" w:rsidR="00676DE6" w:rsidRPr="003B74B9" w:rsidRDefault="00676DE6" w:rsidP="00676DE6">
      <w:r w:rsidRPr="003B74B9">
        <w:rPr>
          <w:b/>
        </w:rPr>
        <w:t xml:space="preserve">Mearsheimer, </w:t>
      </w:r>
      <w:proofErr w:type="gramStart"/>
      <w:r w:rsidRPr="003B74B9">
        <w:rPr>
          <w:b/>
        </w:rPr>
        <w:t>01</w:t>
      </w:r>
      <w:r w:rsidRPr="003B74B9">
        <w:t xml:space="preserve">  (</w:t>
      </w:r>
      <w:proofErr w:type="gramEnd"/>
      <w:r w:rsidRPr="003B74B9">
        <w:t xml:space="preserve">John, professor of political science at the University of Chicago, </w:t>
      </w:r>
      <w:r w:rsidRPr="003B74B9">
        <w:rPr>
          <w:u w:val="single"/>
        </w:rPr>
        <w:t>The Tragedy of Great Power Politic</w:t>
      </w:r>
      <w:r>
        <w:t xml:space="preserve">s, 2001  p. 8, </w:t>
      </w:r>
      <w:proofErr w:type="spellStart"/>
      <w:r>
        <w:t>googleprint</w:t>
      </w:r>
      <w:proofErr w:type="spellEnd"/>
      <w:r>
        <w:t>)</w:t>
      </w:r>
    </w:p>
    <w:p w14:paraId="59FAE78A" w14:textId="576784E4" w:rsidR="00676DE6" w:rsidRPr="00535D14" w:rsidRDefault="00676DE6" w:rsidP="00676DE6">
      <w:pPr>
        <w:rPr>
          <w:sz w:val="16"/>
        </w:rPr>
      </w:pPr>
      <w:r w:rsidRPr="001B6438">
        <w:rPr>
          <w:sz w:val="16"/>
        </w:rPr>
        <w:t xml:space="preserve">As a result, </w:t>
      </w:r>
      <w:r w:rsidRPr="003B74B9">
        <w:rPr>
          <w:u w:val="single"/>
        </w:rPr>
        <w:t xml:space="preserve">all </w:t>
      </w:r>
      <w:r w:rsidRPr="00425272">
        <w:rPr>
          <w:highlight w:val="green"/>
          <w:u w:val="single"/>
        </w:rPr>
        <w:t>political forecasting is bound to include</w:t>
      </w:r>
      <w:r w:rsidRPr="003B74B9">
        <w:rPr>
          <w:u w:val="single"/>
        </w:rPr>
        <w:t xml:space="preserve"> some </w:t>
      </w:r>
      <w:r w:rsidRPr="00425272">
        <w:rPr>
          <w:highlight w:val="green"/>
          <w:u w:val="single"/>
        </w:rPr>
        <w:t>error</w:t>
      </w:r>
      <w:r w:rsidRPr="00425272">
        <w:rPr>
          <w:sz w:val="16"/>
          <w:highlight w:val="green"/>
        </w:rPr>
        <w:t>.</w:t>
      </w:r>
      <w:r w:rsidRPr="001B6438">
        <w:rPr>
          <w:sz w:val="16"/>
        </w:rPr>
        <w:t xml:space="preserve"> Those who venture to predict, as I do here, should therefore proceed with humility, take care not to exhibit unwarranted confidence, and admit that hindsight is likely to reveal surprises and mistakes. </w:t>
      </w:r>
      <w:r w:rsidRPr="00425272">
        <w:rPr>
          <w:highlight w:val="green"/>
          <w:u w:val="single"/>
        </w:rPr>
        <w:t>Despite</w:t>
      </w:r>
      <w:r w:rsidRPr="003B74B9">
        <w:rPr>
          <w:u w:val="single"/>
        </w:rPr>
        <w:t xml:space="preserve"> these </w:t>
      </w:r>
      <w:r w:rsidRPr="00425272">
        <w:rPr>
          <w:highlight w:val="green"/>
          <w:u w:val="single"/>
        </w:rPr>
        <w:t>hazards</w:t>
      </w:r>
      <w:r w:rsidRPr="003B74B9">
        <w:rPr>
          <w:u w:val="single"/>
        </w:rPr>
        <w:t xml:space="preserve">, </w:t>
      </w:r>
      <w:r w:rsidRPr="00425272">
        <w:rPr>
          <w:highlight w:val="green"/>
          <w:u w:val="single"/>
        </w:rPr>
        <w:t>social scientists should</w:t>
      </w:r>
      <w:r w:rsidRPr="003B74B9">
        <w:rPr>
          <w:u w:val="single"/>
        </w:rPr>
        <w:t xml:space="preserve"> nevertheless </w:t>
      </w:r>
      <w:r w:rsidRPr="00425272">
        <w:rPr>
          <w:highlight w:val="green"/>
          <w:u w:val="single"/>
        </w:rPr>
        <w:t>use</w:t>
      </w:r>
      <w:r w:rsidRPr="003B74B9">
        <w:rPr>
          <w:u w:val="single"/>
        </w:rPr>
        <w:t xml:space="preserve"> their </w:t>
      </w:r>
      <w:r w:rsidRPr="00425272">
        <w:rPr>
          <w:highlight w:val="green"/>
          <w:u w:val="single"/>
        </w:rPr>
        <w:t>theories to make predictions</w:t>
      </w:r>
      <w:r w:rsidRPr="003B74B9">
        <w:rPr>
          <w:u w:val="single"/>
        </w:rPr>
        <w:t xml:space="preserve"> about the future</w:t>
      </w:r>
      <w:r w:rsidRPr="001B6438">
        <w:rPr>
          <w:sz w:val="16"/>
        </w:rPr>
        <w:t xml:space="preserve">. Making predictions helps inform policy discourse, because it helps make sense of events unfolding in the world around us. And by clarifying points of disagreement, </w:t>
      </w:r>
      <w:r w:rsidRPr="003B74B9">
        <w:rPr>
          <w:u w:val="single"/>
        </w:rPr>
        <w:t>making explicit forecasts helps those with contradictory views to frame their own ideas more clearly.</w:t>
      </w:r>
      <w:r w:rsidRPr="001B6438">
        <w:rPr>
          <w:sz w:val="16"/>
        </w:rPr>
        <w:t xml:space="preserve"> Furthermore, </w:t>
      </w:r>
      <w:r w:rsidRPr="00425272">
        <w:rPr>
          <w:highlight w:val="green"/>
          <w:u w:val="single"/>
        </w:rPr>
        <w:t>trying to anticipate</w:t>
      </w:r>
      <w:r w:rsidRPr="003B74B9">
        <w:rPr>
          <w:u w:val="single"/>
        </w:rPr>
        <w:t xml:space="preserve"> new </w:t>
      </w:r>
      <w:r w:rsidRPr="00425272">
        <w:rPr>
          <w:highlight w:val="green"/>
          <w:u w:val="single"/>
        </w:rPr>
        <w:t>events is a good way to test</w:t>
      </w:r>
      <w:r w:rsidRPr="003B74B9">
        <w:rPr>
          <w:u w:val="single"/>
        </w:rPr>
        <w:t xml:space="preserve"> social science </w:t>
      </w:r>
      <w:r w:rsidRPr="00425272">
        <w:rPr>
          <w:highlight w:val="green"/>
          <w:u w:val="single"/>
        </w:rPr>
        <w:t>theories,</w:t>
      </w:r>
      <w:r w:rsidRPr="003B74B9">
        <w:rPr>
          <w:u w:val="single"/>
        </w:rPr>
        <w:t xml:space="preserve"> </w:t>
      </w:r>
      <w:r w:rsidRPr="00425272">
        <w:rPr>
          <w:highlight w:val="green"/>
          <w:u w:val="single"/>
        </w:rPr>
        <w:t>because theorists do not have</w:t>
      </w:r>
      <w:r w:rsidRPr="003B74B9">
        <w:rPr>
          <w:u w:val="single"/>
        </w:rPr>
        <w:t xml:space="preserve"> the benefit of </w:t>
      </w:r>
      <w:r w:rsidRPr="00425272">
        <w:rPr>
          <w:highlight w:val="green"/>
          <w:u w:val="single"/>
        </w:rPr>
        <w:t>hindsight</w:t>
      </w:r>
      <w:r w:rsidRPr="003B74B9">
        <w:rPr>
          <w:u w:val="single"/>
        </w:rPr>
        <w:t xml:space="preserve"> and therefore cannot adjust their claims to fit the evidence</w:t>
      </w:r>
      <w:r w:rsidRPr="001B6438">
        <w:rPr>
          <w:sz w:val="16"/>
        </w:rPr>
        <w:t xml:space="preserve"> (because it is not yet available). In short, t</w:t>
      </w:r>
      <w:r w:rsidRPr="003B74B9">
        <w:rPr>
          <w:u w:val="single"/>
        </w:rPr>
        <w:t>he world can be used as a laboratory to decide which theories best explain international politics</w:t>
      </w:r>
      <w:r w:rsidRPr="001B6438">
        <w:rPr>
          <w:sz w:val="16"/>
        </w:rPr>
        <w:t>. In that spirit I employ offensive realism to peer into the future, mindful of both the benefits and the hazards of trying to predict events.</w:t>
      </w:r>
    </w:p>
    <w:sectPr w:rsidR="00676DE6" w:rsidRPr="00535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E07DE"/>
    <w:multiLevelType w:val="hybridMultilevel"/>
    <w:tmpl w:val="CD20C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C5328"/>
    <w:multiLevelType w:val="hybridMultilevel"/>
    <w:tmpl w:val="B64AC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116AC"/>
    <w:multiLevelType w:val="hybridMultilevel"/>
    <w:tmpl w:val="E2B4D64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7E7130"/>
    <w:rsid w:val="000139A3"/>
    <w:rsid w:val="00017E8D"/>
    <w:rsid w:val="00100833"/>
    <w:rsid w:val="00104529"/>
    <w:rsid w:val="00105942"/>
    <w:rsid w:val="00107396"/>
    <w:rsid w:val="00144A4C"/>
    <w:rsid w:val="00176AB0"/>
    <w:rsid w:val="00177B7D"/>
    <w:rsid w:val="0018322D"/>
    <w:rsid w:val="001A06F1"/>
    <w:rsid w:val="001B5776"/>
    <w:rsid w:val="001E527A"/>
    <w:rsid w:val="001F78CE"/>
    <w:rsid w:val="00235829"/>
    <w:rsid w:val="00251FC7"/>
    <w:rsid w:val="002807BD"/>
    <w:rsid w:val="002855A7"/>
    <w:rsid w:val="00291B37"/>
    <w:rsid w:val="002B146A"/>
    <w:rsid w:val="002B5E17"/>
    <w:rsid w:val="002D7E4B"/>
    <w:rsid w:val="003119D2"/>
    <w:rsid w:val="00315690"/>
    <w:rsid w:val="00316B75"/>
    <w:rsid w:val="00325646"/>
    <w:rsid w:val="003460F2"/>
    <w:rsid w:val="00347C20"/>
    <w:rsid w:val="00354945"/>
    <w:rsid w:val="00374883"/>
    <w:rsid w:val="0038158C"/>
    <w:rsid w:val="003902BA"/>
    <w:rsid w:val="00396FD2"/>
    <w:rsid w:val="003A09E2"/>
    <w:rsid w:val="00407037"/>
    <w:rsid w:val="004605D6"/>
    <w:rsid w:val="004C60E8"/>
    <w:rsid w:val="004E3579"/>
    <w:rsid w:val="004E728B"/>
    <w:rsid w:val="004F39E0"/>
    <w:rsid w:val="004F3F34"/>
    <w:rsid w:val="00535D14"/>
    <w:rsid w:val="00537BD5"/>
    <w:rsid w:val="00565C62"/>
    <w:rsid w:val="0057268A"/>
    <w:rsid w:val="005D2912"/>
    <w:rsid w:val="006065BD"/>
    <w:rsid w:val="006369F8"/>
    <w:rsid w:val="00645FA9"/>
    <w:rsid w:val="00647866"/>
    <w:rsid w:val="00665003"/>
    <w:rsid w:val="00676DE6"/>
    <w:rsid w:val="006A2AD0"/>
    <w:rsid w:val="006A3207"/>
    <w:rsid w:val="006C2375"/>
    <w:rsid w:val="006D4ECC"/>
    <w:rsid w:val="00721788"/>
    <w:rsid w:val="00722258"/>
    <w:rsid w:val="007243E5"/>
    <w:rsid w:val="00747666"/>
    <w:rsid w:val="00766EA0"/>
    <w:rsid w:val="007A2226"/>
    <w:rsid w:val="007E7130"/>
    <w:rsid w:val="007F5B66"/>
    <w:rsid w:val="00823A1C"/>
    <w:rsid w:val="00845B9D"/>
    <w:rsid w:val="00860984"/>
    <w:rsid w:val="0089432F"/>
    <w:rsid w:val="008B3ECB"/>
    <w:rsid w:val="008B4E85"/>
    <w:rsid w:val="008B6FB5"/>
    <w:rsid w:val="008C1B2E"/>
    <w:rsid w:val="008F691B"/>
    <w:rsid w:val="009007EC"/>
    <w:rsid w:val="0091627E"/>
    <w:rsid w:val="00933B5D"/>
    <w:rsid w:val="009466F8"/>
    <w:rsid w:val="00946C20"/>
    <w:rsid w:val="0097032B"/>
    <w:rsid w:val="009D2EAD"/>
    <w:rsid w:val="009D48E0"/>
    <w:rsid w:val="009D54B2"/>
    <w:rsid w:val="009E1922"/>
    <w:rsid w:val="009F7ED2"/>
    <w:rsid w:val="00A53EA7"/>
    <w:rsid w:val="00A93661"/>
    <w:rsid w:val="00A95652"/>
    <w:rsid w:val="00AC0AB8"/>
    <w:rsid w:val="00B1456C"/>
    <w:rsid w:val="00B33C6D"/>
    <w:rsid w:val="00B4508F"/>
    <w:rsid w:val="00B55AD5"/>
    <w:rsid w:val="00B8057C"/>
    <w:rsid w:val="00B93B9E"/>
    <w:rsid w:val="00BB2128"/>
    <w:rsid w:val="00BD6238"/>
    <w:rsid w:val="00BF593B"/>
    <w:rsid w:val="00BF773A"/>
    <w:rsid w:val="00BF7E81"/>
    <w:rsid w:val="00C13773"/>
    <w:rsid w:val="00C14261"/>
    <w:rsid w:val="00C17CC8"/>
    <w:rsid w:val="00C51E95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5CA9"/>
    <w:rsid w:val="00DA6538"/>
    <w:rsid w:val="00DB474A"/>
    <w:rsid w:val="00DC2840"/>
    <w:rsid w:val="00DD06C8"/>
    <w:rsid w:val="00DE7723"/>
    <w:rsid w:val="00E15E75"/>
    <w:rsid w:val="00E5262C"/>
    <w:rsid w:val="00EC7DC4"/>
    <w:rsid w:val="00ED30CF"/>
    <w:rsid w:val="00EE584A"/>
    <w:rsid w:val="00F176EF"/>
    <w:rsid w:val="00F45E10"/>
    <w:rsid w:val="00F6364A"/>
    <w:rsid w:val="00F9113A"/>
    <w:rsid w:val="00FE1B71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F420"/>
  <w15:chartTrackingRefBased/>
  <w15:docId w15:val="{2204746E-7458-4105-A896-225430E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5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7E7130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7E713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7E713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7E713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Normal Tag,Big card,body,small text,heading 2,Heading 2 Char2 Char,Heading 2 Char1 Char Char, Ch,Ch,No Spacing211,No Spacing12,no read,No Spacing2111,No Spacing4,No Spacing11111,No Spacing5,No Spacing21,Tags,tags,No Spacing1111,TAG,ta,tag,t"/>
    <w:basedOn w:val="Normal"/>
    <w:next w:val="Normal"/>
    <w:link w:val="Heading4Char"/>
    <w:uiPriority w:val="3"/>
    <w:unhideWhenUsed/>
    <w:qFormat/>
    <w:rsid w:val="007E7130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7E71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E7130"/>
  </w:style>
  <w:style w:type="character" w:customStyle="1" w:styleId="Heading1Char">
    <w:name w:val="Heading 1 Char"/>
    <w:aliases w:val="Pocket Char"/>
    <w:basedOn w:val="DefaultParagraphFont"/>
    <w:link w:val="Heading1"/>
    <w:rsid w:val="007E7130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7E7130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7E7130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Normal Tag Char,Big card Char,body Char,small text Char,heading 2 Char,Heading 2 Char2 Char Char,Heading 2 Char1 Char Char Char, Ch Char,Ch Char,No Spacing211 Char,No Spacing12 Char,no read Char,No Spacing2111 Char,Tags Char"/>
    <w:basedOn w:val="DefaultParagraphFont"/>
    <w:link w:val="Heading4"/>
    <w:uiPriority w:val="3"/>
    <w:rsid w:val="007E7130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bold underline,normal card text,Shrunk,qualifications in card,qualifications,Box,Style1,s"/>
    <w:basedOn w:val="DefaultParagraphFont"/>
    <w:link w:val="textbold"/>
    <w:uiPriority w:val="7"/>
    <w:qFormat/>
    <w:rsid w:val="007E7130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1 pt,Style Style Bold + 13 pt,tag + 12 pt,Not...,Not.,Not"/>
    <w:basedOn w:val="DefaultParagraphFont"/>
    <w:uiPriority w:val="5"/>
    <w:qFormat/>
    <w:rsid w:val="007E7130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Intense Emphasis2,HHeading 3 + 12 pt,Cards + Font: 12 pt Char,Style,Underline Char,Bold Cite Char,Citation Char Char Char,ci,c,B"/>
    <w:basedOn w:val="DefaultParagraphFont"/>
    <w:uiPriority w:val="6"/>
    <w:qFormat/>
    <w:rsid w:val="007E7130"/>
    <w:rPr>
      <w:b w:val="0"/>
      <w:sz w:val="22"/>
      <w:u w:val="single"/>
    </w:rPr>
  </w:style>
  <w:style w:type="character" w:styleId="Hyperlink">
    <w:name w:val="Hyperlink"/>
    <w:aliases w:val="heading 1 (block title),Read,Important,Card Text,Internet Link,Analytic Text,Internet link,Underline Char Char Char Char1,Heading 3 Char Char Char Char Char Char Char Char Char Char1,Char Char1,F2 - Heading 1 Char1,AHeading 1 Char1,Hat Char1,C"/>
    <w:basedOn w:val="DefaultParagraphFont"/>
    <w:uiPriority w:val="99"/>
    <w:unhideWhenUsed/>
    <w:rsid w:val="007E7130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E7130"/>
    <w:rPr>
      <w:color w:val="auto"/>
      <w:u w:val="none"/>
    </w:rPr>
  </w:style>
  <w:style w:type="paragraph" w:customStyle="1" w:styleId="card">
    <w:name w:val="card"/>
    <w:aliases w:val="Card,No Spacing31,No Spacing22,No Spacing3,No Spacing111112,nonunderlined,Note Level 2,No Spacing11211,Debate Text,No Spacing11,No Spacing111,No Spacing2,Read stuff,No Spacing1,Tag and Ci,No Spacing23,Dont use,No Spacing41,Tag and Cite"/>
    <w:basedOn w:val="Normal"/>
    <w:next w:val="Normal"/>
    <w:link w:val="cardChar"/>
    <w:uiPriority w:val="99"/>
    <w:qFormat/>
    <w:rsid w:val="00B93B9E"/>
    <w:pPr>
      <w:ind w:left="288" w:right="288"/>
    </w:pPr>
    <w:rPr>
      <w:rFonts w:asciiTheme="minorHAnsi" w:eastAsiaTheme="minorEastAsia" w:hAnsiTheme="minorHAnsi"/>
      <w:szCs w:val="24"/>
      <w:u w:val="single"/>
    </w:rPr>
  </w:style>
  <w:style w:type="paragraph" w:customStyle="1" w:styleId="textbold">
    <w:name w:val="text bold"/>
    <w:basedOn w:val="Normal"/>
    <w:link w:val="Emphasis"/>
    <w:uiPriority w:val="7"/>
    <w:qFormat/>
    <w:rsid w:val="00017E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20"/>
      <w:jc w:val="both"/>
    </w:pPr>
    <w:rPr>
      <w:b/>
      <w:iCs/>
      <w:u w:val="single"/>
    </w:rPr>
  </w:style>
  <w:style w:type="character" w:styleId="Strong">
    <w:name w:val="Strong"/>
    <w:aliases w:val="8 pt font"/>
    <w:basedOn w:val="DefaultParagraphFont"/>
    <w:uiPriority w:val="22"/>
    <w:qFormat/>
    <w:rsid w:val="00017E8D"/>
    <w:rPr>
      <w:b/>
      <w:bCs/>
    </w:rPr>
  </w:style>
  <w:style w:type="character" w:customStyle="1" w:styleId="TitleChar">
    <w:name w:val="Title Char"/>
    <w:aliases w:val="title Char,UNDERLINE Char,Cites and Cards Char,Bold Underlined Char"/>
    <w:basedOn w:val="DefaultParagraphFont"/>
    <w:link w:val="Title"/>
    <w:uiPriority w:val="5"/>
    <w:qFormat/>
    <w:rsid w:val="00BB2128"/>
    <w:rPr>
      <w:b/>
      <w:u w:val="single"/>
    </w:rPr>
  </w:style>
  <w:style w:type="paragraph" w:styleId="Title">
    <w:name w:val="Title"/>
    <w:aliases w:val="title,UNDERLINE,Cites and Cards,Bold Underlined"/>
    <w:basedOn w:val="Normal"/>
    <w:next w:val="Normal"/>
    <w:link w:val="TitleChar"/>
    <w:uiPriority w:val="5"/>
    <w:qFormat/>
    <w:rsid w:val="00BB2128"/>
    <w:pPr>
      <w:pBdr>
        <w:bottom w:val="single" w:sz="8" w:space="4" w:color="4F81BD"/>
      </w:pBdr>
      <w:spacing w:after="300" w:line="240" w:lineRule="auto"/>
      <w:contextualSpacing/>
    </w:pPr>
    <w:rPr>
      <w:rFonts w:asciiTheme="minorHAnsi" w:hAnsiTheme="minorHAnsi"/>
      <w:b/>
      <w:u w:val="single"/>
    </w:rPr>
  </w:style>
  <w:style w:type="character" w:customStyle="1" w:styleId="TitleChar1">
    <w:name w:val="Title Char1"/>
    <w:basedOn w:val="DefaultParagraphFont"/>
    <w:uiPriority w:val="99"/>
    <w:semiHidden/>
    <w:rsid w:val="00BB2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Date">
    <w:name w:val="Style Date"/>
    <w:aliases w:val="Author"/>
    <w:basedOn w:val="DefaultParagraphFont"/>
    <w:uiPriority w:val="1"/>
    <w:qFormat/>
    <w:rsid w:val="00BB2128"/>
    <w:rPr>
      <w:rFonts w:ascii="Georgia" w:hAnsi="Georgia" w:cs="Times New Roman"/>
      <w:b/>
      <w:sz w:val="24"/>
      <w:u w:val="single"/>
    </w:rPr>
  </w:style>
  <w:style w:type="character" w:customStyle="1" w:styleId="cardChar">
    <w:name w:val="card Char"/>
    <w:link w:val="card"/>
    <w:uiPriority w:val="1"/>
    <w:rsid w:val="006369F8"/>
    <w:rPr>
      <w:rFonts w:eastAsiaTheme="minorEastAsia"/>
      <w:szCs w:val="24"/>
      <w:u w:val="single"/>
    </w:rPr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autoRedefine/>
    <w:uiPriority w:val="6"/>
    <w:qFormat/>
    <w:rsid w:val="00354945"/>
    <w:pPr>
      <w:spacing w:after="0" w:line="240" w:lineRule="auto"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rxiv.org/pdf/1608.0292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rdy%20Su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6504-D249-4BA3-B0F4-A86605E4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32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Gordy Sun</dc:creator>
  <cp:keywords>5.1.1</cp:keywords>
  <dc:description/>
  <cp:lastModifiedBy>Gordy Sun</cp:lastModifiedBy>
  <cp:revision>39</cp:revision>
  <dcterms:created xsi:type="dcterms:W3CDTF">2021-09-19T14:26:00Z</dcterms:created>
  <dcterms:modified xsi:type="dcterms:W3CDTF">2021-09-19T15:51:00Z</dcterms:modified>
</cp:coreProperties>
</file>