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7B1FA" w14:textId="77777777" w:rsidR="006723F2" w:rsidRPr="00FF1C3F" w:rsidRDefault="006723F2" w:rsidP="006723F2">
      <w:pPr>
        <w:pStyle w:val="Heading3"/>
      </w:pPr>
      <w:r>
        <w:t>1NC - CP</w:t>
      </w:r>
    </w:p>
    <w:p w14:paraId="79A3BFD3" w14:textId="77777777" w:rsidR="006723F2" w:rsidRDefault="006723F2" w:rsidP="006723F2">
      <w:pPr>
        <w:pStyle w:val="Heading4"/>
        <w:rPr>
          <w:rStyle w:val="Style13ptBold"/>
          <w:b/>
          <w:bCs w:val="0"/>
          <w:sz w:val="28"/>
        </w:rPr>
      </w:pPr>
      <w:r>
        <w:rPr>
          <w:rStyle w:val="Style13ptBold"/>
          <w:bCs w:val="0"/>
          <w:sz w:val="28"/>
        </w:rPr>
        <w:t>International donors should allocate 30% of vertical disease funding towards infrastructure in developing nations.</w:t>
      </w:r>
    </w:p>
    <w:p w14:paraId="1A02F319" w14:textId="77777777" w:rsidR="006723F2" w:rsidRPr="0078342D" w:rsidRDefault="006723F2" w:rsidP="006723F2"/>
    <w:p w14:paraId="7E34B9DB" w14:textId="77777777" w:rsidR="006723F2" w:rsidRDefault="006723F2" w:rsidP="006723F2">
      <w:pPr>
        <w:pStyle w:val="Heading4"/>
        <w:rPr>
          <w:rStyle w:val="Style13ptBold"/>
          <w:b/>
          <w:bCs w:val="0"/>
          <w:sz w:val="28"/>
        </w:rPr>
      </w:pPr>
      <w:r>
        <w:rPr>
          <w:rStyle w:val="Style13ptBold"/>
          <w:bCs w:val="0"/>
          <w:sz w:val="28"/>
        </w:rPr>
        <w:t>Disease specific funding causes budget imbalances and inequity in treatment. Using that funding to improve primary health care is key to non-HIV diseases and pandemics.</w:t>
      </w:r>
    </w:p>
    <w:p w14:paraId="47CAF41B" w14:textId="77777777" w:rsidR="006723F2" w:rsidRDefault="006723F2" w:rsidP="006723F2">
      <w:pPr>
        <w:rPr>
          <w:rStyle w:val="Style13ptBold"/>
          <w:b w:val="0"/>
          <w:bCs/>
          <w:szCs w:val="18"/>
        </w:rPr>
      </w:pPr>
      <w:r w:rsidRPr="00BC4AD5">
        <w:rPr>
          <w:rStyle w:val="Style13ptBold"/>
        </w:rPr>
        <w:t xml:space="preserve">De Maeseneer et al. </w:t>
      </w:r>
      <w:r w:rsidRPr="00646FB2">
        <w:rPr>
          <w:rStyle w:val="Style13ptBold"/>
        </w:rPr>
        <w:t xml:space="preserve">’20 </w:t>
      </w:r>
      <w:r w:rsidRPr="00646FB2">
        <w:rPr>
          <w:rStyle w:val="Style13ptBold"/>
          <w:szCs w:val="18"/>
        </w:rPr>
        <w:t>(Jan De Maesenee</w:t>
      </w:r>
      <w:r>
        <w:rPr>
          <w:rStyle w:val="Style13ptBold"/>
          <w:szCs w:val="18"/>
        </w:rPr>
        <w:t xml:space="preserve">r is the Head of the Department of Family Medicine and Primary Health Care of Ghent University. He is also the Director of the International Centre for Primary Health Care and Family Medicine; Jan De Maeseneer, Donald Li, Bjorg Palsdottir, November 2020, “Universal health coverage and primary health care: the 30 by 2030 campaign,” Bulletin of the World Health Organization, </w:t>
      </w:r>
      <w:hyperlink r:id="rId9" w:history="1">
        <w:r w:rsidRPr="009D1C4A">
          <w:rPr>
            <w:rStyle w:val="Hyperlink"/>
            <w:szCs w:val="18"/>
          </w:rPr>
          <w:t>https://www.researchgate.net/publication/345938887_Universal_health_coverage_and_primary_health_care_the_30_by_2030_campaign</w:t>
        </w:r>
      </w:hyperlink>
      <w:r>
        <w:rPr>
          <w:rStyle w:val="Style13ptBold"/>
          <w:szCs w:val="18"/>
        </w:rPr>
        <w:t>)</w:t>
      </w:r>
    </w:p>
    <w:p w14:paraId="500378DD" w14:textId="77777777" w:rsidR="006723F2" w:rsidRDefault="006723F2" w:rsidP="006723F2">
      <w:r w:rsidRPr="00FF1C3F">
        <w:rPr>
          <w:rStyle w:val="Style13ptBold"/>
          <w:szCs w:val="18"/>
          <w:highlight w:val="green"/>
        </w:rPr>
        <w:t>The</w:t>
      </w:r>
      <w:r>
        <w:rPr>
          <w:rStyle w:val="Style13ptBold"/>
          <w:szCs w:val="18"/>
        </w:rPr>
        <w:t xml:space="preserve"> World Health Organization (</w:t>
      </w:r>
      <w:r w:rsidRPr="00FF1C3F">
        <w:rPr>
          <w:rStyle w:val="Style13ptBold"/>
          <w:szCs w:val="18"/>
          <w:highlight w:val="green"/>
        </w:rPr>
        <w:t>WHO) considers primary health care a cornerstone of universal health coverage</w:t>
      </w:r>
      <w:r>
        <w:rPr>
          <w:rStyle w:val="Style13ptBold"/>
          <w:szCs w:val="18"/>
        </w:rPr>
        <w:t xml:space="preserve"> (UHC) and describes it as an approach to health and well-being centred on the needs and circumstances of individuals, families and communities. Primary health care should address physical, mental and social health and well-being, and is about providing whole-person care for health needs throughout life, not just treating a set of specific diseases.1 We argue that implementing primary health care should focus on broadbased participatory action, including integrated and comprehensive personcentred care, community development and social determinants of health. </w:t>
      </w:r>
      <w:r w:rsidRPr="00FF1C3F">
        <w:rPr>
          <w:rStyle w:val="Style13ptBold"/>
          <w:szCs w:val="18"/>
          <w:highlight w:val="green"/>
        </w:rPr>
        <w:t>The 30 by 2030 campaign</w:t>
      </w:r>
      <w:r>
        <w:rPr>
          <w:rStyle w:val="Style13ptBold"/>
          <w:szCs w:val="18"/>
        </w:rPr>
        <w:t xml:space="preserve"> </w:t>
      </w:r>
      <w:r w:rsidRPr="00654136">
        <w:rPr>
          <w:rStyle w:val="Style13ptBold"/>
          <w:szCs w:val="18"/>
        </w:rPr>
        <w:t>To prevent most diseases</w:t>
      </w:r>
      <w:r>
        <w:rPr>
          <w:rStyle w:val="Style13ptBold"/>
          <w:szCs w:val="18"/>
        </w:rPr>
        <w:t xml:space="preserve"> and treat people in a holistic way, </w:t>
      </w:r>
      <w:r w:rsidRPr="00654136">
        <w:rPr>
          <w:rStyle w:val="Style13ptBold"/>
          <w:szCs w:val="18"/>
        </w:rPr>
        <w:t>community-based</w:t>
      </w:r>
      <w:r>
        <w:rPr>
          <w:rStyle w:val="Style13ptBold"/>
          <w:szCs w:val="18"/>
        </w:rPr>
        <w:t xml:space="preserve"> primary health-care </w:t>
      </w:r>
      <w:r w:rsidRPr="00654136">
        <w:rPr>
          <w:rStyle w:val="Style13ptBold"/>
          <w:szCs w:val="18"/>
        </w:rPr>
        <w:t>systems need to be strengthened</w:t>
      </w:r>
      <w:r>
        <w:rPr>
          <w:rStyle w:val="Style13ptBold"/>
          <w:szCs w:val="18"/>
        </w:rPr>
        <w:t xml:space="preserve">. Therefore, organizations such as the World Organization of Family Doctors, European Forum for Primary Care, African Forum for Primary Care, Primary Health Care and Family Medicine, as well as The Network: Towards Unity for Health and Training for Health Equity Network are launching the 30 by 2030 campaign in November 2020. These </w:t>
      </w:r>
      <w:r w:rsidRPr="00FF1C3F">
        <w:rPr>
          <w:rStyle w:val="Style13ptBold"/>
          <w:szCs w:val="18"/>
          <w:highlight w:val="green"/>
        </w:rPr>
        <w:t>organizations call for international donors to assign 30% of their vertical top-down, disease oriented budgets to strengthening integrated horizontal community-based primary health-care systems by 2030</w:t>
      </w:r>
      <w:r>
        <w:rPr>
          <w:rStyle w:val="Style13ptBold"/>
          <w:szCs w:val="18"/>
        </w:rPr>
        <w:t xml:space="preserve">. The campaign seeks to put into practice Resolution WHA62.12, which urges Member States “to encourage the development, integration and implementation of vertical programmes, including disease-specific programmes, in the context of integrated primary health care.”2 This integration should also allow primary health-care services to become more responsive to the health needs of populations. The campaign has two components: (i) information, analysis and awareness on the impact of vertical programmes on health systems; (ii) encouraging the use of 30% of vertical donor investment to strengthen primary health-care services through coordination, increased human resources and improved infrastructure. The first component The average public expenditure </w:t>
      </w:r>
      <w:r w:rsidRPr="00FF1C3F">
        <w:rPr>
          <w:rStyle w:val="Style13ptBold"/>
          <w:szCs w:val="18"/>
          <w:highlight w:val="green"/>
        </w:rPr>
        <w:t>in the WHO Africa Region</w:t>
      </w:r>
      <w:r>
        <w:rPr>
          <w:rStyle w:val="Style13ptBold"/>
          <w:szCs w:val="18"/>
        </w:rPr>
        <w:t xml:space="preserve"> on non-primary health care (hospitals and specialist care, mostly used by population groups with high incomes) is up to three times higher than the spending on primary health care and prevention.3 </w:t>
      </w:r>
      <w:r w:rsidRPr="00FF1C3F">
        <w:rPr>
          <w:rStyle w:val="Style13ptBold"/>
          <w:szCs w:val="18"/>
          <w:highlight w:val="green"/>
        </w:rPr>
        <w:t>Only one third of total spending on primary health care comes from governments, and the lower the country’s income, the lower the share.</w:t>
      </w:r>
      <w:r>
        <w:rPr>
          <w:rStyle w:val="Style13ptBold"/>
          <w:szCs w:val="18"/>
        </w:rPr>
        <w:t xml:space="preserve"> </w:t>
      </w:r>
      <w:r w:rsidRPr="00FF1C3F">
        <w:rPr>
          <w:rStyle w:val="Style13ptBold"/>
          <w:szCs w:val="18"/>
          <w:highlight w:val="green"/>
        </w:rPr>
        <w:t>The predominant source of financing</w:t>
      </w:r>
      <w:r>
        <w:rPr>
          <w:rStyle w:val="Style13ptBold"/>
          <w:szCs w:val="18"/>
        </w:rPr>
        <w:t xml:space="preserve"> for primary health-care services </w:t>
      </w:r>
      <w:r w:rsidRPr="00FF1C3F">
        <w:rPr>
          <w:rStyle w:val="Style13ptBold"/>
          <w:szCs w:val="18"/>
          <w:highlight w:val="green"/>
        </w:rPr>
        <w:t>are private and external funds</w:t>
      </w:r>
      <w:r>
        <w:rPr>
          <w:rStyle w:val="Style13ptBold"/>
          <w:szCs w:val="18"/>
        </w:rPr>
        <w:t xml:space="preserve">, including out-of-pocket expenses.3 Most of these funds are channelled </w:t>
      </w:r>
      <w:r w:rsidRPr="00FF1C3F">
        <w:rPr>
          <w:rStyle w:val="Style13ptBold"/>
          <w:szCs w:val="18"/>
          <w:highlight w:val="green"/>
        </w:rPr>
        <w:t>through</w:t>
      </w:r>
      <w:r>
        <w:rPr>
          <w:rStyle w:val="Style13ptBold"/>
          <w:szCs w:val="18"/>
        </w:rPr>
        <w:t xml:space="preserve"> categorical programmes – that is, </w:t>
      </w:r>
      <w:r w:rsidRPr="00FF1C3F">
        <w:rPr>
          <w:rStyle w:val="Style13ptBold"/>
          <w:szCs w:val="18"/>
          <w:highlight w:val="green"/>
        </w:rPr>
        <w:t>programmes that focus on the health problems of specific</w:t>
      </w:r>
      <w:r>
        <w:rPr>
          <w:rStyle w:val="Style13ptBold"/>
          <w:szCs w:val="18"/>
        </w:rPr>
        <w:t xml:space="preserve"> population subgroups or </w:t>
      </w:r>
      <w:r w:rsidRPr="00FF1C3F">
        <w:rPr>
          <w:rStyle w:val="Style13ptBold"/>
          <w:szCs w:val="18"/>
          <w:highlight w:val="green"/>
        </w:rPr>
        <w:t>conditions</w:t>
      </w:r>
      <w:r>
        <w:rPr>
          <w:rStyle w:val="Style13ptBold"/>
          <w:szCs w:val="18"/>
        </w:rPr>
        <w:t xml:space="preserve"> – </w:t>
      </w:r>
      <w:r w:rsidRPr="00FF1C3F">
        <w:rPr>
          <w:rStyle w:val="Style13ptBold"/>
          <w:szCs w:val="18"/>
          <w:highlight w:val="green"/>
        </w:rPr>
        <w:t>with little funding going through integrated primary health-care</w:t>
      </w:r>
      <w:r>
        <w:rPr>
          <w:rStyle w:val="Style13ptBold"/>
          <w:szCs w:val="18"/>
        </w:rPr>
        <w:t xml:space="preserve"> services, which address health conditions in a holistic manner. In the strategy to achieve UHC, WHO has put forward the target of adding 1% of gross domestic product (GDP) to the budget of primary health care. In low-income countries, adding 1% of GDP to current primary healthcare expenditures would increase annual spending in this sector, per capita, from 26 United States dollars (US$) to US$ 33.4 Such an increase could help, but new strategies should be explored to further strengthen primary health care. In 2006, </w:t>
      </w:r>
      <w:r w:rsidRPr="00FF1C3F">
        <w:rPr>
          <w:rStyle w:val="Style13ptBold"/>
          <w:szCs w:val="18"/>
          <w:highlight w:val="green"/>
        </w:rPr>
        <w:t>the U</w:t>
      </w:r>
      <w:r>
        <w:rPr>
          <w:rStyle w:val="Style13ptBold"/>
          <w:szCs w:val="18"/>
        </w:rPr>
        <w:t xml:space="preserve">nited </w:t>
      </w:r>
      <w:r w:rsidRPr="00FF1C3F">
        <w:rPr>
          <w:rStyle w:val="Style13ptBold"/>
          <w:szCs w:val="18"/>
          <w:highlight w:val="green"/>
        </w:rPr>
        <w:t>S</w:t>
      </w:r>
      <w:r>
        <w:rPr>
          <w:rStyle w:val="Style13ptBold"/>
          <w:szCs w:val="18"/>
        </w:rPr>
        <w:t xml:space="preserve">tates President’s </w:t>
      </w:r>
      <w:r w:rsidRPr="00FF1C3F">
        <w:rPr>
          <w:rStyle w:val="Style13ptBold"/>
          <w:szCs w:val="18"/>
          <w:highlight w:val="green"/>
        </w:rPr>
        <w:t>Emergency Plan for AIDS Relief</w:t>
      </w:r>
      <w:r>
        <w:rPr>
          <w:rStyle w:val="Style13ptBold"/>
          <w:szCs w:val="18"/>
        </w:rPr>
        <w:t xml:space="preserve"> (PEPFAR) </w:t>
      </w:r>
      <w:r w:rsidRPr="00FF1C3F">
        <w:rPr>
          <w:rStyle w:val="Style13ptBold"/>
          <w:szCs w:val="18"/>
          <w:highlight w:val="green"/>
        </w:rPr>
        <w:t>provided Zambia with</w:t>
      </w:r>
      <w:r>
        <w:rPr>
          <w:rStyle w:val="Style13ptBold"/>
          <w:szCs w:val="18"/>
        </w:rPr>
        <w:t xml:space="preserve"> a budget of US</w:t>
      </w:r>
      <w:r w:rsidRPr="00FF1C3F">
        <w:rPr>
          <w:rStyle w:val="Style13ptBold"/>
          <w:szCs w:val="18"/>
          <w:highlight w:val="green"/>
        </w:rPr>
        <w:t>$ 150 million</w:t>
      </w:r>
      <w:r>
        <w:rPr>
          <w:rStyle w:val="Style13ptBold"/>
          <w:szCs w:val="18"/>
        </w:rPr>
        <w:t xml:space="preserve"> targeted </w:t>
      </w:r>
      <w:r w:rsidRPr="00FF1C3F">
        <w:rPr>
          <w:rStyle w:val="Style13ptBold"/>
          <w:szCs w:val="18"/>
          <w:highlight w:val="green"/>
        </w:rPr>
        <w:t>for</w:t>
      </w:r>
      <w:r>
        <w:rPr>
          <w:rStyle w:val="Style13ptBold"/>
          <w:szCs w:val="18"/>
        </w:rPr>
        <w:t xml:space="preserve"> human immunodeficiency virus (</w:t>
      </w:r>
      <w:r w:rsidRPr="00FF1C3F">
        <w:rPr>
          <w:rStyle w:val="Style13ptBold"/>
          <w:szCs w:val="18"/>
          <w:highlight w:val="green"/>
        </w:rPr>
        <w:t>HIV</w:t>
      </w:r>
      <w:r>
        <w:rPr>
          <w:rStyle w:val="Style13ptBold"/>
          <w:szCs w:val="18"/>
        </w:rPr>
        <w:t xml:space="preserve">), </w:t>
      </w:r>
      <w:r w:rsidRPr="00FF1C3F">
        <w:rPr>
          <w:rStyle w:val="Style13ptBold"/>
          <w:szCs w:val="18"/>
          <w:highlight w:val="green"/>
        </w:rPr>
        <w:t>whereas the entire budget of the health ministry was only US$ 136 million</w:t>
      </w:r>
      <w:r>
        <w:rPr>
          <w:rStyle w:val="Style13ptBold"/>
          <w:szCs w:val="18"/>
        </w:rPr>
        <w:t xml:space="preserve">. This is an example of unbalanced distribution of health funding, and it continues to occur across sub-Saharan Africa.5 In many countries in the African continent, people living with HIV receive free care, food and educational grants for their children, whereas </w:t>
      </w:r>
      <w:r w:rsidRPr="00FF1C3F">
        <w:rPr>
          <w:rStyle w:val="Style13ptBold"/>
          <w:szCs w:val="18"/>
          <w:highlight w:val="green"/>
        </w:rPr>
        <w:t>those with other diseases receive poor care</w:t>
      </w:r>
      <w:r>
        <w:rPr>
          <w:rStyle w:val="Style13ptBold"/>
          <w:szCs w:val="18"/>
        </w:rPr>
        <w:t xml:space="preserve"> and still have to pay out-of-pocket, leading to inequity by disease. Worldwide, the primary care facilities that address all diseases across the life-cycle, including common illnesses such as diarrhoea, malnutrition and respiratory tract infections, are largely underfunded. In addition, salaries of health-care providers working for donor-funded vertical programmes are often more than double those of equally trained government workers in the fragile public health sector, creating an internal brain drain. </w:t>
      </w:r>
      <w:r w:rsidRPr="00FF1C3F">
        <w:rPr>
          <w:rStyle w:val="Style13ptBold"/>
          <w:szCs w:val="18"/>
          <w:highlight w:val="green"/>
        </w:rPr>
        <w:t xml:space="preserve">Interviews with </w:t>
      </w:r>
      <w:r w:rsidRPr="00FF1C3F">
        <w:rPr>
          <w:highlight w:val="green"/>
        </w:rPr>
        <w:t>796 alumni from a medical school in Uganda found</w:t>
      </w:r>
      <w:r>
        <w:t xml:space="preserve"> an influence of the PEPFAR projects on career choices of health professionals, with </w:t>
      </w:r>
      <w:r w:rsidRPr="00FF1C3F">
        <w:rPr>
          <w:highlight w:val="green"/>
        </w:rPr>
        <w:t>almost half working for an HIV-related</w:t>
      </w:r>
      <w:r>
        <w:t xml:space="preserve"> nongovernmental </w:t>
      </w:r>
      <w:r w:rsidRPr="00FF1C3F">
        <w:rPr>
          <w:highlight w:val="green"/>
        </w:rPr>
        <w:t>organization</w:t>
      </w:r>
      <w:r>
        <w:t xml:space="preserve"> and only over one third for government. </w:t>
      </w:r>
      <w:r w:rsidRPr="00FF1C3F">
        <w:rPr>
          <w:rStyle w:val="Emphasis"/>
          <w:highlight w:val="green"/>
        </w:rPr>
        <w:t>We recommend that donor funds earmarked for HIV be channelled to primary health-care budgets through the 30 by 2030 mechanism, to attract health workers into other disease areas and broaden health-care capacity</w:t>
      </w:r>
      <w:r>
        <w:t xml:space="preserve">.6 </w:t>
      </w:r>
      <w:r w:rsidRPr="00FF1C3F">
        <w:rPr>
          <w:highlight w:val="green"/>
        </w:rPr>
        <w:t>A review on the impact of global health initiatives</w:t>
      </w:r>
      <w:r>
        <w:t xml:space="preserve"> on recipient country health systems in low- and middleincome countries selected three initiatives that accounted for an estimated two thirds of external funding earmarked for HIV/AIDS: the Global Fund to Fight AIDS, Tuberculosis and Malaria; the World Bank Multi-country AIDS Program; and PEPFAR. The review </w:t>
      </w:r>
      <w:r w:rsidRPr="00FF1C3F">
        <w:rPr>
          <w:highlight w:val="green"/>
        </w:rPr>
        <w:t>found</w:t>
      </w:r>
      <w:r>
        <w:t xml:space="preserve"> the following effects of global health initiatives: </w:t>
      </w:r>
      <w:r w:rsidRPr="00FF1C3F">
        <w:rPr>
          <w:highlight w:val="green"/>
        </w:rPr>
        <w:t>distortion of recipient countries’ national health policies</w:t>
      </w:r>
      <w:r>
        <w:t xml:space="preserve">, notably </w:t>
      </w:r>
      <w:r w:rsidRPr="00FF1C3F">
        <w:rPr>
          <w:highlight w:val="green"/>
        </w:rPr>
        <w:t xml:space="preserve">through </w:t>
      </w:r>
      <w:r w:rsidRPr="00FF1C3F">
        <w:rPr>
          <w:rStyle w:val="Emphasis"/>
          <w:highlight w:val="green"/>
        </w:rPr>
        <w:t>distracting governments from coordinated efforts to strengthen health systems and forcing health systems to adopt vertical, disease-specific projects.</w:t>
      </w:r>
      <w:r>
        <w:t xml:space="preserve">7 In the second decade of this century, a group of new vertical disease-oriented programmes focusing on noncommunicable diseases were developed by governments and major health actors. </w:t>
      </w:r>
      <w:r w:rsidRPr="00FF1C3F">
        <w:rPr>
          <w:highlight w:val="green"/>
        </w:rPr>
        <w:t>Evidence suggests</w:t>
      </w:r>
      <w:r>
        <w:t xml:space="preserve"> that, the same as for infectious diseases, </w:t>
      </w:r>
      <w:r w:rsidRPr="00FF1C3F">
        <w:rPr>
          <w:highlight w:val="green"/>
        </w:rPr>
        <w:t>the best approach to tackle noncommunicable diseases is</w:t>
      </w:r>
      <w:r>
        <w:t xml:space="preserve"> rather </w:t>
      </w:r>
      <w:r w:rsidRPr="00FF1C3F">
        <w:rPr>
          <w:highlight w:val="green"/>
        </w:rPr>
        <w:t>strengthening integrated primary health care.</w:t>
      </w:r>
      <w:r>
        <w:t xml:space="preserve"> </w:t>
      </w:r>
      <w:r w:rsidRPr="00F3006F">
        <w:rPr>
          <w:rStyle w:val="Emphasis"/>
        </w:rPr>
        <w:t xml:space="preserve">The </w:t>
      </w:r>
      <w:r w:rsidRPr="00F3006F">
        <w:rPr>
          <w:rStyle w:val="Emphasis"/>
          <w:highlight w:val="green"/>
        </w:rPr>
        <w:t>long-term management</w:t>
      </w:r>
      <w:r w:rsidRPr="00F3006F">
        <w:rPr>
          <w:rStyle w:val="Emphasis"/>
        </w:rPr>
        <w:t xml:space="preserve"> of noncommunicable diseases </w:t>
      </w:r>
      <w:r w:rsidRPr="00F3006F">
        <w:rPr>
          <w:rStyle w:val="Emphasis"/>
          <w:highlight w:val="green"/>
        </w:rPr>
        <w:t>requires much more than</w:t>
      </w:r>
      <w:r w:rsidRPr="00F3006F">
        <w:rPr>
          <w:rStyle w:val="Emphasis"/>
        </w:rPr>
        <w:t xml:space="preserve"> the implementation of standardized </w:t>
      </w:r>
      <w:r w:rsidRPr="00F3006F">
        <w:rPr>
          <w:rStyle w:val="Emphasis"/>
          <w:highlight w:val="green"/>
        </w:rPr>
        <w:t>protocols and access to</w:t>
      </w:r>
      <w:r w:rsidRPr="00F3006F">
        <w:rPr>
          <w:rStyle w:val="Emphasis"/>
        </w:rPr>
        <w:t xml:space="preserve"> affordable </w:t>
      </w:r>
      <w:r w:rsidRPr="00F3006F">
        <w:rPr>
          <w:rStyle w:val="Emphasis"/>
          <w:highlight w:val="green"/>
        </w:rPr>
        <w:t>essential drugs</w:t>
      </w:r>
      <w:r>
        <w:t xml:space="preserve">. </w:t>
      </w:r>
      <w:r w:rsidRPr="00F3006F">
        <w:rPr>
          <w:sz w:val="16"/>
          <w:szCs w:val="16"/>
        </w:rPr>
        <w:t xml:space="preserve">Such management requires empowering people, reducing barriers to healthy lifestyles and providing care that reflects the values and goals of the individual patient. Evidence of the effectiveness of primary health care in reducing hospital admissions related to noncommunicable diseases is well documented, and multimorbidity among those with such diseases has been shown to be better tackled in primary health care.8 Evidence suggests that vertical disease-oriented programmes do not contribute to UHC. For example, in Mozambique, after nearly 15 years of significant foreign aid for health, 65% of the government’s health budget was funded by external donors in 2014. However, the health system coverage has barely changed: in 2014 the health workforce per population ratio was still among the five lowest in the world at 71/10 000, and the number of health facilities per capita was only 1/16 795 in 2015.9 The proportion of total governmental health expenditure allocated to health declined from 13.4% (US$ 109 million) in 2006 to 11.9% (US$ 138 million) in 2009 and 7.8% (US$ 481 million) in 2014, moving away from the Abuja target of 15%9 (whereby the increase in absolute numbers is due to the increase of GDP and of global government expenditure). Second component The first strategy of this campaign is direct investments to strengthen primary health care. Moreover, the 30 by 2030 campaign advocates for diagonal investments.10 Ethiopia offers an example, where the Global Fund, Gavi, the Vaccine Alliance and PEPFAR have collaborated with other donors to increase their financial support, therefore strengthening the primary health-care system. For example, 18.4% of the total Gavi support (US$ 173 million) between 2007 and 2018 was largely focused on the construction of primary health-care facilities, strengthening of the supply chain, laboratory management and training of primary health-care staff.11 When major donors launch a call for project proposals focusing on specific health conditions such as HIV, diabetes, mental health conditions, tuberculosis, malaria, or more recently, coronavirus disease 2019 (COVID-19) in low- and middle-income countries, applicants should make clear how they are going to improve primary healthcare service delivery and channel 30% of the resources into strengthening such service. This strengthening can be done by financing the cost of integrating the project in the local primary health-care system. Achieving such integration requires contributing to capacity building for primary health care, supporting infrastructure upgrading, strengthening leadership and organization and improving the community’s involvement. However, characteristics of high-quality care such as accessibility, continuity, coordination and person-centredness are also needed. Investment should also be made in assessing the impact of projects on the health system. Those authorities responsible for primary health-care development at project level (national, regional, provincial, district, community) should be involved in implementation. Moreover, together with other agents, the 30 by 2030 campaign will develop action plans to improve the government’s spending and governance efficiency, participatory processes at the community level and monitoring and evaluation processes. The organizations involved in the campaign, in the spirit of resolution WHA62.12, reiterate the importance to “train and retain adequate numbers of health workers, with appropriate skill mix, including primary health care nurses, midwives, allied health professionals and family physicians, able to work in a multidisciplinary context, in cooperation with community health workers in order to respond effectively to people’s health needs.”2 </w:t>
      </w:r>
      <w:r>
        <w:t xml:space="preserve">Resources could also be used to improve sustainability through better pay for teams of primary health-care professionals, preventing brain drain. </w:t>
      </w:r>
      <w:r w:rsidRPr="0078342D">
        <w:rPr>
          <w:rStyle w:val="Emphasis"/>
          <w:highlight w:val="green"/>
        </w:rPr>
        <w:t>The COVID-19 pandemic has documented</w:t>
      </w:r>
      <w:r w:rsidRPr="00FF1C3F">
        <w:rPr>
          <w:highlight w:val="green"/>
        </w:rPr>
        <w:t xml:space="preserve"> the role </w:t>
      </w:r>
      <w:r w:rsidRPr="0078342D">
        <w:t>primary</w:t>
      </w:r>
      <w:r w:rsidRPr="00FF1C3F">
        <w:rPr>
          <w:highlight w:val="green"/>
        </w:rPr>
        <w:t xml:space="preserve"> health-care teams play </w:t>
      </w:r>
      <w:r w:rsidRPr="0078342D">
        <w:t>in preparedness</w:t>
      </w:r>
      <w:r w:rsidRPr="00FF1C3F">
        <w:rPr>
          <w:highlight w:val="green"/>
        </w:rPr>
        <w:t xml:space="preserve"> to address </w:t>
      </w:r>
      <w:r w:rsidRPr="0078342D">
        <w:t>the challenges of a</w:t>
      </w:r>
      <w:r w:rsidRPr="00FF1C3F">
        <w:rPr>
          <w:highlight w:val="green"/>
        </w:rPr>
        <w:t xml:space="preserve"> new, rapidly spreading disease.</w:t>
      </w:r>
      <w:r>
        <w:t xml:space="preserve"> </w:t>
      </w:r>
      <w:r w:rsidRPr="0078342D">
        <w:rPr>
          <w:rStyle w:val="Emphasis"/>
          <w:highlight w:val="green"/>
        </w:rPr>
        <w:t>Where primary health-care services</w:t>
      </w:r>
      <w:r>
        <w:t xml:space="preserve"> (community screening and testing, case investigation with support for home-based isolation or quarantine, triage at primary-care facilities) </w:t>
      </w:r>
      <w:r w:rsidRPr="0078342D">
        <w:rPr>
          <w:rStyle w:val="Emphasis"/>
          <w:highlight w:val="green"/>
        </w:rPr>
        <w:t>were effective, there was less pressure on hospitals</w:t>
      </w:r>
      <w:r>
        <w:t>.12 Not all countries have been able to respond to the pandemic from an effective primary health-care system, which is why we advocate for the 30 by 2030 campaign (</w:t>
      </w:r>
      <w:hyperlink r:id="rId10" w:history="1">
        <w:r w:rsidRPr="009D1C4A">
          <w:rPr>
            <w:rStyle w:val="Hyperlink"/>
          </w:rPr>
          <w:t>www.30by2030.net</w:t>
        </w:r>
      </w:hyperlink>
      <w:r>
        <w:t>).</w:t>
      </w:r>
    </w:p>
    <w:p w14:paraId="304093F2" w14:textId="77777777" w:rsidR="006723F2" w:rsidRDefault="006723F2" w:rsidP="006723F2">
      <w:pPr>
        <w:rPr>
          <w:rStyle w:val="Style13ptBold"/>
          <w:b w:val="0"/>
          <w:bCs/>
          <w:szCs w:val="18"/>
        </w:rPr>
      </w:pPr>
    </w:p>
    <w:p w14:paraId="387886B4" w14:textId="77777777" w:rsidR="006723F2" w:rsidRDefault="006723F2" w:rsidP="006723F2">
      <w:pPr>
        <w:pStyle w:val="Heading4"/>
        <w:rPr>
          <w:rStyle w:val="Style13ptBold"/>
          <w:b/>
          <w:bCs w:val="0"/>
          <w:sz w:val="28"/>
          <w:szCs w:val="28"/>
        </w:rPr>
      </w:pPr>
      <w:bookmarkStart w:id="0" w:name="_Hlk79743175"/>
      <w:r>
        <w:rPr>
          <w:rStyle w:val="Style13ptBold"/>
          <w:bCs w:val="0"/>
          <w:sz w:val="28"/>
          <w:szCs w:val="28"/>
        </w:rPr>
        <w:t>Current programs are inadequate in improving access; without strong infrastructure, HIV patients die from easily preventable infections, and ART drugs are leaked, creating resistant strains.</w:t>
      </w:r>
    </w:p>
    <w:p w14:paraId="02D46E6D" w14:textId="77777777" w:rsidR="006723F2" w:rsidRPr="00661C1C" w:rsidRDefault="006723F2" w:rsidP="006723F2">
      <w:pPr>
        <w:rPr>
          <w:rStyle w:val="Style13ptBold"/>
        </w:rPr>
      </w:pPr>
      <w:r>
        <w:rPr>
          <w:rStyle w:val="Style13ptBold"/>
        </w:rPr>
        <w:t xml:space="preserve">Buve et al. ’03 </w:t>
      </w:r>
      <w:r>
        <w:rPr>
          <w:rStyle w:val="Style13ptBold"/>
          <w:szCs w:val="18"/>
        </w:rPr>
        <w:t xml:space="preserve">(Anne Buve, Sam Kalibala and James McIntyre from Institute of Tropical Medicine, Antwerp, Belgium; The Population Council, Nairobi, Kenya; and Perinatal HIV Research Unit, University of the Wltwatersrand, Johannesburg, South Africa; Anne Buve, Sam Kalibala, James McIntyre, 2003, “Stronger health systems for more effective HIV/AIDS prevention and care,” Int J Health Plann Mgmt, </w:t>
      </w:r>
      <w:r w:rsidRPr="00661C1C">
        <w:rPr>
          <w:rStyle w:val="Style13ptBold"/>
          <w:szCs w:val="18"/>
        </w:rPr>
        <w:t>https://sci-hub.se/10.1002/hpm.725</w:t>
      </w:r>
      <w:r>
        <w:rPr>
          <w:rStyle w:val="Style13ptBold"/>
          <w:szCs w:val="18"/>
        </w:rPr>
        <w:t>)</w:t>
      </w:r>
    </w:p>
    <w:p w14:paraId="2A9D0691" w14:textId="77777777" w:rsidR="006723F2" w:rsidRPr="00AB7295" w:rsidRDefault="006723F2" w:rsidP="006723F2">
      <w:pPr>
        <w:rPr>
          <w:szCs w:val="18"/>
        </w:rPr>
      </w:pPr>
      <w:r w:rsidRPr="00FF1C3F">
        <w:rPr>
          <w:rStyle w:val="Style13ptBold"/>
          <w:szCs w:val="18"/>
          <w:highlight w:val="green"/>
        </w:rPr>
        <w:t xml:space="preserve">In </w:t>
      </w:r>
      <w:r w:rsidRPr="004D11E8">
        <w:rPr>
          <w:rStyle w:val="Style13ptBold"/>
          <w:szCs w:val="18"/>
        </w:rPr>
        <w:t>some</w:t>
      </w:r>
      <w:r>
        <w:rPr>
          <w:rStyle w:val="Style13ptBold"/>
          <w:szCs w:val="18"/>
        </w:rPr>
        <w:t xml:space="preserve"> middle income </w:t>
      </w:r>
      <w:r w:rsidRPr="00FF1C3F">
        <w:rPr>
          <w:rStyle w:val="Style13ptBold"/>
          <w:szCs w:val="18"/>
          <w:highlight w:val="green"/>
        </w:rPr>
        <w:t>countries</w:t>
      </w:r>
      <w:r>
        <w:rPr>
          <w:rStyle w:val="Style13ptBold"/>
          <w:szCs w:val="18"/>
        </w:rPr>
        <w:t xml:space="preserve"> with HIV epidemics of moderate severity, </w:t>
      </w:r>
      <w:r w:rsidRPr="00FF1C3F">
        <w:rPr>
          <w:rStyle w:val="Style13ptBold"/>
          <w:szCs w:val="18"/>
          <w:highlight w:val="green"/>
        </w:rPr>
        <w:t>such as Brazil and Thailand</w:t>
      </w:r>
      <w:r>
        <w:rPr>
          <w:rStyle w:val="Style13ptBold"/>
          <w:szCs w:val="18"/>
        </w:rPr>
        <w:t xml:space="preserve">, </w:t>
      </w:r>
      <w:r w:rsidRPr="00FF1C3F">
        <w:rPr>
          <w:rStyle w:val="Style13ptBold"/>
          <w:szCs w:val="18"/>
          <w:highlight w:val="green"/>
        </w:rPr>
        <w:t>treatment with antiretroviral drugs has become a realistic</w:t>
      </w:r>
      <w:r>
        <w:rPr>
          <w:rStyle w:val="Style13ptBold"/>
          <w:szCs w:val="18"/>
        </w:rPr>
        <w:t xml:space="preserve"> option. </w:t>
      </w:r>
      <w:r w:rsidRPr="00FF1C3F">
        <w:rPr>
          <w:rStyle w:val="Style13ptBold"/>
          <w:szCs w:val="18"/>
          <w:highlight w:val="green"/>
        </w:rPr>
        <w:t>The experiences</w:t>
      </w:r>
      <w:r>
        <w:rPr>
          <w:rStyle w:val="Style13ptBold"/>
          <w:szCs w:val="18"/>
        </w:rPr>
        <w:t xml:space="preserve"> from these countries, however, </w:t>
      </w:r>
      <w:r w:rsidRPr="00FF1C3F">
        <w:rPr>
          <w:rStyle w:val="Style13ptBold"/>
          <w:szCs w:val="18"/>
          <w:highlight w:val="green"/>
        </w:rPr>
        <w:t>cannot readily be extrapolated to</w:t>
      </w:r>
      <w:r>
        <w:rPr>
          <w:rStyle w:val="Style13ptBold"/>
          <w:szCs w:val="18"/>
        </w:rPr>
        <w:t xml:space="preserve"> low income countries and middle income </w:t>
      </w:r>
      <w:r w:rsidRPr="00FF1C3F">
        <w:rPr>
          <w:rStyle w:val="Style13ptBold"/>
          <w:szCs w:val="18"/>
          <w:highlight w:val="green"/>
        </w:rPr>
        <w:t>countries</w:t>
      </w:r>
      <w:r>
        <w:rPr>
          <w:rStyle w:val="Style13ptBold"/>
          <w:szCs w:val="18"/>
        </w:rPr>
        <w:t xml:space="preserve"> with high prevalence of HIV infection, </w:t>
      </w:r>
      <w:r w:rsidRPr="00FF1C3F">
        <w:rPr>
          <w:rStyle w:val="Style13ptBold"/>
          <w:szCs w:val="18"/>
          <w:highlight w:val="green"/>
        </w:rPr>
        <w:t>such as Zambia, Zimbabwe, Botswana and South Africa</w:t>
      </w:r>
      <w:r>
        <w:rPr>
          <w:rStyle w:val="Style13ptBold"/>
          <w:szCs w:val="18"/>
        </w:rPr>
        <w:t xml:space="preserve"> (Table 1). In these countries ministries of health are faced with a double challenge: (1) how to ensure psychosocial support and management of opportunistic infections (treatment and prophylaxis) for all HIV-infected persons; and (2) how to meet the increasing demand for antiretroviral treatment. If, so far, </w:t>
      </w:r>
      <w:r w:rsidRPr="00FF1C3F">
        <w:rPr>
          <w:rStyle w:val="Style13ptBold"/>
          <w:szCs w:val="18"/>
          <w:highlight w:val="green"/>
        </w:rPr>
        <w:t>public health services</w:t>
      </w:r>
      <w:r>
        <w:rPr>
          <w:rStyle w:val="Style13ptBold"/>
          <w:szCs w:val="18"/>
        </w:rPr>
        <w:t xml:space="preserve"> in developing countries </w:t>
      </w:r>
      <w:r w:rsidRPr="00FF1C3F">
        <w:rPr>
          <w:rStyle w:val="Style13ptBold"/>
          <w:szCs w:val="18"/>
          <w:highlight w:val="green"/>
        </w:rPr>
        <w:t>have failed to provide appropriate care for the majority</w:t>
      </w:r>
      <w:r>
        <w:rPr>
          <w:rStyle w:val="Style13ptBold"/>
          <w:szCs w:val="18"/>
        </w:rPr>
        <w:t xml:space="preserve"> of HIV-infected patients, it is </w:t>
      </w:r>
      <w:r w:rsidRPr="00FF1C3F">
        <w:rPr>
          <w:rStyle w:val="Style13ptBold"/>
          <w:szCs w:val="18"/>
          <w:highlight w:val="green"/>
        </w:rPr>
        <w:t>because they have been underfunded</w:t>
      </w:r>
      <w:r>
        <w:rPr>
          <w:rStyle w:val="Style13ptBold"/>
          <w:szCs w:val="18"/>
        </w:rPr>
        <w:t xml:space="preserve"> (lack of updating of skills and lack of supplies), </w:t>
      </w:r>
      <w:r w:rsidRPr="00FF1C3F">
        <w:rPr>
          <w:rStyle w:val="Style13ptBold"/>
          <w:szCs w:val="18"/>
          <w:highlight w:val="green"/>
        </w:rPr>
        <w:t>rather than because</w:t>
      </w:r>
      <w:r>
        <w:rPr>
          <w:rStyle w:val="Style13ptBold"/>
          <w:szCs w:val="18"/>
        </w:rPr>
        <w:t xml:space="preserve"> the management of opportunistic infections requires sophisticated laboratory </w:t>
      </w:r>
      <w:r w:rsidRPr="00FF1C3F">
        <w:rPr>
          <w:rStyle w:val="Style13ptBold"/>
          <w:szCs w:val="18"/>
          <w:highlight w:val="green"/>
        </w:rPr>
        <w:t>tech</w:t>
      </w:r>
      <w:r w:rsidRPr="00C210CF">
        <w:rPr>
          <w:rStyle w:val="Style13ptBold"/>
          <w:szCs w:val="18"/>
        </w:rPr>
        <w:t xml:space="preserve">nology </w:t>
      </w:r>
      <w:r w:rsidRPr="00FF1C3F">
        <w:rPr>
          <w:rStyle w:val="Style13ptBold"/>
          <w:szCs w:val="18"/>
          <w:highlight w:val="green"/>
        </w:rPr>
        <w:t>and</w:t>
      </w:r>
      <w:r>
        <w:rPr>
          <w:rStyle w:val="Style13ptBold"/>
          <w:szCs w:val="18"/>
        </w:rPr>
        <w:t xml:space="preserve"> special </w:t>
      </w:r>
      <w:r w:rsidRPr="00FF1C3F">
        <w:rPr>
          <w:rStyle w:val="Style13ptBold"/>
          <w:szCs w:val="18"/>
          <w:highlight w:val="green"/>
        </w:rPr>
        <w:t>drugs</w:t>
      </w:r>
      <w:r>
        <w:rPr>
          <w:rStyle w:val="Style13ptBold"/>
          <w:szCs w:val="18"/>
        </w:rPr>
        <w:t xml:space="preserve"> that </w:t>
      </w:r>
      <w:r w:rsidRPr="00FF1C3F">
        <w:rPr>
          <w:rStyle w:val="Style13ptBold"/>
          <w:szCs w:val="18"/>
          <w:highlight w:val="green"/>
        </w:rPr>
        <w:t>are not within</w:t>
      </w:r>
      <w:r>
        <w:rPr>
          <w:rStyle w:val="Style13ptBold"/>
          <w:szCs w:val="18"/>
        </w:rPr>
        <w:t xml:space="preserve"> the </w:t>
      </w:r>
      <w:r w:rsidRPr="00FF1C3F">
        <w:rPr>
          <w:rStyle w:val="Style13ptBold"/>
          <w:szCs w:val="18"/>
          <w:highlight w:val="green"/>
        </w:rPr>
        <w:t>reach</w:t>
      </w:r>
      <w:r>
        <w:rPr>
          <w:rStyle w:val="Style13ptBold"/>
          <w:szCs w:val="18"/>
        </w:rPr>
        <w:t xml:space="preserve"> of public health services. The most </w:t>
      </w:r>
      <w:r w:rsidRPr="00FF1C3F">
        <w:rPr>
          <w:rStyle w:val="Style13ptBold"/>
          <w:szCs w:val="18"/>
          <w:highlight w:val="green"/>
        </w:rPr>
        <w:t>common opportunistic infections</w:t>
      </w:r>
      <w:r>
        <w:rPr>
          <w:rStyle w:val="Style13ptBold"/>
          <w:szCs w:val="18"/>
        </w:rPr>
        <w:t xml:space="preserve"> in developing countries, including tuberculosis, community acquired pneumonia, chronic diarrhoea, candidiasis, </w:t>
      </w:r>
      <w:r w:rsidRPr="00FF1C3F">
        <w:rPr>
          <w:rStyle w:val="Style13ptBold"/>
          <w:szCs w:val="18"/>
          <w:highlight w:val="green"/>
        </w:rPr>
        <w:t>can in principle be managed at the level of health centres and district hospitals</w:t>
      </w:r>
      <w:r>
        <w:rPr>
          <w:rStyle w:val="Style13ptBold"/>
          <w:szCs w:val="18"/>
        </w:rPr>
        <w:t xml:space="preserve">. In many settings, however, this will require inputs to strengthen health services, including refresher training, motivation and regular supervision of health personnel, and regular supply of the necessary drugs and diagnostics. </w:t>
      </w:r>
      <w:r w:rsidRPr="00FF1C3F">
        <w:rPr>
          <w:rStyle w:val="Style13ptBold"/>
          <w:szCs w:val="18"/>
          <w:highlight w:val="green"/>
        </w:rPr>
        <w:t>In many developing countries antiretroviral drugs have been circulating</w:t>
      </w:r>
      <w:r>
        <w:rPr>
          <w:rStyle w:val="Style13ptBold"/>
          <w:szCs w:val="18"/>
        </w:rPr>
        <w:t xml:space="preserve"> for some time in the private sector and even in the informal sector. </w:t>
      </w:r>
      <w:r w:rsidRPr="00FF1C3F">
        <w:rPr>
          <w:rStyle w:val="Style13ptBold"/>
          <w:szCs w:val="18"/>
          <w:highlight w:val="green"/>
        </w:rPr>
        <w:t>Distribution or leakage</w:t>
      </w:r>
      <w:r>
        <w:rPr>
          <w:rStyle w:val="Style13ptBold"/>
          <w:szCs w:val="18"/>
        </w:rPr>
        <w:t xml:space="preserve"> of these drugs </w:t>
      </w:r>
      <w:r w:rsidRPr="00FF1C3F">
        <w:rPr>
          <w:rStyle w:val="Style13ptBold"/>
          <w:szCs w:val="18"/>
          <w:highlight w:val="green"/>
        </w:rPr>
        <w:t>to an unregulated health sector constitutes a real danger for</w:t>
      </w:r>
      <w:r>
        <w:rPr>
          <w:rStyle w:val="Style13ptBold"/>
          <w:szCs w:val="18"/>
        </w:rPr>
        <w:t xml:space="preserve"> the development of </w:t>
      </w:r>
      <w:r w:rsidRPr="00FF1C3F">
        <w:rPr>
          <w:rStyle w:val="Style13ptBold"/>
          <w:szCs w:val="18"/>
          <w:highlight w:val="green"/>
        </w:rPr>
        <w:t>drug resistance</w:t>
      </w:r>
      <w:r>
        <w:rPr>
          <w:rStyle w:val="Style13ptBold"/>
          <w:szCs w:val="18"/>
        </w:rPr>
        <w:t xml:space="preserve">. The ultimate victims are the </w:t>
      </w:r>
      <w:r w:rsidRPr="00FF1C3F">
        <w:rPr>
          <w:rStyle w:val="Style13ptBold"/>
          <w:szCs w:val="18"/>
          <w:highlight w:val="green"/>
        </w:rPr>
        <w:t>patients</w:t>
      </w:r>
      <w:r>
        <w:rPr>
          <w:rStyle w:val="Style13ptBold"/>
          <w:szCs w:val="18"/>
        </w:rPr>
        <w:t xml:space="preserve"> who may </w:t>
      </w:r>
      <w:r w:rsidRPr="00FF1C3F">
        <w:rPr>
          <w:rStyle w:val="Style13ptBold"/>
          <w:szCs w:val="18"/>
          <w:highlight w:val="green"/>
        </w:rPr>
        <w:t>find themselves financially ruined and infected</w:t>
      </w:r>
      <w:r>
        <w:rPr>
          <w:rStyle w:val="Style13ptBold"/>
          <w:szCs w:val="18"/>
        </w:rPr>
        <w:t xml:space="preserve"> </w:t>
      </w:r>
      <w:r w:rsidRPr="00FF1C3F">
        <w:rPr>
          <w:rStyle w:val="Style13ptBold"/>
          <w:szCs w:val="18"/>
          <w:highlight w:val="green"/>
        </w:rPr>
        <w:t>with a</w:t>
      </w:r>
      <w:r>
        <w:rPr>
          <w:rStyle w:val="Style13ptBold"/>
          <w:szCs w:val="18"/>
        </w:rPr>
        <w:t xml:space="preserve"> multi-drug </w:t>
      </w:r>
      <w:r w:rsidRPr="00FF1C3F">
        <w:rPr>
          <w:rStyle w:val="Style13ptBold"/>
          <w:szCs w:val="18"/>
          <w:highlight w:val="green"/>
        </w:rPr>
        <w:t>resistant strain</w:t>
      </w:r>
      <w:r>
        <w:rPr>
          <w:rStyle w:val="Style13ptBold"/>
          <w:szCs w:val="18"/>
        </w:rPr>
        <w:t xml:space="preserve">. This problem has several roots and requires solutions at several levels. At the central government level there needs to be the political will, as well as the technical capacity, to regulate the import, distribution and use of antiretroviral drugs within the private sector. But </w:t>
      </w:r>
      <w:r w:rsidRPr="00FF1C3F">
        <w:rPr>
          <w:rStyle w:val="Style13ptBold"/>
          <w:szCs w:val="18"/>
          <w:highlight w:val="green"/>
        </w:rPr>
        <w:t>as long as</w:t>
      </w:r>
      <w:r>
        <w:rPr>
          <w:rStyle w:val="Style13ptBold"/>
          <w:szCs w:val="18"/>
        </w:rPr>
        <w:t xml:space="preserve"> the </w:t>
      </w:r>
      <w:r w:rsidRPr="00FF1C3F">
        <w:rPr>
          <w:rStyle w:val="Style13ptBold"/>
          <w:szCs w:val="18"/>
          <w:highlight w:val="green"/>
        </w:rPr>
        <w:t>demand</w:t>
      </w:r>
      <w:r>
        <w:rPr>
          <w:rStyle w:val="Style13ptBold"/>
          <w:szCs w:val="18"/>
        </w:rPr>
        <w:t xml:space="preserve"> for antiretroviral treatment largely </w:t>
      </w:r>
      <w:r w:rsidRPr="00FF1C3F">
        <w:rPr>
          <w:rStyle w:val="Style13ptBold"/>
          <w:szCs w:val="18"/>
          <w:highlight w:val="green"/>
        </w:rPr>
        <w:t>exceeds</w:t>
      </w:r>
      <w:r>
        <w:rPr>
          <w:rStyle w:val="Style13ptBold"/>
          <w:szCs w:val="18"/>
        </w:rPr>
        <w:t xml:space="preserve"> the </w:t>
      </w:r>
      <w:r w:rsidRPr="00FF1C3F">
        <w:rPr>
          <w:rStyle w:val="Style13ptBold"/>
          <w:szCs w:val="18"/>
          <w:highlight w:val="green"/>
        </w:rPr>
        <w:t>supply</w:t>
      </w:r>
      <w:r>
        <w:rPr>
          <w:rStyle w:val="Style13ptBold"/>
          <w:szCs w:val="18"/>
        </w:rPr>
        <w:t xml:space="preserve"> </w:t>
      </w:r>
      <w:r w:rsidRPr="00FF1C3F">
        <w:rPr>
          <w:rStyle w:val="Style13ptBold"/>
          <w:szCs w:val="18"/>
          <w:highlight w:val="green"/>
        </w:rPr>
        <w:t>and</w:t>
      </w:r>
      <w:r>
        <w:rPr>
          <w:rStyle w:val="Style13ptBold"/>
          <w:szCs w:val="18"/>
        </w:rPr>
        <w:t xml:space="preserve"> as long as </w:t>
      </w:r>
      <w:r w:rsidRPr="00FF1C3F">
        <w:rPr>
          <w:rStyle w:val="Style13ptBold"/>
          <w:szCs w:val="18"/>
          <w:highlight w:val="green"/>
        </w:rPr>
        <w:t>health staff remains underpaid and demotivated, thefts and unsupervised use</w:t>
      </w:r>
      <w:r>
        <w:rPr>
          <w:rStyle w:val="Style13ptBold"/>
          <w:szCs w:val="18"/>
        </w:rPr>
        <w:t xml:space="preserve"> of drugs </w:t>
      </w:r>
      <w:r w:rsidRPr="00FF1C3F">
        <w:rPr>
          <w:rStyle w:val="Style13ptBold"/>
          <w:szCs w:val="18"/>
          <w:highlight w:val="green"/>
        </w:rPr>
        <w:t>will remain a problem</w:t>
      </w:r>
      <w:r>
        <w:rPr>
          <w:rStyle w:val="Style13ptBold"/>
          <w:szCs w:val="18"/>
        </w:rPr>
        <w:t xml:space="preserve">. While in Brazil and Thailand antiretroviral treatment is provided through a network of public health services that have a fair coverage (World Health Organization, 2000a), in most countries of sub-Saharan Africa only limited numbers of HIVinfected patients are on treatment. Outside the private for-profit sector antiretroviral treatment is available through UNAIDS and/or government supported initiatives in Senegal, Ivory Coast and Uganda. NGOs such as Me´decins sans Frontie`res have started pilot projects of access to antiretroviral treatment that are relatively small scale. Research projects, like randomised trials that compare different drug cocktails, cater for only a few hundred HIV-infected people each. Lastly, more and more employers in Africa are embarking on programmes of antiretroviral treatment for their workforce, including the diamond mines in Botswana, Goldfields in South Africa, Anglo-American in Zambia, the Kenya Ports Authority, the Bank of Uganda, the New Vision newspaper in Uganda and a multinational brewery in Central Africa. However, </w:t>
      </w:r>
      <w:r w:rsidRPr="00FF1C3F">
        <w:rPr>
          <w:rStyle w:val="Style13ptBold"/>
          <w:szCs w:val="18"/>
          <w:highlight w:val="green"/>
        </w:rPr>
        <w:t>if the ultimate goals of</w:t>
      </w:r>
      <w:r>
        <w:rPr>
          <w:rStyle w:val="Style13ptBold"/>
          <w:szCs w:val="18"/>
        </w:rPr>
        <w:t xml:space="preserve"> programmes of </w:t>
      </w:r>
      <w:r w:rsidRPr="00FF1C3F">
        <w:rPr>
          <w:rStyle w:val="Style13ptBold"/>
          <w:szCs w:val="18"/>
          <w:highlight w:val="green"/>
        </w:rPr>
        <w:t>access to antiretroviral treatment</w:t>
      </w:r>
      <w:r>
        <w:rPr>
          <w:rStyle w:val="Style13ptBold"/>
          <w:szCs w:val="18"/>
        </w:rPr>
        <w:t xml:space="preserve">, </w:t>
      </w:r>
      <w:r w:rsidRPr="00FF1C3F">
        <w:rPr>
          <w:rStyle w:val="Style13ptBold"/>
          <w:szCs w:val="18"/>
          <w:highlight w:val="green"/>
        </w:rPr>
        <w:t>are to</w:t>
      </w:r>
      <w:r>
        <w:rPr>
          <w:rStyle w:val="Style13ptBold"/>
          <w:szCs w:val="18"/>
        </w:rPr>
        <w:t xml:space="preserve"> put right an inequality, improve the overall life expectancy of HIVinfected people, decrease the transmission of HIV and </w:t>
      </w:r>
      <w:r w:rsidRPr="00FF1C3F">
        <w:rPr>
          <w:rStyle w:val="Style13ptBold"/>
          <w:szCs w:val="18"/>
          <w:highlight w:val="green"/>
        </w:rPr>
        <w:t>mitigate the</w:t>
      </w:r>
      <w:r>
        <w:rPr>
          <w:rStyle w:val="Style13ptBold"/>
          <w:szCs w:val="18"/>
        </w:rPr>
        <w:t xml:space="preserve"> socio-economic </w:t>
      </w:r>
      <w:r w:rsidRPr="00FF1C3F">
        <w:rPr>
          <w:rStyle w:val="Style13ptBold"/>
          <w:szCs w:val="18"/>
          <w:highlight w:val="green"/>
        </w:rPr>
        <w:t>impact</w:t>
      </w:r>
      <w:r>
        <w:rPr>
          <w:rStyle w:val="Style13ptBold"/>
          <w:szCs w:val="18"/>
        </w:rPr>
        <w:t xml:space="preserve">, </w:t>
      </w:r>
      <w:r w:rsidRPr="00FF1C3F">
        <w:rPr>
          <w:rStyle w:val="Style13ptBold"/>
          <w:szCs w:val="18"/>
          <w:highlight w:val="green"/>
        </w:rPr>
        <w:t>many more patients have to be reached</w:t>
      </w:r>
      <w:r>
        <w:rPr>
          <w:rStyle w:val="Style13ptBold"/>
          <w:szCs w:val="18"/>
        </w:rPr>
        <w:t xml:space="preserve"> than is currently the case. Scaling up of programmes of access to antiretroviral treatment is not only hampered by the drug prices and the lack of laboratory capacity to monitor HIV infection (Figure 1), but also by the lack of implementing capacity, in the first place skilled health care workers. </w:t>
      </w:r>
      <w:r w:rsidRPr="00FF1C3F">
        <w:rPr>
          <w:rStyle w:val="Style13ptBold"/>
          <w:szCs w:val="18"/>
          <w:highlight w:val="green"/>
        </w:rPr>
        <w:t>Scaling up thus calls for massive investments in strengthening of health systems</w:t>
      </w:r>
      <w:r>
        <w:rPr>
          <w:rStyle w:val="Style13ptBold"/>
          <w:szCs w:val="18"/>
        </w:rPr>
        <w:t>, including strengthening (or setting up) of a safe distribution system for antiretroviral drugs; training staff in prescribing antiretroviral treatment and in following-up patients; strengthening laboratories; and setting up systems to counsel patients and ensure compliance.</w:t>
      </w:r>
      <w:bookmarkEnd w:id="0"/>
    </w:p>
    <w:p w14:paraId="6511C0A4" w14:textId="77777777" w:rsidR="006723F2" w:rsidRDefault="006723F2" w:rsidP="006723F2"/>
    <w:p w14:paraId="75184DDC" w14:textId="77777777" w:rsidR="006723F2" w:rsidRDefault="006723F2" w:rsidP="006723F2">
      <w:pPr>
        <w:pStyle w:val="Heading4"/>
      </w:pPr>
      <w:r>
        <w:t>Independently, medical infrastructure is a prerequisite to the use of IP flexibilities like compulsory licensing in improving access.</w:t>
      </w:r>
    </w:p>
    <w:p w14:paraId="406FDB8C" w14:textId="77777777" w:rsidR="006723F2" w:rsidRPr="0078342D" w:rsidRDefault="006723F2" w:rsidP="006723F2">
      <w:pPr>
        <w:rPr>
          <w:rStyle w:val="Style13ptBold"/>
        </w:rPr>
      </w:pPr>
      <w:r w:rsidRPr="0078342D">
        <w:rPr>
          <w:rStyle w:val="Style13ptBold"/>
        </w:rPr>
        <w:t>Halaijan 13</w:t>
      </w:r>
    </w:p>
    <w:p w14:paraId="1E464F9F" w14:textId="77777777" w:rsidR="006723F2" w:rsidRPr="00FF1C3F" w:rsidRDefault="006723F2" w:rsidP="006723F2">
      <w:pPr>
        <w:rPr>
          <w:sz w:val="16"/>
        </w:rPr>
      </w:pPr>
      <w:r w:rsidRPr="0077054A">
        <w:rPr>
          <w:sz w:val="16"/>
        </w:rPr>
        <w:t>Dina Halaijan (</w:t>
      </w:r>
      <w:r>
        <w:rPr>
          <w:sz w:val="16"/>
        </w:rPr>
        <w:t>JD, Brooklyn Law School</w:t>
      </w:r>
      <w:r w:rsidRPr="0077054A">
        <w:rPr>
          <w:sz w:val="16"/>
        </w:rPr>
        <w:t xml:space="preserve">). “Inadequacy of TRIPS &amp; the Compulsory License: Why Broad Compulsory Licensing is Not a Viable Solution to the Access Medicine Problem.” Brooklyn Journal of International Law. Volume 38, Issue 3, Article 7 (2013). JDN. </w:t>
      </w:r>
      <w:hyperlink r:id="rId11" w:history="1">
        <w:r w:rsidRPr="0077054A">
          <w:rPr>
            <w:rStyle w:val="Hyperlink"/>
            <w:sz w:val="16"/>
          </w:rPr>
          <w:t>https://brooklynworks.brooklaw.edu/cgi/viewcontent.cgi?article=1050&amp;context=bjil</w:t>
        </w:r>
      </w:hyperlink>
    </w:p>
    <w:p w14:paraId="0A693E5D" w14:textId="77777777" w:rsidR="006723F2" w:rsidRPr="00C11C6A" w:rsidRDefault="006723F2" w:rsidP="006723F2">
      <w:pPr>
        <w:rPr>
          <w:sz w:val="16"/>
        </w:rPr>
      </w:pPr>
      <w:r w:rsidRPr="00C11C6A">
        <w:rPr>
          <w:sz w:val="16"/>
        </w:rPr>
        <w:t xml:space="preserve">4. Limitations Inherent in Developing Countries </w:t>
      </w:r>
    </w:p>
    <w:p w14:paraId="028A20B9" w14:textId="77777777" w:rsidR="006723F2" w:rsidRDefault="006723F2" w:rsidP="006723F2">
      <w:pPr>
        <w:rPr>
          <w:sz w:val="16"/>
        </w:rPr>
      </w:pPr>
      <w:r w:rsidRPr="0078342D">
        <w:rPr>
          <w:u w:val="single"/>
        </w:rPr>
        <w:t xml:space="preserve">Another impediment to the successful use of the TRIPS flexibilities and the successful achievement of its dual goals is the endemic and inherent characteristics of developing countries. </w:t>
      </w:r>
      <w:r w:rsidRPr="00FF1C3F">
        <w:rPr>
          <w:highlight w:val="green"/>
          <w:u w:val="single"/>
        </w:rPr>
        <w:t xml:space="preserve">Taking advantage of </w:t>
      </w:r>
      <w:r w:rsidRPr="0078342D">
        <w:rPr>
          <w:highlight w:val="green"/>
          <w:u w:val="single"/>
        </w:rPr>
        <w:t>TRIPS flexibilities requ</w:t>
      </w:r>
      <w:r w:rsidRPr="00FF1C3F">
        <w:rPr>
          <w:highlight w:val="green"/>
          <w:u w:val="single"/>
        </w:rPr>
        <w:t xml:space="preserve">ires </w:t>
      </w:r>
      <w:r w:rsidRPr="00FF1C3F">
        <w:rPr>
          <w:b/>
          <w:highlight w:val="green"/>
          <w:u w:val="single"/>
          <w:bdr w:val="single" w:sz="18" w:space="0" w:color="auto"/>
        </w:rPr>
        <w:t>technical expertise</w:t>
      </w:r>
      <w:r w:rsidRPr="00FF1C3F">
        <w:rPr>
          <w:highlight w:val="green"/>
          <w:u w:val="single"/>
        </w:rPr>
        <w:t xml:space="preserve">, </w:t>
      </w:r>
      <w:r w:rsidRPr="00FF1C3F">
        <w:rPr>
          <w:b/>
          <w:highlight w:val="green"/>
          <w:u w:val="single"/>
          <w:bdr w:val="single" w:sz="18" w:space="0" w:color="auto"/>
        </w:rPr>
        <w:t>intergovernmental coordination</w:t>
      </w:r>
      <w:r w:rsidRPr="00FF1C3F">
        <w:rPr>
          <w:highlight w:val="green"/>
          <w:u w:val="single"/>
        </w:rPr>
        <w:t xml:space="preserve">, and </w:t>
      </w:r>
      <w:r w:rsidRPr="00FF1C3F">
        <w:rPr>
          <w:b/>
          <w:highlight w:val="green"/>
          <w:u w:val="single"/>
          <w:bdr w:val="single" w:sz="18" w:space="0" w:color="auto"/>
        </w:rPr>
        <w:t>legal sophistication</w:t>
      </w:r>
      <w:r w:rsidRPr="00C11C6A">
        <w:rPr>
          <w:u w:val="single"/>
        </w:rPr>
        <w:t>, which are often lacking in developing governments.</w:t>
      </w:r>
      <w:r w:rsidRPr="00C11C6A">
        <w:rPr>
          <w:sz w:val="16"/>
        </w:rPr>
        <w:t xml:space="preserve">129 </w:t>
      </w:r>
      <w:r w:rsidRPr="00C11C6A">
        <w:rPr>
          <w:u w:val="single"/>
        </w:rPr>
        <w:t xml:space="preserve">Thus, TRIPS </w:t>
      </w:r>
      <w:r w:rsidRPr="00FF1C3F">
        <w:rPr>
          <w:highlight w:val="green"/>
          <w:u w:val="single"/>
        </w:rPr>
        <w:t>flexibilities</w:t>
      </w:r>
      <w:r w:rsidRPr="00C11C6A">
        <w:rPr>
          <w:u w:val="single"/>
        </w:rPr>
        <w:t xml:space="preserve"> often </w:t>
      </w:r>
      <w:r w:rsidRPr="00FF1C3F">
        <w:rPr>
          <w:highlight w:val="green"/>
          <w:u w:val="single"/>
        </w:rPr>
        <w:t>do not benefit the least developed countries most in need of help, and rather help middle income countries such as India and Brazil.</w:t>
      </w:r>
      <w:r w:rsidRPr="00C11C6A">
        <w:rPr>
          <w:sz w:val="16"/>
        </w:rPr>
        <w:t xml:space="preserve">130 </w:t>
      </w:r>
      <w:r w:rsidRPr="00FF1C3F">
        <w:rPr>
          <w:highlight w:val="green"/>
          <w:u w:val="single"/>
        </w:rPr>
        <w:t xml:space="preserve">Developing countries also lack </w:t>
      </w:r>
      <w:r w:rsidRPr="00FF1C3F">
        <w:rPr>
          <w:b/>
          <w:highlight w:val="green"/>
          <w:u w:val="single"/>
          <w:bdr w:val="single" w:sz="18" w:space="0" w:color="auto"/>
        </w:rPr>
        <w:t>proper disease diagnosis</w:t>
      </w:r>
      <w:r w:rsidRPr="00C11C6A">
        <w:rPr>
          <w:u w:val="single"/>
        </w:rPr>
        <w:t xml:space="preserve"> capabilities, </w:t>
      </w:r>
      <w:r w:rsidRPr="00FF1C3F">
        <w:rPr>
          <w:highlight w:val="green"/>
          <w:u w:val="single"/>
        </w:rPr>
        <w:t>which hinders</w:t>
      </w:r>
      <w:r w:rsidRPr="00C11C6A">
        <w:rPr>
          <w:u w:val="single"/>
        </w:rPr>
        <w:t xml:space="preserve"> their </w:t>
      </w:r>
      <w:r w:rsidRPr="00FF1C3F">
        <w:rPr>
          <w:highlight w:val="green"/>
          <w:u w:val="single"/>
        </w:rPr>
        <w:t>ability to request proper quantities and types of medications in a compulsory license.</w:t>
      </w:r>
      <w:r w:rsidRPr="00C11C6A">
        <w:rPr>
          <w:sz w:val="16"/>
        </w:rPr>
        <w:t xml:space="preserve">131 Developing governments have been criticized for mass military spending when there are existing public health issues, and so they may need to reevaluate their priorities.132 Developing countries and their citizens may choose to spend funds on food rather than medication, even if </w:t>
      </w:r>
      <w:r w:rsidRPr="0078342D">
        <w:rPr>
          <w:sz w:val="16"/>
          <w:szCs w:val="16"/>
        </w:rPr>
        <w:t>costs are reduced, if insufficient funds exist to cover both costs.133 Additionally, some developing governments are corrupt and may resell medications at higher prices, rather than distributing the drugs to their citizens.134 A “scrupulous clean hands approach” must be practiced to ensure drugs are actually distributed at the lowest profitable prices, and unfortunately such practices have been questionable.135 Further, lobbying pressure and conflicting interests may create abusive overuse of compulsory licensing where, for example, “the chairman of a large generic drug manufacturer was also the Chairman of the Health Committee in Egypt’s</w:t>
      </w:r>
      <w:r w:rsidRPr="00C11C6A">
        <w:rPr>
          <w:sz w:val="16"/>
        </w:rPr>
        <w:t xml:space="preserve"> upper house of Parliament at the time the [Viagra] compulsory license was issued [in Egypt].”13</w:t>
      </w:r>
    </w:p>
    <w:p w14:paraId="485ACFEE" w14:textId="77777777" w:rsidR="006723F2" w:rsidRDefault="006723F2" w:rsidP="006723F2">
      <w:pPr>
        <w:pStyle w:val="Heading3"/>
        <w:jc w:val="left"/>
      </w:pPr>
    </w:p>
    <w:p w14:paraId="4CC20F64" w14:textId="207F227D" w:rsidR="006723F2" w:rsidRDefault="006723F2" w:rsidP="006723F2">
      <w:pPr>
        <w:pStyle w:val="Heading3"/>
      </w:pPr>
      <w:r>
        <w:t>1NC – Innovation</w:t>
      </w:r>
    </w:p>
    <w:p w14:paraId="4BD53D67" w14:textId="77777777" w:rsidR="006723F2" w:rsidRDefault="006723F2" w:rsidP="006723F2"/>
    <w:p w14:paraId="4EA17C99" w14:textId="77777777" w:rsidR="006723F2" w:rsidRDefault="006723F2" w:rsidP="006723F2">
      <w:pPr>
        <w:pStyle w:val="Heading4"/>
      </w:pPr>
      <w:r>
        <w:t>Pharmaceutical innovation is accelerating now – new medicines are substantially better than existing treatments.</w:t>
      </w:r>
    </w:p>
    <w:p w14:paraId="2435CDCE" w14:textId="77777777" w:rsidR="006723F2" w:rsidRPr="004531FB" w:rsidRDefault="006723F2" w:rsidP="006723F2">
      <w:pPr>
        <w:rPr>
          <w:sz w:val="16"/>
        </w:rPr>
      </w:pPr>
      <w:r w:rsidRPr="004531FB">
        <w:rPr>
          <w:rStyle w:val="Style13ptBold"/>
        </w:rPr>
        <w:t>Wills, MBA, and Lipkus, PhD, 20</w:t>
      </w:r>
      <w:r w:rsidRPr="004531FB">
        <w:rPr>
          <w:sz w:val="16"/>
        </w:rPr>
        <w:t xml:space="preserve"> – Todd J. Wills [Managing Director @ Chemical Abstracts Service, MBA from THE Ohio State University] and Alan H. Lipkus [Senior Data Analyst @ Chemical Abstracts Service, PhD Physical Chemistry from the University of Rochester], “Structural Approach to Assessing the Innovativeness of New Drugs Finds Accelerating Rate of Innovation,” ACS Medicinal Chemistry Letters, Vol. 11, 2020, </w:t>
      </w:r>
      <w:hyperlink r:id="rId12" w:history="1">
        <w:r w:rsidRPr="004531FB">
          <w:rPr>
            <w:rStyle w:val="Hyperlink"/>
            <w:sz w:val="16"/>
          </w:rPr>
          <w:t>https://pubs.acs.org/doi/pdf/10.1021/acsmedchemlett.0c00319</w:t>
        </w:r>
      </w:hyperlink>
      <w:r w:rsidRPr="004531FB">
        <w:rPr>
          <w:sz w:val="16"/>
        </w:rPr>
        <w:t xml:space="preserve"> C.VC</w:t>
      </w:r>
    </w:p>
    <w:p w14:paraId="3F25119B" w14:textId="77777777" w:rsidR="006723F2" w:rsidRPr="004531FB" w:rsidRDefault="006723F2" w:rsidP="006723F2">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r w:rsidRPr="004531FB">
        <w:rPr>
          <w:rStyle w:val="StyleUnderline"/>
        </w:rPr>
        <w:t xml:space="preserve">actually </w:t>
      </w:r>
      <w:r w:rsidRPr="00A2522C">
        <w:rPr>
          <w:rStyle w:val="StyleUnderline"/>
          <w:highlight w:val="yellow"/>
        </w:rPr>
        <w:t>increased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0C2142E0" w14:textId="77777777" w:rsidR="006723F2" w:rsidRPr="004531FB" w:rsidRDefault="006723F2" w:rsidP="006723F2">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14:paraId="730F3D80" w14:textId="77777777" w:rsidR="006723F2" w:rsidRPr="004531FB" w:rsidRDefault="006723F2" w:rsidP="006723F2">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2AB74532" w14:textId="77777777" w:rsidR="006723F2" w:rsidRPr="004531FB" w:rsidRDefault="006723F2" w:rsidP="006723F2">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Therefore, a separate study of drug candidates with publically disclosed structures currently in clinical development could provide additional insights into innovation trends at an FDA regulatory review level and serve as a leading indicator of innovation trends at an FDA approval level.</w:t>
      </w:r>
    </w:p>
    <w:p w14:paraId="53E66601" w14:textId="77777777" w:rsidR="006723F2" w:rsidRPr="004531FB" w:rsidRDefault="006723F2" w:rsidP="006723F2">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48E42235" w14:textId="77777777" w:rsidR="006723F2" w:rsidRPr="00AB1385" w:rsidRDefault="006723F2" w:rsidP="006723F2"/>
    <w:p w14:paraId="73013008" w14:textId="77777777" w:rsidR="006723F2" w:rsidRDefault="006723F2" w:rsidP="006723F2">
      <w:pPr>
        <w:pStyle w:val="Heading4"/>
      </w:pPr>
      <w:r>
        <w:t>The biopharmaceutical industry is uniquely reliant on IP protections – undermining them would kill innovation by making an already expensive process completely unfeasible.</w:t>
      </w:r>
    </w:p>
    <w:p w14:paraId="0F9C8883" w14:textId="77777777" w:rsidR="006723F2" w:rsidRPr="00BE4941" w:rsidRDefault="006723F2" w:rsidP="006723F2">
      <w:pPr>
        <w:rPr>
          <w:sz w:val="16"/>
        </w:rPr>
      </w:pPr>
      <w:r w:rsidRPr="00BE4941">
        <w:rPr>
          <w:sz w:val="16"/>
        </w:rPr>
        <w:t xml:space="preserve">Kristina M. </w:t>
      </w:r>
      <w:r w:rsidRPr="00BE4941">
        <w:rPr>
          <w:rStyle w:val="Style13ptBold"/>
        </w:rPr>
        <w:t>Lybecker,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13"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032DC8C2" w14:textId="77777777" w:rsidR="006723F2" w:rsidRPr="00381E8C" w:rsidRDefault="006723F2" w:rsidP="006723F2">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DiMasi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 xml:space="preserve">(DiMasi,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Klevorick,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0E7B72AD" w14:textId="77777777" w:rsidR="006723F2" w:rsidRPr="00381E8C" w:rsidRDefault="006723F2" w:rsidP="006723F2">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Apotex Inc. v. Wellcome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30EB132B" w14:textId="77777777" w:rsidR="006723F2" w:rsidRPr="00381E8C" w:rsidRDefault="006723F2" w:rsidP="006723F2">
      <w:pPr>
        <w:rPr>
          <w:sz w:val="16"/>
        </w:rPr>
      </w:pP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Danzon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Danzon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(Danzon,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(Danzon,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454B2B91" w14:textId="77777777" w:rsidR="006723F2" w:rsidRPr="00381E8C" w:rsidRDefault="006723F2" w:rsidP="006723F2">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14:paraId="6FD3366F" w14:textId="77777777" w:rsidR="006723F2" w:rsidRPr="00381E8C" w:rsidRDefault="006723F2" w:rsidP="006723F2">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The report finds a success rate of merely 9.6%, a calculation that is significantly smaller than the widely-cited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14DC3B96" w14:textId="77777777" w:rsidR="006723F2" w:rsidRPr="00381E8C" w:rsidRDefault="006723F2" w:rsidP="006723F2">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recognized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5FE69553" w14:textId="77777777" w:rsidR="006723F2" w:rsidRDefault="006723F2" w:rsidP="006723F2"/>
    <w:p w14:paraId="2BFB74F5" w14:textId="77777777" w:rsidR="006723F2" w:rsidRPr="00BB372E" w:rsidRDefault="006723F2" w:rsidP="006723F2">
      <w:pPr>
        <w:keepNext/>
        <w:keepLines/>
        <w:spacing w:before="40" w:after="0"/>
        <w:outlineLvl w:val="3"/>
        <w:rPr>
          <w:rFonts w:eastAsia="MS Gothic" w:cs="Times New Roman"/>
          <w:b/>
          <w:iCs/>
          <w:u w:val="single"/>
        </w:rPr>
      </w:pPr>
      <w:r w:rsidRPr="00BB372E">
        <w:rPr>
          <w:rFonts w:eastAsia="MS Gothic" w:cs="Times New Roman"/>
          <w:b/>
          <w:iCs/>
        </w:rPr>
        <w:t xml:space="preserve">Pharmaceutical innovation is </w:t>
      </w:r>
      <w:r w:rsidRPr="00BB372E">
        <w:rPr>
          <w:rFonts w:eastAsia="MS Gothic" w:cs="Times New Roman"/>
          <w:b/>
          <w:iCs/>
          <w:u w:val="single"/>
        </w:rPr>
        <w:t>key to protecting against future pandemics, bioterrorism, and antibiotic resistance.</w:t>
      </w:r>
    </w:p>
    <w:p w14:paraId="68C2B2BE" w14:textId="77777777" w:rsidR="006723F2" w:rsidRPr="00BB372E" w:rsidRDefault="006723F2" w:rsidP="006723F2">
      <w:pPr>
        <w:rPr>
          <w:rFonts w:eastAsia="Cambria"/>
          <w:sz w:val="16"/>
        </w:rPr>
      </w:pPr>
      <w:r w:rsidRPr="00BB372E">
        <w:rPr>
          <w:rFonts w:eastAsia="Cambria"/>
          <w:b/>
          <w:bCs/>
          <w:u w:val="single"/>
        </w:rPr>
        <w:t>Marjanovic and Fejiao ‘20</w:t>
      </w:r>
      <w:r w:rsidRPr="00BB372E">
        <w:rPr>
          <w:rFonts w:eastAsia="Cambria"/>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105017C4" w14:textId="77777777" w:rsidR="006723F2" w:rsidRPr="00BB372E" w:rsidRDefault="006723F2" w:rsidP="006723F2">
      <w:pPr>
        <w:rPr>
          <w:rFonts w:eastAsia="Cambria"/>
          <w:sz w:val="16"/>
        </w:rPr>
      </w:pPr>
      <w:r w:rsidRPr="00BB372E">
        <w:rPr>
          <w:rFonts w:eastAsia="Cambria"/>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bioterrorism con-text</w:t>
      </w:r>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well-recognised</w:t>
      </w:r>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compe-tition within the industry. However, </w:t>
      </w:r>
      <w:r w:rsidRPr="00BB372E">
        <w:rPr>
          <w:rFonts w:eastAsia="Cambria"/>
          <w:u w:val="single"/>
        </w:rPr>
        <w:t xml:space="preserve">the </w:t>
      </w:r>
      <w:r w:rsidRPr="00A2522C">
        <w:rPr>
          <w:rFonts w:eastAsia="Cambria"/>
          <w:highlight w:val="yellow"/>
          <w:u w:val="single"/>
        </w:rPr>
        <w:t>expertise, networks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sec-tor</w:t>
      </w:r>
      <w:r w:rsidRPr="00BB372E">
        <w:rPr>
          <w:rFonts w:eastAsia="Cambria"/>
          <w:sz w:val="16"/>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agents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imme-diate term. </w:t>
      </w:r>
      <w:r w:rsidRPr="00BB372E">
        <w:rPr>
          <w:rFonts w:eastAsia="Cambria"/>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12 There are important policy questions as to whether – and how – industry could engage with such public health threats to an even greater extent under improved innova-tion conditions.</w:t>
      </w:r>
    </w:p>
    <w:p w14:paraId="6BAC6D87" w14:textId="77777777" w:rsidR="006723F2" w:rsidRDefault="006723F2" w:rsidP="006723F2">
      <w:pPr>
        <w:rPr>
          <w:rFonts w:eastAsia="Cambria"/>
          <w:sz w:val="16"/>
        </w:rPr>
      </w:pPr>
    </w:p>
    <w:p w14:paraId="50F2BE24" w14:textId="77777777" w:rsidR="006723F2" w:rsidRDefault="006723F2" w:rsidP="006723F2">
      <w:pPr>
        <w:pStyle w:val="Heading4"/>
      </w:pPr>
      <w:r>
        <w:t>Bioterrorism and future pandemics cause extinction.</w:t>
      </w:r>
    </w:p>
    <w:p w14:paraId="0B754CB7" w14:textId="77777777" w:rsidR="006723F2" w:rsidRPr="00CA2687" w:rsidRDefault="006723F2" w:rsidP="006723F2">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14" w:history="1">
        <w:r w:rsidRPr="00CA2687">
          <w:rPr>
            <w:rStyle w:val="Hyperlink"/>
            <w:sz w:val="16"/>
          </w:rPr>
          <w:t>https://ctc.usma.edu/biosecurity-in-the-wake-of-covid-19-the-urgent-action-needed/</w:t>
        </w:r>
      </w:hyperlink>
      <w:r w:rsidRPr="00CA2687">
        <w:rPr>
          <w:sz w:val="16"/>
        </w:rPr>
        <w:t xml:space="preserve"> C.VC</w:t>
      </w:r>
    </w:p>
    <w:p w14:paraId="2E0CAF98" w14:textId="77777777" w:rsidR="006723F2" w:rsidRPr="00AB1385" w:rsidRDefault="006723F2" w:rsidP="006723F2">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37B92D04" w14:textId="77777777" w:rsidR="006723F2" w:rsidRPr="00AB1385" w:rsidRDefault="006723F2" w:rsidP="006723F2">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5600C147" w14:textId="77777777" w:rsidR="006723F2" w:rsidRPr="00AB1385" w:rsidRDefault="006723F2" w:rsidP="006723F2">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76039DED" w14:textId="77777777" w:rsidR="006723F2" w:rsidRPr="00AB1385" w:rsidRDefault="006723F2" w:rsidP="006723F2">
      <w:pPr>
        <w:rPr>
          <w:sz w:val="16"/>
        </w:rPr>
      </w:pPr>
      <w:r w:rsidRPr="00AB1385">
        <w:rPr>
          <w:sz w:val="16"/>
        </w:rPr>
        <w:t>The Need to Rethink Likelihood</w:t>
      </w:r>
    </w:p>
    <w:p w14:paraId="03CE84D6" w14:textId="77777777" w:rsidR="006723F2" w:rsidRPr="00AB1385" w:rsidRDefault="006723F2" w:rsidP="006723F2">
      <w:pPr>
        <w:rPr>
          <w:sz w:val="16"/>
        </w:rPr>
      </w:pPr>
      <w:r w:rsidRPr="00AB1385">
        <w:rPr>
          <w:sz w:val="16"/>
        </w:rPr>
        <w:t xml:space="preserve">Given the fact that in late 2019 when, as far as is known, COVID-19 cases first started emerging in China, it had been more than a century since the previous catastrophic outbreak (the 1918-1919 “Spanish flu” pandemic),d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beings.e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24CAC369" w14:textId="77777777" w:rsidR="006723F2" w:rsidRPr="00AB1385" w:rsidRDefault="006723F2" w:rsidP="006723F2">
      <w:pPr>
        <w:rPr>
          <w:sz w:val="16"/>
        </w:rPr>
      </w:pPr>
      <w:r w:rsidRPr="00AB1385">
        <w:rPr>
          <w:rStyle w:val="StyleUnderline"/>
        </w:rPr>
        <w:t>There is also growing concern about engineered viruses. Not only have advances in synthetic biology</w:t>
      </w:r>
      <w:r w:rsidRPr="00AB1385">
        <w:rPr>
          <w:sz w:val="16"/>
        </w:rPr>
        <w:t xml:space="preserve"> (SynBio)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11B7596E" w14:textId="77777777" w:rsidR="006723F2" w:rsidRPr="00AB1385" w:rsidRDefault="006723F2" w:rsidP="006723F2">
      <w:pPr>
        <w:rPr>
          <w:sz w:val="16"/>
        </w:rPr>
      </w:pPr>
      <w:r w:rsidRPr="00AB1385">
        <w:rPr>
          <w:sz w:val="16"/>
        </w:rPr>
        <w:t>In the August 2020 issue of this publication, scientists at the U.S. Military Academy at West Point warned that:</w:t>
      </w:r>
    </w:p>
    <w:p w14:paraId="41EE92F9" w14:textId="77777777" w:rsidR="006723F2" w:rsidRPr="00AB1385" w:rsidRDefault="006723F2" w:rsidP="006723F2">
      <w:pPr>
        <w:rPr>
          <w:sz w:val="16"/>
        </w:rPr>
      </w:pPr>
      <w:r w:rsidRPr="00AB1385">
        <w:rPr>
          <w:sz w:val="16"/>
        </w:rPr>
        <w:t>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SynBio is changing the threat paradigm.</w:t>
      </w:r>
    </w:p>
    <w:p w14:paraId="78893544" w14:textId="77777777" w:rsidR="006723F2" w:rsidRPr="00AB1385" w:rsidRDefault="006723F2" w:rsidP="006723F2">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42CD779A" w14:textId="77777777" w:rsidR="006723F2" w:rsidRPr="00AB1385" w:rsidRDefault="006723F2" w:rsidP="006723F2">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years.g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5F721933" w14:textId="77777777" w:rsidR="006723F2" w:rsidRPr="00AB1385" w:rsidRDefault="006723F2" w:rsidP="006723F2">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6CEDFA8F" w14:textId="2A903EE4" w:rsidR="006723F2" w:rsidRDefault="00140167" w:rsidP="006723F2">
      <w:pPr>
        <w:pStyle w:val="Heading2"/>
      </w:pPr>
      <w:r>
        <w:t>c</w:t>
      </w:r>
      <w:r w:rsidR="00CE52DF">
        <w:t>ase</w:t>
      </w:r>
    </w:p>
    <w:p w14:paraId="00B2209C" w14:textId="77777777" w:rsidR="006723F2" w:rsidRDefault="006723F2" w:rsidP="006723F2">
      <w:pPr>
        <w:pStyle w:val="Heading3"/>
      </w:pPr>
      <w:r>
        <w:t>Plan already done</w:t>
      </w:r>
    </w:p>
    <w:p w14:paraId="4C99C06F" w14:textId="77777777" w:rsidR="006723F2" w:rsidRDefault="006723F2" w:rsidP="006723F2">
      <w:pPr>
        <w:pStyle w:val="Heading4"/>
        <w:rPr>
          <w:rFonts w:ascii="Times New Roman" w:hAnsi="Times New Roman"/>
          <w:sz w:val="24"/>
        </w:rPr>
      </w:pPr>
      <w:r>
        <w:rPr>
          <w:rFonts w:cs="Calibri"/>
          <w:color w:val="000000"/>
        </w:rPr>
        <w:t>WTO already did the AFF – Doha Declaration nullifies medical patents for developing countries struggling with pricing</w:t>
      </w:r>
    </w:p>
    <w:p w14:paraId="41785245" w14:textId="77777777" w:rsidR="006723F2" w:rsidRDefault="006723F2" w:rsidP="006723F2">
      <w:pPr>
        <w:pStyle w:val="NormalWeb"/>
        <w:spacing w:before="0" w:beforeAutospacing="0" w:after="0" w:afterAutospacing="0"/>
      </w:pPr>
      <w:r>
        <w:rPr>
          <w:rFonts w:ascii="Calibri" w:hAnsi="Calibri" w:cs="Calibri"/>
          <w:b/>
          <w:bCs/>
          <w:color w:val="000000"/>
          <w:sz w:val="26"/>
          <w:szCs w:val="26"/>
        </w:rPr>
        <w:t>World Trade Organization 17</w:t>
      </w:r>
      <w:r>
        <w:rPr>
          <w:rFonts w:ascii="Calibri" w:hAnsi="Calibri" w:cs="Calibri"/>
          <w:color w:val="000000"/>
          <w:sz w:val="22"/>
          <w:szCs w:val="22"/>
        </w:rPr>
        <w:t xml:space="preserve"> (World Trade Organization – you should know who this is, “WTO IP rules amended to ease poor countries’ access to affordable medicines”, </w:t>
      </w:r>
      <w:hyperlink r:id="rId15" w:history="1">
        <w:r>
          <w:rPr>
            <w:rStyle w:val="Hyperlink"/>
            <w:rFonts w:eastAsiaTheme="majorEastAsia" w:cs="Calibri"/>
            <w:color w:val="000000"/>
            <w:sz w:val="22"/>
            <w:szCs w:val="22"/>
          </w:rPr>
          <w:t>https://www.wto.org/english/news_e/news17_e/trip_23jan17_e.htm</w:t>
        </w:r>
      </w:hyperlink>
      <w:r>
        <w:rPr>
          <w:rFonts w:ascii="Calibri" w:hAnsi="Calibri" w:cs="Calibri"/>
          <w:color w:val="000000"/>
          <w:sz w:val="22"/>
          <w:szCs w:val="22"/>
        </w:rPr>
        <w:t>, 23 January 2017, EmmieeM)</w:t>
      </w:r>
    </w:p>
    <w:p w14:paraId="3FF8EE3E" w14:textId="77777777" w:rsidR="006723F2" w:rsidRDefault="006723F2" w:rsidP="006723F2">
      <w:pPr>
        <w:pStyle w:val="NormalWeb"/>
        <w:spacing w:before="0" w:beforeAutospacing="0" w:after="0" w:afterAutospacing="0"/>
      </w:pPr>
      <w:r>
        <w:rPr>
          <w:rFonts w:ascii="Calibri" w:hAnsi="Calibri" w:cs="Calibri"/>
          <w:b/>
          <w:bCs/>
          <w:color w:val="000000"/>
          <w:sz w:val="22"/>
          <w:szCs w:val="22"/>
          <w:u w:val="single"/>
          <w:shd w:val="clear" w:color="auto" w:fill="FFFF00"/>
        </w:rPr>
        <w:t>An amendment to</w:t>
      </w:r>
      <w:r>
        <w:rPr>
          <w:rFonts w:ascii="Calibri" w:hAnsi="Calibri" w:cs="Calibri"/>
          <w:color w:val="000000"/>
          <w:sz w:val="22"/>
          <w:szCs w:val="22"/>
          <w:u w:val="single"/>
        </w:rPr>
        <w:t xml:space="preserve"> the agreement on </w:t>
      </w:r>
      <w:r>
        <w:rPr>
          <w:rFonts w:ascii="Calibri" w:hAnsi="Calibri" w:cs="Calibri"/>
          <w:b/>
          <w:bCs/>
          <w:color w:val="000000"/>
          <w:sz w:val="22"/>
          <w:szCs w:val="22"/>
          <w:u w:val="single"/>
          <w:shd w:val="clear" w:color="auto" w:fill="FFFF00"/>
        </w:rPr>
        <w:t>intellectual property entered</w:t>
      </w:r>
      <w:r>
        <w:rPr>
          <w:rFonts w:ascii="Calibri" w:hAnsi="Calibri" w:cs="Calibri"/>
          <w:color w:val="000000"/>
          <w:sz w:val="22"/>
          <w:szCs w:val="22"/>
          <w:u w:val="single"/>
        </w:rPr>
        <w:t xml:space="preserve"> into force</w:t>
      </w:r>
      <w:r>
        <w:rPr>
          <w:rFonts w:ascii="Calibri" w:hAnsi="Calibri" w:cs="Calibri"/>
          <w:color w:val="000000"/>
          <w:sz w:val="22"/>
          <w:szCs w:val="22"/>
        </w:rPr>
        <w:t xml:space="preserve"> </w:t>
      </w:r>
      <w:r>
        <w:rPr>
          <w:rFonts w:ascii="Calibri" w:hAnsi="Calibri" w:cs="Calibri"/>
          <w:color w:val="000000"/>
          <w:sz w:val="16"/>
          <w:szCs w:val="16"/>
        </w:rPr>
        <w:t>today (23 January)</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securing for developing countries a legal pathway to access affordable medicines under WTO rules</w:t>
      </w:r>
      <w:r>
        <w:rPr>
          <w:rFonts w:ascii="Calibri" w:hAnsi="Calibri" w:cs="Calibri"/>
          <w:color w:val="000000"/>
          <w:sz w:val="22"/>
          <w:szCs w:val="22"/>
        </w:rPr>
        <w:t>.</w:t>
      </w:r>
    </w:p>
    <w:p w14:paraId="4BD89DCF" w14:textId="77777777" w:rsidR="006723F2" w:rsidRDefault="006723F2" w:rsidP="006723F2">
      <w:pPr>
        <w:pStyle w:val="NormalWeb"/>
        <w:spacing w:before="0" w:beforeAutospacing="0" w:after="0" w:afterAutospacing="0"/>
      </w:pPr>
      <w:r>
        <w:rPr>
          <w:rFonts w:ascii="Calibri" w:hAnsi="Calibri" w:cs="Calibri"/>
          <w:color w:val="000000"/>
          <w:sz w:val="16"/>
          <w:szCs w:val="16"/>
        </w:rPr>
        <w:t>The amendment to the WTO Trade Related Aspects of Intellectual Property Rights (TRIPS) Agreement marks the first time since the organization opened its doors in 1995 that WTO accords have been amended.</w:t>
      </w:r>
    </w:p>
    <w:p w14:paraId="502AED82" w14:textId="77777777" w:rsidR="006723F2" w:rsidRDefault="006723F2" w:rsidP="006723F2">
      <w:pPr>
        <w:pStyle w:val="NormalWeb"/>
        <w:spacing w:before="0" w:beforeAutospacing="0" w:after="0" w:afterAutospacing="0"/>
      </w:pPr>
      <w:r>
        <w:rPr>
          <w:rFonts w:ascii="Calibri" w:hAnsi="Calibri" w:cs="Calibri"/>
          <w:color w:val="000000"/>
          <w:sz w:val="16"/>
          <w:szCs w:val="16"/>
        </w:rPr>
        <w:t xml:space="preserve">The WTO Secretariat has received in recent days notifications from five members that they have ratified the protocol amending the WTO TRIPS Agreement. These notifications — from Burkina Faso, Nigeria, Liechtenstein, the United Arab Emirates and Viet Nam — brought to </w:t>
      </w:r>
      <w:r>
        <w:rPr>
          <w:rFonts w:ascii="Calibri" w:hAnsi="Calibri" w:cs="Calibri"/>
          <w:color w:val="000000"/>
          <w:sz w:val="22"/>
          <w:szCs w:val="22"/>
          <w:u w:val="single"/>
        </w:rPr>
        <w:t>two-thirds</w:t>
      </w:r>
      <w:r>
        <w:rPr>
          <w:rFonts w:ascii="Calibri" w:hAnsi="Calibri" w:cs="Calibri"/>
          <w:color w:val="000000"/>
          <w:sz w:val="22"/>
          <w:szCs w:val="22"/>
        </w:rPr>
        <w:t xml:space="preserve"> </w:t>
      </w:r>
      <w:r>
        <w:rPr>
          <w:rFonts w:ascii="Calibri" w:hAnsi="Calibri" w:cs="Calibri"/>
          <w:color w:val="000000"/>
          <w:sz w:val="16"/>
          <w:szCs w:val="16"/>
        </w:rPr>
        <w:t>the number</w:t>
      </w:r>
      <w:r>
        <w:rPr>
          <w:rFonts w:ascii="Calibri" w:hAnsi="Calibri" w:cs="Calibri"/>
          <w:color w:val="000000"/>
          <w:sz w:val="22"/>
          <w:szCs w:val="22"/>
        </w:rPr>
        <w:t xml:space="preserve"> </w:t>
      </w:r>
      <w:r>
        <w:rPr>
          <w:rFonts w:ascii="Calibri" w:hAnsi="Calibri" w:cs="Calibri"/>
          <w:color w:val="000000"/>
          <w:sz w:val="22"/>
          <w:szCs w:val="22"/>
          <w:u w:val="single"/>
        </w:rPr>
        <w:t>of WTO members</w:t>
      </w:r>
      <w:r>
        <w:rPr>
          <w:rFonts w:ascii="Calibri" w:hAnsi="Calibri" w:cs="Calibri"/>
          <w:color w:val="000000"/>
          <w:sz w:val="22"/>
          <w:szCs w:val="22"/>
        </w:rPr>
        <w:t xml:space="preserve"> </w:t>
      </w:r>
      <w:r>
        <w:rPr>
          <w:rFonts w:ascii="Calibri" w:hAnsi="Calibri" w:cs="Calibri"/>
          <w:color w:val="000000"/>
          <w:sz w:val="16"/>
          <w:szCs w:val="16"/>
        </w:rPr>
        <w:t>which have now</w:t>
      </w:r>
      <w:r>
        <w:rPr>
          <w:rFonts w:ascii="Calibri" w:hAnsi="Calibri" w:cs="Calibri"/>
          <w:color w:val="000000"/>
          <w:sz w:val="22"/>
          <w:szCs w:val="22"/>
        </w:rPr>
        <w:t xml:space="preserve"> </w:t>
      </w:r>
      <w:r>
        <w:rPr>
          <w:rFonts w:ascii="Calibri" w:hAnsi="Calibri" w:cs="Calibri"/>
          <w:color w:val="000000"/>
          <w:sz w:val="22"/>
          <w:szCs w:val="22"/>
          <w:u w:val="single"/>
        </w:rPr>
        <w:t>ratified</w:t>
      </w:r>
      <w:r>
        <w:rPr>
          <w:rFonts w:ascii="Calibri" w:hAnsi="Calibri" w:cs="Calibri"/>
          <w:color w:val="000000"/>
          <w:sz w:val="22"/>
          <w:szCs w:val="22"/>
        </w:rPr>
        <w:t xml:space="preserve"> </w:t>
      </w:r>
      <w:r>
        <w:rPr>
          <w:rFonts w:ascii="Calibri" w:hAnsi="Calibri" w:cs="Calibri"/>
          <w:color w:val="000000"/>
          <w:sz w:val="16"/>
          <w:szCs w:val="16"/>
        </w:rPr>
        <w:t xml:space="preserve">the amendment. </w:t>
      </w:r>
      <w:r>
        <w:rPr>
          <w:rFonts w:ascii="Calibri" w:hAnsi="Calibri" w:cs="Calibri"/>
          <w:color w:val="000000"/>
          <w:sz w:val="22"/>
          <w:szCs w:val="22"/>
          <w:u w:val="single"/>
        </w:rPr>
        <w:t>The</w:t>
      </w:r>
      <w:r>
        <w:rPr>
          <w:rFonts w:ascii="Calibri" w:hAnsi="Calibri" w:cs="Calibri"/>
          <w:color w:val="000000"/>
          <w:sz w:val="22"/>
          <w:szCs w:val="22"/>
        </w:rPr>
        <w:t xml:space="preserve"> </w:t>
      </w:r>
      <w:r>
        <w:rPr>
          <w:rFonts w:ascii="Calibri" w:hAnsi="Calibri" w:cs="Calibri"/>
          <w:color w:val="000000"/>
          <w:sz w:val="16"/>
          <w:szCs w:val="16"/>
        </w:rPr>
        <w:t>two-thirds</w:t>
      </w:r>
      <w:r>
        <w:rPr>
          <w:rFonts w:ascii="Calibri" w:hAnsi="Calibri" w:cs="Calibri"/>
          <w:color w:val="000000"/>
          <w:sz w:val="22"/>
          <w:szCs w:val="22"/>
        </w:rPr>
        <w:t xml:space="preserve"> </w:t>
      </w:r>
      <w:r>
        <w:rPr>
          <w:rFonts w:ascii="Calibri" w:hAnsi="Calibri" w:cs="Calibri"/>
          <w:color w:val="000000"/>
          <w:sz w:val="22"/>
          <w:szCs w:val="22"/>
          <w:u w:val="single"/>
        </w:rPr>
        <w:t>threshold</w:t>
      </w:r>
      <w:r>
        <w:rPr>
          <w:rFonts w:ascii="Calibri" w:hAnsi="Calibri" w:cs="Calibri"/>
          <w:color w:val="000000"/>
          <w:sz w:val="22"/>
          <w:szCs w:val="22"/>
        </w:rPr>
        <w:t xml:space="preserve"> </w:t>
      </w:r>
      <w:r>
        <w:rPr>
          <w:rFonts w:ascii="Calibri" w:hAnsi="Calibri" w:cs="Calibri"/>
          <w:color w:val="000000"/>
          <w:sz w:val="16"/>
          <w:szCs w:val="16"/>
        </w:rPr>
        <w:t>was</w:t>
      </w:r>
      <w:r>
        <w:rPr>
          <w:rFonts w:ascii="Calibri" w:hAnsi="Calibri" w:cs="Calibri"/>
          <w:color w:val="000000"/>
          <w:sz w:val="22"/>
          <w:szCs w:val="22"/>
        </w:rPr>
        <w:t xml:space="preserve"> </w:t>
      </w:r>
      <w:r>
        <w:rPr>
          <w:rFonts w:ascii="Calibri" w:hAnsi="Calibri" w:cs="Calibri"/>
          <w:color w:val="000000"/>
          <w:sz w:val="22"/>
          <w:szCs w:val="22"/>
          <w:u w:val="single"/>
        </w:rPr>
        <w:t>needed to formally bring the amendment into the TRIPS Agreement.</w:t>
      </w:r>
      <w:r>
        <w:rPr>
          <w:rFonts w:ascii="Calibri" w:hAnsi="Calibri" w:cs="Calibri"/>
          <w:color w:val="000000"/>
          <w:sz w:val="22"/>
          <w:szCs w:val="22"/>
        </w:rPr>
        <w:t xml:space="preserve">   </w:t>
      </w:r>
    </w:p>
    <w:p w14:paraId="19E66FDE" w14:textId="77777777" w:rsidR="006723F2" w:rsidRDefault="006723F2" w:rsidP="006723F2">
      <w:pPr>
        <w:pStyle w:val="NormalWeb"/>
        <w:spacing w:before="0" w:beforeAutospacing="0" w:after="0" w:afterAutospacing="0"/>
      </w:pPr>
      <w:r>
        <w:rPr>
          <w:rFonts w:ascii="Calibri" w:hAnsi="Calibri" w:cs="Calibri"/>
          <w:color w:val="000000"/>
          <w:sz w:val="22"/>
          <w:szCs w:val="22"/>
          <w:u w:val="single"/>
        </w:rPr>
        <w:t>Members took the decision</w:t>
      </w:r>
      <w:r>
        <w:rPr>
          <w:rFonts w:ascii="Calibri" w:hAnsi="Calibri" w:cs="Calibri"/>
          <w:color w:val="000000"/>
          <w:sz w:val="22"/>
          <w:szCs w:val="22"/>
        </w:rPr>
        <w:t xml:space="preserve"> </w:t>
      </w:r>
      <w:r>
        <w:rPr>
          <w:rFonts w:ascii="Calibri" w:hAnsi="Calibri" w:cs="Calibri"/>
          <w:color w:val="000000"/>
          <w:sz w:val="16"/>
          <w:szCs w:val="16"/>
        </w:rPr>
        <w:t>to amend the TRIPS Agreement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specifically to adapt</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FF00"/>
        </w:rPr>
        <w:t>rules</w:t>
      </w:r>
      <w:r>
        <w:rPr>
          <w:rFonts w:ascii="Calibri" w:hAnsi="Calibri" w:cs="Calibri"/>
          <w:color w:val="000000"/>
          <w:sz w:val="22"/>
          <w:szCs w:val="22"/>
          <w:u w:val="single"/>
        </w:rPr>
        <w:t xml:space="preserve"> of the global trading system </w:t>
      </w:r>
      <w:r>
        <w:rPr>
          <w:rFonts w:ascii="Calibri" w:hAnsi="Calibri" w:cs="Calibri"/>
          <w:b/>
          <w:bCs/>
          <w:color w:val="000000"/>
          <w:sz w:val="22"/>
          <w:szCs w:val="22"/>
          <w:u w:val="single"/>
          <w:shd w:val="clear" w:color="auto" w:fill="FFFF00"/>
        </w:rPr>
        <w:t>to</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FFFF00"/>
        </w:rPr>
        <w:t>public health needs</w:t>
      </w:r>
      <w:r>
        <w:rPr>
          <w:rFonts w:ascii="Calibri" w:hAnsi="Calibri" w:cs="Calibri"/>
          <w:b/>
          <w:bCs/>
          <w:color w:val="000000"/>
          <w:sz w:val="22"/>
          <w:szCs w:val="22"/>
          <w:u w:val="single"/>
        </w:rPr>
        <w:t xml:space="preserve"> of people in poor countries</w:t>
      </w:r>
      <w:r>
        <w:rPr>
          <w:rFonts w:ascii="Calibri" w:hAnsi="Calibri" w:cs="Calibri"/>
          <w:color w:val="000000"/>
          <w:sz w:val="22"/>
          <w:szCs w:val="22"/>
        </w:rPr>
        <w:t xml:space="preserve">. </w:t>
      </w:r>
      <w:r>
        <w:rPr>
          <w:rFonts w:ascii="Calibri" w:hAnsi="Calibri" w:cs="Calibri"/>
          <w:color w:val="000000"/>
          <w:sz w:val="16"/>
          <w:szCs w:val="16"/>
        </w:rPr>
        <w:t>This action follows repeated calls from the multilateral system for acceptance of the amendment, most recently by the United Nations General Assembly High-Level Meeting on Ending AIDS in June 2016.</w:t>
      </w:r>
    </w:p>
    <w:p w14:paraId="385E50BF" w14:textId="77777777" w:rsidR="006723F2" w:rsidRDefault="006723F2" w:rsidP="006723F2">
      <w:pPr>
        <w:pStyle w:val="NormalWeb"/>
        <w:spacing w:before="0" w:beforeAutospacing="0" w:after="0" w:afterAutospacing="0"/>
      </w:pPr>
      <w:r>
        <w:rPr>
          <w:rFonts w:ascii="Calibri" w:hAnsi="Calibri" w:cs="Calibri"/>
          <w:color w:val="000000"/>
          <w:sz w:val="22"/>
          <w:szCs w:val="22"/>
        </w:rPr>
        <w:t>“</w:t>
      </w:r>
      <w:r>
        <w:rPr>
          <w:rFonts w:ascii="Calibri" w:hAnsi="Calibri" w:cs="Calibri"/>
          <w:color w:val="000000"/>
          <w:sz w:val="22"/>
          <w:szCs w:val="22"/>
          <w:u w:val="single"/>
        </w:rPr>
        <w:t xml:space="preserve">This is </w:t>
      </w:r>
      <w:r>
        <w:rPr>
          <w:rFonts w:ascii="Calibri" w:hAnsi="Calibri" w:cs="Calibri"/>
          <w:color w:val="000000"/>
          <w:sz w:val="22"/>
          <w:szCs w:val="22"/>
          <w:u w:val="single"/>
          <w:shd w:val="clear" w:color="auto" w:fill="FFFF00"/>
        </w:rPr>
        <w:t xml:space="preserve">an </w:t>
      </w:r>
      <w:r>
        <w:rPr>
          <w:rFonts w:ascii="Calibri" w:hAnsi="Calibri" w:cs="Calibri"/>
          <w:b/>
          <w:bCs/>
          <w:color w:val="000000"/>
          <w:sz w:val="22"/>
          <w:szCs w:val="22"/>
          <w:u w:val="single"/>
          <w:shd w:val="clear" w:color="auto" w:fill="FFFF00"/>
        </w:rPr>
        <w:t>extremely important amendment</w:t>
      </w:r>
      <w:r>
        <w:rPr>
          <w:rFonts w:ascii="Calibri" w:hAnsi="Calibri" w:cs="Calibri"/>
          <w:color w:val="000000"/>
          <w:sz w:val="22"/>
          <w:szCs w:val="22"/>
        </w:rPr>
        <w:t xml:space="preserve">. </w:t>
      </w:r>
      <w:r>
        <w:rPr>
          <w:rFonts w:ascii="Calibri" w:hAnsi="Calibri" w:cs="Calibri"/>
          <w:color w:val="000000"/>
          <w:sz w:val="22"/>
          <w:szCs w:val="22"/>
          <w:u w:val="single"/>
        </w:rPr>
        <w:t xml:space="preserve">It </w:t>
      </w:r>
      <w:r>
        <w:rPr>
          <w:rFonts w:ascii="Calibri" w:hAnsi="Calibri" w:cs="Calibri"/>
          <w:b/>
          <w:bCs/>
          <w:color w:val="000000"/>
          <w:sz w:val="22"/>
          <w:szCs w:val="22"/>
          <w:u w:val="single"/>
          <w:shd w:val="clear" w:color="auto" w:fill="FFFF00"/>
        </w:rPr>
        <w:t>gives legal certainty that generic medicines can be exported at reasonable prices</w:t>
      </w:r>
      <w:r>
        <w:rPr>
          <w:rFonts w:ascii="Calibri" w:hAnsi="Calibri" w:cs="Calibri"/>
          <w:b/>
          <w:bCs/>
          <w:color w:val="000000"/>
          <w:sz w:val="22"/>
          <w:szCs w:val="22"/>
          <w:u w:val="single"/>
        </w:rPr>
        <w:t xml:space="preserve"> to satisfy the needs of countries with</w:t>
      </w:r>
      <w:r>
        <w:rPr>
          <w:rFonts w:ascii="Calibri" w:hAnsi="Calibri" w:cs="Calibri"/>
          <w:color w:val="000000"/>
          <w:sz w:val="22"/>
          <w:szCs w:val="22"/>
          <w:u w:val="single"/>
        </w:rPr>
        <w:t xml:space="preserve"> no pharmaceutical production capacity, or those with </w:t>
      </w:r>
      <w:r>
        <w:rPr>
          <w:rFonts w:ascii="Calibri" w:hAnsi="Calibri" w:cs="Calibri"/>
          <w:b/>
          <w:bCs/>
          <w:color w:val="000000"/>
          <w:sz w:val="22"/>
          <w:szCs w:val="22"/>
          <w:u w:val="single"/>
        </w:rPr>
        <w:t>limited capacity</w:t>
      </w:r>
      <w:r>
        <w:rPr>
          <w:rFonts w:ascii="Calibri" w:hAnsi="Calibri" w:cs="Calibri"/>
          <w:color w:val="000000"/>
          <w:sz w:val="22"/>
          <w:szCs w:val="22"/>
          <w:u w:val="single"/>
        </w:rPr>
        <w:t>.</w:t>
      </w:r>
      <w:r>
        <w:rPr>
          <w:rFonts w:ascii="Calibri" w:hAnsi="Calibri" w:cs="Calibri"/>
          <w:color w:val="000000"/>
          <w:sz w:val="22"/>
          <w:szCs w:val="22"/>
        </w:rPr>
        <w:t xml:space="preserve"> </w:t>
      </w:r>
      <w:r>
        <w:rPr>
          <w:rFonts w:ascii="Calibri" w:hAnsi="Calibri" w:cs="Calibri"/>
          <w:color w:val="000000"/>
          <w:sz w:val="16"/>
          <w:szCs w:val="16"/>
        </w:rPr>
        <w:t>By doing so</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it helps the most vulnerable</w:t>
      </w:r>
      <w:r>
        <w:rPr>
          <w:rFonts w:ascii="Calibri" w:hAnsi="Calibri" w:cs="Calibri"/>
          <w:color w:val="000000"/>
          <w:sz w:val="22"/>
          <w:szCs w:val="22"/>
        </w:rPr>
        <w:t xml:space="preserve"> </w:t>
      </w:r>
      <w:r>
        <w:rPr>
          <w:rFonts w:ascii="Calibri" w:hAnsi="Calibri" w:cs="Calibri"/>
          <w:color w:val="000000"/>
          <w:sz w:val="22"/>
          <w:szCs w:val="22"/>
          <w:u w:val="single"/>
        </w:rPr>
        <w:t>access the drugs that meet their needs</w:t>
      </w:r>
      <w:r>
        <w:rPr>
          <w:rFonts w:ascii="Calibri" w:hAnsi="Calibri" w:cs="Calibri"/>
          <w:color w:val="000000"/>
          <w:sz w:val="22"/>
          <w:szCs w:val="22"/>
        </w:rPr>
        <w:t xml:space="preserve">, </w:t>
      </w:r>
      <w:r>
        <w:rPr>
          <w:rFonts w:ascii="Calibri" w:hAnsi="Calibri" w:cs="Calibri"/>
          <w:color w:val="000000"/>
          <w:sz w:val="22"/>
          <w:szCs w:val="22"/>
          <w:u w:val="single"/>
        </w:rPr>
        <w:t>helping</w:t>
      </w:r>
      <w:r>
        <w:rPr>
          <w:rFonts w:ascii="Calibri" w:hAnsi="Calibri" w:cs="Calibri"/>
          <w:color w:val="000000"/>
          <w:sz w:val="22"/>
          <w:szCs w:val="22"/>
        </w:rPr>
        <w:t xml:space="preserve"> </w:t>
      </w:r>
      <w:r>
        <w:rPr>
          <w:rFonts w:ascii="Calibri" w:hAnsi="Calibri" w:cs="Calibri"/>
          <w:color w:val="000000"/>
          <w:sz w:val="16"/>
          <w:szCs w:val="16"/>
        </w:rPr>
        <w:t xml:space="preserve">to deal </w:t>
      </w:r>
      <w:r>
        <w:rPr>
          <w:rFonts w:ascii="Calibri" w:hAnsi="Calibri" w:cs="Calibri"/>
          <w:color w:val="000000"/>
          <w:sz w:val="22"/>
          <w:szCs w:val="22"/>
          <w:u w:val="single"/>
          <w:shd w:val="clear" w:color="auto" w:fill="FFFF00"/>
        </w:rPr>
        <w:t>with</w:t>
      </w:r>
      <w:r>
        <w:rPr>
          <w:rFonts w:ascii="Calibri" w:hAnsi="Calibri" w:cs="Calibri"/>
          <w:color w:val="000000"/>
          <w:sz w:val="22"/>
          <w:szCs w:val="22"/>
        </w:rPr>
        <w:t xml:space="preserve"> </w:t>
      </w:r>
      <w:r>
        <w:rPr>
          <w:rFonts w:ascii="Calibri" w:hAnsi="Calibri" w:cs="Calibri"/>
          <w:color w:val="000000"/>
          <w:sz w:val="16"/>
          <w:szCs w:val="16"/>
        </w:rPr>
        <w:t>diseases such as</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HIV/AIDS, tuberculosis</w:t>
      </w:r>
      <w:r>
        <w:rPr>
          <w:rFonts w:ascii="Calibri" w:hAnsi="Calibri" w:cs="Calibri"/>
          <w:color w:val="000000"/>
          <w:sz w:val="22"/>
          <w:szCs w:val="22"/>
        </w:rPr>
        <w:t xml:space="preserve"> or </w:t>
      </w:r>
      <w:r>
        <w:rPr>
          <w:rFonts w:ascii="Calibri" w:hAnsi="Calibri" w:cs="Calibri"/>
          <w:color w:val="000000"/>
          <w:sz w:val="22"/>
          <w:szCs w:val="22"/>
          <w:u w:val="single"/>
          <w:shd w:val="clear" w:color="auto" w:fill="FFFF00"/>
        </w:rPr>
        <w:t>malaria</w:t>
      </w:r>
      <w:r>
        <w:rPr>
          <w:rFonts w:ascii="Calibri" w:hAnsi="Calibri" w:cs="Calibri"/>
          <w:color w:val="000000"/>
          <w:sz w:val="22"/>
          <w:szCs w:val="22"/>
        </w:rPr>
        <w:t xml:space="preserve">, as well as </w:t>
      </w:r>
      <w:r>
        <w:rPr>
          <w:rFonts w:ascii="Calibri" w:hAnsi="Calibri" w:cs="Calibri"/>
          <w:color w:val="000000"/>
          <w:sz w:val="22"/>
          <w:szCs w:val="22"/>
          <w:u w:val="single"/>
        </w:rPr>
        <w:t xml:space="preserve">other </w:t>
      </w:r>
      <w:r>
        <w:rPr>
          <w:rFonts w:ascii="Calibri" w:hAnsi="Calibri" w:cs="Calibri"/>
          <w:color w:val="000000"/>
          <w:sz w:val="22"/>
          <w:szCs w:val="22"/>
          <w:u w:val="single"/>
          <w:shd w:val="clear" w:color="auto" w:fill="FFFF00"/>
        </w:rPr>
        <w:t>epidemics</w:t>
      </w:r>
      <w:r>
        <w:rPr>
          <w:rFonts w:ascii="Calibri" w:hAnsi="Calibri" w:cs="Calibri"/>
          <w:color w:val="000000"/>
          <w:sz w:val="22"/>
          <w:szCs w:val="22"/>
          <w:u w:val="single"/>
        </w:rPr>
        <w:t>.</w:t>
      </w:r>
      <w:r>
        <w:rPr>
          <w:rFonts w:ascii="Calibri" w:hAnsi="Calibri" w:cs="Calibri"/>
          <w:color w:val="000000"/>
          <w:sz w:val="22"/>
          <w:szCs w:val="22"/>
        </w:rPr>
        <w:t xml:space="preserve"> </w:t>
      </w:r>
      <w:r>
        <w:rPr>
          <w:rFonts w:ascii="Calibri" w:hAnsi="Calibri" w:cs="Calibri"/>
          <w:color w:val="000000"/>
          <w:sz w:val="16"/>
          <w:szCs w:val="16"/>
        </w:rPr>
        <w:t>I am delighted that WTO members have now followed through on their commitment and brought this important measure into force,” said WTO Director-General Roberto Azevêdo. In video statements available here, some of the key players share their thoughts on the TRIPS amendment.</w:t>
      </w:r>
    </w:p>
    <w:p w14:paraId="154C729A" w14:textId="77777777" w:rsidR="006723F2" w:rsidRDefault="006723F2" w:rsidP="006723F2">
      <w:pPr>
        <w:pStyle w:val="NormalWeb"/>
        <w:spacing w:before="0" w:beforeAutospacing="0" w:after="0" w:afterAutospacing="0"/>
      </w:pPr>
      <w:r>
        <w:rPr>
          <w:rFonts w:ascii="Calibri" w:hAnsi="Calibri" w:cs="Calibri"/>
          <w:color w:val="000000"/>
          <w:sz w:val="16"/>
          <w:szCs w:val="16"/>
        </w:rPr>
        <w:t xml:space="preserve">Unanimously adopted by WTO members in 2005, </w:t>
      </w:r>
      <w:r>
        <w:rPr>
          <w:rFonts w:ascii="Calibri" w:hAnsi="Calibri" w:cs="Calibri"/>
          <w:color w:val="000000"/>
          <w:sz w:val="22"/>
          <w:szCs w:val="22"/>
          <w:u w:val="single"/>
          <w:shd w:val="clear" w:color="auto" w:fill="FFFF00"/>
        </w:rPr>
        <w:t>the protocol</w:t>
      </w:r>
      <w:r>
        <w:rPr>
          <w:rFonts w:ascii="Calibri" w:hAnsi="Calibri" w:cs="Calibri"/>
          <w:color w:val="000000"/>
          <w:sz w:val="22"/>
          <w:szCs w:val="22"/>
        </w:rPr>
        <w:t xml:space="preserve"> </w:t>
      </w:r>
      <w:r>
        <w:rPr>
          <w:rFonts w:ascii="Calibri" w:hAnsi="Calibri" w:cs="Calibri"/>
          <w:color w:val="000000"/>
          <w:sz w:val="16"/>
          <w:szCs w:val="16"/>
        </w:rPr>
        <w:t>amending the TRIPS Agreement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makes permanent a mechanism to ease poorer WTO members’ access to affordable</w:t>
      </w:r>
      <w:r>
        <w:rPr>
          <w:rFonts w:ascii="Calibri" w:hAnsi="Calibri" w:cs="Calibri"/>
          <w:b/>
          <w:bCs/>
          <w:color w:val="000000"/>
          <w:sz w:val="22"/>
          <w:szCs w:val="22"/>
          <w:u w:val="single"/>
        </w:rPr>
        <w:t xml:space="preserve"> generic </w:t>
      </w:r>
      <w:r>
        <w:rPr>
          <w:rFonts w:ascii="Calibri" w:hAnsi="Calibri" w:cs="Calibri"/>
          <w:b/>
          <w:bCs/>
          <w:color w:val="000000"/>
          <w:sz w:val="22"/>
          <w:szCs w:val="22"/>
          <w:u w:val="single"/>
          <w:shd w:val="clear" w:color="auto" w:fill="FFFF00"/>
        </w:rPr>
        <w:t>medicines produced in other countries</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The</w:t>
      </w:r>
      <w:r>
        <w:rPr>
          <w:rFonts w:ascii="Calibri" w:hAnsi="Calibri" w:cs="Calibri"/>
          <w:color w:val="000000"/>
          <w:sz w:val="22"/>
          <w:szCs w:val="22"/>
          <w:u w:val="single"/>
        </w:rPr>
        <w:t xml:space="preserve"> amendment </w:t>
      </w:r>
      <w:r>
        <w:rPr>
          <w:rFonts w:ascii="Calibri" w:hAnsi="Calibri" w:cs="Calibri"/>
          <w:b/>
          <w:bCs/>
          <w:color w:val="000000"/>
          <w:sz w:val="22"/>
          <w:szCs w:val="22"/>
          <w:u w:val="single"/>
          <w:shd w:val="clear" w:color="auto" w:fill="FFFF00"/>
        </w:rPr>
        <w:t>empowers</w:t>
      </w:r>
      <w:r>
        <w:rPr>
          <w:rFonts w:ascii="Calibri" w:hAnsi="Calibri" w:cs="Calibri"/>
          <w:color w:val="000000"/>
          <w:sz w:val="22"/>
          <w:szCs w:val="22"/>
          <w:u w:val="single"/>
        </w:rPr>
        <w:t xml:space="preserve"> importing </w:t>
      </w:r>
      <w:r>
        <w:rPr>
          <w:rFonts w:ascii="Calibri" w:hAnsi="Calibri" w:cs="Calibri"/>
          <w:b/>
          <w:bCs/>
          <w:color w:val="000000"/>
          <w:sz w:val="22"/>
          <w:szCs w:val="22"/>
          <w:u w:val="single"/>
          <w:shd w:val="clear" w:color="auto" w:fill="FFFF00"/>
        </w:rPr>
        <w:t>developing and least-developed countries facing public health problems and lacking</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FF00"/>
        </w:rPr>
        <w:t>capacity to produce drugs</w:t>
      </w:r>
      <w:r>
        <w:rPr>
          <w:rFonts w:ascii="Calibri" w:hAnsi="Calibri" w:cs="Calibri"/>
          <w:color w:val="000000"/>
          <w:sz w:val="22"/>
          <w:szCs w:val="22"/>
          <w:u w:val="single"/>
        </w:rPr>
        <w:t xml:space="preserve"> generically </w:t>
      </w:r>
      <w:r>
        <w:rPr>
          <w:rFonts w:ascii="Calibri" w:hAnsi="Calibri" w:cs="Calibri"/>
          <w:color w:val="000000"/>
          <w:sz w:val="16"/>
          <w:szCs w:val="16"/>
        </w:rPr>
        <w:t>to seek such medicines from third country producers under "compulsory licensing" arrangements. Normally, most medicines produced under compulsory licences can only be provided to the domestic market in the country where they are produced. This amendment allows</w:t>
      </w:r>
      <w:r>
        <w:rPr>
          <w:rFonts w:ascii="Calibri" w:hAnsi="Calibri" w:cs="Calibri"/>
          <w:color w:val="000000"/>
          <w:sz w:val="22"/>
          <w:szCs w:val="22"/>
        </w:rPr>
        <w:t xml:space="preserve"> </w:t>
      </w:r>
      <w:r>
        <w:rPr>
          <w:rFonts w:ascii="Calibri" w:hAnsi="Calibri" w:cs="Calibri"/>
          <w:color w:val="000000"/>
          <w:sz w:val="22"/>
          <w:szCs w:val="22"/>
          <w:u w:val="single"/>
        </w:rPr>
        <w:t>exporting countries</w:t>
      </w:r>
      <w:r>
        <w:rPr>
          <w:rFonts w:ascii="Calibri" w:hAnsi="Calibri" w:cs="Calibri"/>
          <w:color w:val="000000"/>
          <w:sz w:val="22"/>
          <w:szCs w:val="22"/>
        </w:rPr>
        <w:t xml:space="preserve"> </w:t>
      </w:r>
      <w:r>
        <w:rPr>
          <w:rFonts w:ascii="Calibri" w:hAnsi="Calibri" w:cs="Calibri"/>
          <w:color w:val="000000"/>
          <w:sz w:val="16"/>
          <w:szCs w:val="16"/>
        </w:rPr>
        <w:t>to</w:t>
      </w:r>
      <w:r>
        <w:rPr>
          <w:rFonts w:ascii="Calibri" w:hAnsi="Calibri" w:cs="Calibri"/>
          <w:color w:val="000000"/>
          <w:sz w:val="22"/>
          <w:szCs w:val="22"/>
        </w:rPr>
        <w:t xml:space="preserve"> </w:t>
      </w:r>
      <w:r>
        <w:rPr>
          <w:rFonts w:ascii="Calibri" w:hAnsi="Calibri" w:cs="Calibri"/>
          <w:color w:val="000000"/>
          <w:sz w:val="22"/>
          <w:szCs w:val="22"/>
          <w:u w:val="single"/>
        </w:rPr>
        <w:t>grant compulsory licences to generic suppliers exclusively for the purpose of manufacturing and exporting needed medicines to countries lacking production capacity.</w:t>
      </w:r>
    </w:p>
    <w:p w14:paraId="30D52ECD" w14:textId="77777777" w:rsidR="006723F2" w:rsidRDefault="006723F2" w:rsidP="006723F2">
      <w:pPr>
        <w:pStyle w:val="NormalWeb"/>
        <w:spacing w:before="0" w:beforeAutospacing="0" w:after="0" w:afterAutospacing="0"/>
      </w:pPr>
      <w:r>
        <w:rPr>
          <w:rFonts w:ascii="Calibri" w:hAnsi="Calibri" w:cs="Calibri"/>
          <w:color w:val="000000"/>
          <w:sz w:val="16"/>
          <w:szCs w:val="16"/>
        </w:rPr>
        <w:t>“As important as trade policy is, health and well-being must take precedence,” said Amina Mohamed, Kenya’s Foreign Minister who chaired the WTO General Council at the time when the amendment was approved in December 2005. “WTO members recognise this and have proven how seriously they take health issues by ratifying and putting into force</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an amendment to WTO</w:t>
      </w:r>
      <w:r>
        <w:rPr>
          <w:rFonts w:ascii="Calibri" w:hAnsi="Calibri" w:cs="Calibri"/>
          <w:color w:val="000000"/>
          <w:sz w:val="22"/>
          <w:szCs w:val="22"/>
          <w:u w:val="single"/>
        </w:rPr>
        <w:t xml:space="preserve"> rules </w:t>
      </w:r>
      <w:r>
        <w:rPr>
          <w:rFonts w:ascii="Calibri" w:hAnsi="Calibri" w:cs="Calibri"/>
          <w:color w:val="000000"/>
          <w:sz w:val="22"/>
          <w:szCs w:val="22"/>
          <w:u w:val="single"/>
          <w:shd w:val="clear" w:color="auto" w:fill="FFFF00"/>
        </w:rPr>
        <w:t>which will facilitate access to essential medicines</w:t>
      </w:r>
      <w:r>
        <w:rPr>
          <w:rFonts w:ascii="Calibri" w:hAnsi="Calibri" w:cs="Calibri"/>
          <w:color w:val="000000"/>
          <w:sz w:val="22"/>
          <w:szCs w:val="22"/>
          <w:u w:val="single"/>
        </w:rPr>
        <w:t xml:space="preserve"> in low income countries.</w:t>
      </w:r>
      <w:r>
        <w:rPr>
          <w:rFonts w:ascii="Calibri" w:hAnsi="Calibri" w:cs="Calibri"/>
          <w:color w:val="000000"/>
          <w:sz w:val="22"/>
          <w:szCs w:val="22"/>
        </w:rPr>
        <w:t>”</w:t>
      </w:r>
    </w:p>
    <w:p w14:paraId="7D71326E" w14:textId="77777777" w:rsidR="006723F2" w:rsidRDefault="006723F2" w:rsidP="006723F2">
      <w:pPr>
        <w:pStyle w:val="NormalWeb"/>
        <w:spacing w:before="0" w:beforeAutospacing="0" w:after="0" w:afterAutospacing="0"/>
      </w:pPr>
      <w:r>
        <w:rPr>
          <w:rFonts w:ascii="Calibri" w:hAnsi="Calibri" w:cs="Calibri"/>
          <w:color w:val="000000"/>
          <w:sz w:val="16"/>
          <w:szCs w:val="16"/>
        </w:rPr>
        <w:t xml:space="preserve">The amendment provides </w:t>
      </w:r>
      <w:r>
        <w:rPr>
          <w:rFonts w:ascii="Calibri" w:hAnsi="Calibri" w:cs="Calibri"/>
          <w:b/>
          <w:bCs/>
          <w:color w:val="000000"/>
          <w:sz w:val="22"/>
          <w:szCs w:val="22"/>
          <w:u w:val="single"/>
          <w:shd w:val="clear" w:color="auto" w:fill="FFFF00"/>
        </w:rPr>
        <w:t>a secure and sustained legal basis</w:t>
      </w:r>
      <w:r>
        <w:rPr>
          <w:rFonts w:ascii="Calibri" w:hAnsi="Calibri" w:cs="Calibri"/>
          <w:b/>
          <w:bCs/>
          <w:color w:val="000000"/>
          <w:sz w:val="22"/>
          <w:szCs w:val="22"/>
          <w:u w:val="single"/>
        </w:rPr>
        <w:t xml:space="preserve"> for</w:t>
      </w:r>
      <w:r>
        <w:rPr>
          <w:rFonts w:ascii="Calibri" w:hAnsi="Calibri" w:cs="Calibri"/>
          <w:color w:val="000000"/>
          <w:sz w:val="22"/>
          <w:szCs w:val="22"/>
        </w:rPr>
        <w:t xml:space="preserve"> </w:t>
      </w:r>
      <w:r>
        <w:rPr>
          <w:rFonts w:ascii="Calibri" w:hAnsi="Calibri" w:cs="Calibri"/>
          <w:color w:val="000000"/>
          <w:sz w:val="16"/>
          <w:szCs w:val="16"/>
        </w:rPr>
        <w:t>both potential exporters and importers to adopt legislation and establish the means needed to allow</w:t>
      </w:r>
      <w:r>
        <w:rPr>
          <w:rFonts w:ascii="Calibri" w:hAnsi="Calibri" w:cs="Calibri"/>
          <w:b/>
          <w:bCs/>
          <w:color w:val="000000"/>
          <w:sz w:val="22"/>
          <w:szCs w:val="22"/>
          <w:u w:val="single"/>
        </w:rPr>
        <w:t xml:space="preserve"> countries </w:t>
      </w:r>
      <w:r>
        <w:rPr>
          <w:rFonts w:ascii="Calibri" w:hAnsi="Calibri" w:cs="Calibri"/>
          <w:color w:val="000000"/>
          <w:sz w:val="22"/>
          <w:szCs w:val="22"/>
          <w:u w:val="single"/>
        </w:rPr>
        <w:t xml:space="preserve">with limited or no production capacity </w:t>
      </w:r>
      <w:r>
        <w:rPr>
          <w:rFonts w:ascii="Calibri" w:hAnsi="Calibri" w:cs="Calibri"/>
          <w:b/>
          <w:bCs/>
          <w:color w:val="000000"/>
          <w:sz w:val="22"/>
          <w:szCs w:val="22"/>
          <w:u w:val="single"/>
          <w:shd w:val="clear" w:color="auto" w:fill="FFFF00"/>
        </w:rPr>
        <w:t>to import affordable generics from countries where pharmaceuticals are patented</w:t>
      </w:r>
      <w:r>
        <w:rPr>
          <w:rFonts w:ascii="Calibri" w:hAnsi="Calibri" w:cs="Calibri"/>
          <w:color w:val="000000"/>
          <w:sz w:val="22"/>
          <w:szCs w:val="22"/>
        </w:rPr>
        <w:t xml:space="preserve">. </w:t>
      </w:r>
      <w:r>
        <w:rPr>
          <w:rFonts w:ascii="Calibri" w:hAnsi="Calibri" w:cs="Calibri"/>
          <w:color w:val="000000"/>
          <w:sz w:val="16"/>
          <w:szCs w:val="16"/>
        </w:rPr>
        <w:t xml:space="preserve">More and more WTO members are taking practical steps to implement the system in their laws. The bulk of global medicine exports is covered by laws enabling exports under this system, </w:t>
      </w:r>
      <w:r>
        <w:rPr>
          <w:rFonts w:ascii="Calibri" w:hAnsi="Calibri" w:cs="Calibri"/>
          <w:color w:val="000000"/>
          <w:sz w:val="22"/>
          <w:szCs w:val="22"/>
          <w:u w:val="single"/>
          <w:shd w:val="clear" w:color="auto" w:fill="FFFF00"/>
        </w:rPr>
        <w:t>opening up new</w:t>
      </w:r>
      <w:r>
        <w:rPr>
          <w:rFonts w:ascii="Calibri" w:hAnsi="Calibri" w:cs="Calibri"/>
          <w:color w:val="000000"/>
          <w:sz w:val="22"/>
          <w:szCs w:val="22"/>
          <w:u w:val="single"/>
        </w:rPr>
        <w:t xml:space="preserve"> options for potential beneficiaries to access a wider range of potential </w:t>
      </w:r>
      <w:r>
        <w:rPr>
          <w:rFonts w:ascii="Calibri" w:hAnsi="Calibri" w:cs="Calibri"/>
          <w:color w:val="000000"/>
          <w:sz w:val="22"/>
          <w:szCs w:val="22"/>
          <w:u w:val="single"/>
          <w:shd w:val="clear" w:color="auto" w:fill="FFFF00"/>
        </w:rPr>
        <w:t>suppliers and</w:t>
      </w:r>
      <w:r>
        <w:rPr>
          <w:rFonts w:ascii="Calibri" w:hAnsi="Calibri" w:cs="Calibri"/>
          <w:color w:val="000000"/>
          <w:sz w:val="22"/>
          <w:szCs w:val="22"/>
          <w:u w:val="single"/>
        </w:rPr>
        <w:t xml:space="preserve"> enabling new, innovative </w:t>
      </w:r>
      <w:r>
        <w:rPr>
          <w:rFonts w:ascii="Calibri" w:hAnsi="Calibri" w:cs="Calibri"/>
          <w:color w:val="000000"/>
          <w:sz w:val="22"/>
          <w:szCs w:val="22"/>
          <w:u w:val="single"/>
          <w:shd w:val="clear" w:color="auto" w:fill="FFFF00"/>
        </w:rPr>
        <w:t>procurement strategies</w:t>
      </w:r>
      <w:r>
        <w:rPr>
          <w:rFonts w:ascii="Calibri" w:hAnsi="Calibri" w:cs="Calibri"/>
          <w:color w:val="000000"/>
          <w:sz w:val="22"/>
          <w:szCs w:val="22"/>
          <w:shd w:val="clear" w:color="auto" w:fill="FFFF00"/>
        </w:rPr>
        <w:t>.</w:t>
      </w:r>
    </w:p>
    <w:p w14:paraId="7AA89C7F" w14:textId="77777777" w:rsidR="006723F2" w:rsidRDefault="006723F2" w:rsidP="006723F2"/>
    <w:p w14:paraId="31889BC4" w14:textId="77777777" w:rsidR="006723F2" w:rsidRPr="00701A92" w:rsidRDefault="006723F2" w:rsidP="006723F2"/>
    <w:p w14:paraId="60CC69C5" w14:textId="77777777" w:rsidR="006723F2" w:rsidRPr="00566E21" w:rsidRDefault="006723F2" w:rsidP="006723F2"/>
    <w:p w14:paraId="1D0293EB" w14:textId="77777777" w:rsidR="006723F2" w:rsidRPr="002A0383" w:rsidRDefault="006723F2" w:rsidP="006723F2">
      <w:pPr>
        <w:pStyle w:val="Heading3"/>
      </w:pPr>
      <w:r>
        <w:t xml:space="preserve">AT Developing Countries </w:t>
      </w:r>
    </w:p>
    <w:p w14:paraId="06F160B0" w14:textId="77777777" w:rsidR="006723F2" w:rsidRPr="002A0383" w:rsidRDefault="006723F2" w:rsidP="006723F2">
      <w:pPr>
        <w:pStyle w:val="Heading4"/>
      </w:pPr>
      <w:r>
        <w:t xml:space="preserve">It doesn’t solve – there are tons of barriers to access to vaccines, especially in developing countries. Even if it’s </w:t>
      </w:r>
      <w:r>
        <w:rPr>
          <w:u w:val="single"/>
        </w:rPr>
        <w:t>legal</w:t>
      </w:r>
      <w:r>
        <w:t xml:space="preserve"> to make generics, lack of raw materials, expertise, and production facilities mean the plan is a </w:t>
      </w:r>
      <w:r>
        <w:rPr>
          <w:u w:val="single"/>
        </w:rPr>
        <w:t>drop in the bucket</w:t>
      </w:r>
      <w:r>
        <w:t xml:space="preserve"> for responding to global covid </w:t>
      </w:r>
    </w:p>
    <w:p w14:paraId="7516E9E5" w14:textId="77777777" w:rsidR="006723F2" w:rsidRPr="00D31CF4" w:rsidRDefault="006723F2" w:rsidP="006723F2">
      <w:r w:rsidRPr="00D31CF4">
        <w:rPr>
          <w:rStyle w:val="Style13ptBold"/>
        </w:rPr>
        <w:t>Herper</w:t>
      </w:r>
      <w:r w:rsidRPr="00D31CF4">
        <w:t xml:space="preserve"> et al </w:t>
      </w:r>
      <w:r w:rsidRPr="00D31CF4">
        <w:rPr>
          <w:rStyle w:val="Style13ptBold"/>
        </w:rPr>
        <w:t>21</w:t>
      </w:r>
      <w:r w:rsidRPr="00D31CF4">
        <w:t xml:space="preserve"> [Matthew Herper Senior Writer, Medicine, Editorial Director of Events at STAT. "Waiver of patent rights on Covid-19 vaccines, in near term, may be more symbolic than substantive."</w:t>
      </w:r>
      <w:r>
        <w:t xml:space="preserve"> https://www.statnews.com/2021/05/06/waiver-of-patent-rights-on-covid-19-vaccines-in-near-term-may-be-more-symbolic-than-substantive/]</w:t>
      </w:r>
    </w:p>
    <w:p w14:paraId="0B17EB9C" w14:textId="77777777" w:rsidR="006723F2" w:rsidRPr="002A0383" w:rsidRDefault="006723F2" w:rsidP="006723F2">
      <w:pPr>
        <w:rPr>
          <w:sz w:val="16"/>
        </w:rPr>
      </w:pPr>
      <w:r w:rsidRPr="002A0383">
        <w:rPr>
          <w:sz w:val="16"/>
        </w:rPr>
        <w:t xml:space="preserve">Prashant </w:t>
      </w:r>
      <w:r w:rsidRPr="002A0383">
        <w:rPr>
          <w:rStyle w:val="Emphasis"/>
        </w:rPr>
        <w:t>Yadav</w:t>
      </w:r>
      <w:r w:rsidRPr="002A0383">
        <w:rPr>
          <w:sz w:val="16"/>
        </w:rPr>
        <w:t xml:space="preserve">, </w:t>
      </w:r>
      <w:r w:rsidRPr="002A0383">
        <w:rPr>
          <w:rStyle w:val="StyleUnderline"/>
        </w:rPr>
        <w:t xml:space="preserve">a supply chain </w:t>
      </w:r>
      <w:r w:rsidRPr="002A0383">
        <w:rPr>
          <w:rStyle w:val="Emphasis"/>
        </w:rPr>
        <w:t>expert</w:t>
      </w:r>
      <w:r w:rsidRPr="002A0383">
        <w:rPr>
          <w:sz w:val="16"/>
        </w:rPr>
        <w:t xml:space="preserve"> and senior fellow </w:t>
      </w:r>
      <w:r w:rsidRPr="002A0383">
        <w:rPr>
          <w:rStyle w:val="StyleUnderline"/>
        </w:rPr>
        <w:t>at the Center for Global Development</w:t>
      </w:r>
      <w:r w:rsidRPr="002A0383">
        <w:rPr>
          <w:sz w:val="16"/>
        </w:rPr>
        <w:t xml:space="preserve">, </w:t>
      </w:r>
      <w:r w:rsidRPr="002A0383">
        <w:rPr>
          <w:rStyle w:val="StyleUnderline"/>
        </w:rPr>
        <w:t xml:space="preserve">said </w:t>
      </w:r>
      <w:r w:rsidRPr="00AF457A">
        <w:rPr>
          <w:rStyle w:val="StyleUnderline"/>
          <w:highlight w:val="cyan"/>
        </w:rPr>
        <w:t xml:space="preserve">the </w:t>
      </w:r>
      <w:r w:rsidRPr="00AF457A">
        <w:rPr>
          <w:rStyle w:val="Emphasis"/>
          <w:highlight w:val="cyan"/>
        </w:rPr>
        <w:t>biggest barrier</w:t>
      </w:r>
      <w:r w:rsidRPr="002A0383">
        <w:rPr>
          <w:rStyle w:val="StyleUnderline"/>
        </w:rPr>
        <w:t xml:space="preserve"> to increasing the global</w:t>
      </w:r>
      <w:r w:rsidRPr="002A0383">
        <w:rPr>
          <w:sz w:val="16"/>
        </w:rPr>
        <w:t xml:space="preserve"> </w:t>
      </w:r>
      <w:r w:rsidRPr="002A0383">
        <w:rPr>
          <w:rStyle w:val="Emphasis"/>
        </w:rPr>
        <w:t>vaccine supply</w:t>
      </w:r>
      <w:r w:rsidRPr="002A0383">
        <w:rPr>
          <w:sz w:val="16"/>
        </w:rPr>
        <w:t xml:space="preserve"> </w:t>
      </w:r>
      <w:r w:rsidRPr="00AF457A">
        <w:rPr>
          <w:rStyle w:val="StyleUnderline"/>
          <w:highlight w:val="cyan"/>
        </w:rPr>
        <w:t>is</w:t>
      </w:r>
      <w:r w:rsidRPr="002A0383">
        <w:rPr>
          <w:rStyle w:val="StyleUnderline"/>
        </w:rPr>
        <w:t xml:space="preserve"> a </w:t>
      </w:r>
      <w:r w:rsidRPr="00AF457A">
        <w:rPr>
          <w:rStyle w:val="StyleUnderline"/>
          <w:highlight w:val="cyan"/>
        </w:rPr>
        <w:t xml:space="preserve">lack of raw </w:t>
      </w:r>
      <w:r w:rsidRPr="00AF457A">
        <w:rPr>
          <w:rStyle w:val="Emphasis"/>
          <w:highlight w:val="cyan"/>
        </w:rPr>
        <w:t>materials</w:t>
      </w:r>
      <w:r w:rsidRPr="00AF457A">
        <w:rPr>
          <w:rStyle w:val="StyleUnderline"/>
          <w:highlight w:val="cyan"/>
        </w:rPr>
        <w:t xml:space="preserve"> and </w:t>
      </w:r>
      <w:r w:rsidRPr="00AF457A">
        <w:rPr>
          <w:rStyle w:val="Emphasis"/>
          <w:highlight w:val="cyan"/>
        </w:rPr>
        <w:t>facilities</w:t>
      </w:r>
      <w:r w:rsidRPr="002A0383">
        <w:rPr>
          <w:sz w:val="16"/>
        </w:rPr>
        <w:t xml:space="preserve"> </w:t>
      </w:r>
      <w:r w:rsidRPr="002A0383">
        <w:rPr>
          <w:rStyle w:val="StyleUnderline"/>
        </w:rPr>
        <w:t xml:space="preserve">that manufacture the billions of doses the world needs. Temporarily </w:t>
      </w:r>
      <w:r w:rsidRPr="00AF457A">
        <w:rPr>
          <w:rStyle w:val="StyleUnderline"/>
          <w:highlight w:val="cyan"/>
        </w:rPr>
        <w:t>suspending</w:t>
      </w:r>
      <w:r w:rsidRPr="002A0383">
        <w:rPr>
          <w:rStyle w:val="StyleUnderline"/>
        </w:rPr>
        <w:t xml:space="preserve"> some</w:t>
      </w:r>
      <w:r w:rsidRPr="002A0383">
        <w:rPr>
          <w:sz w:val="16"/>
        </w:rPr>
        <w:t xml:space="preserve"> </w:t>
      </w:r>
      <w:r w:rsidRPr="00AF457A">
        <w:rPr>
          <w:rStyle w:val="Emphasis"/>
          <w:highlight w:val="cyan"/>
        </w:rPr>
        <w:t>intellectual property</w:t>
      </w:r>
      <w:r w:rsidRPr="002A0383">
        <w:rPr>
          <w:sz w:val="16"/>
        </w:rPr>
        <w:t xml:space="preserve">, as the U.S. proposes to do, </w:t>
      </w:r>
      <w:r w:rsidRPr="00AF457A">
        <w:rPr>
          <w:rStyle w:val="StyleUnderline"/>
          <w:highlight w:val="cyan"/>
        </w:rPr>
        <w:t xml:space="preserve">would have </w:t>
      </w:r>
      <w:r w:rsidRPr="00AF457A">
        <w:rPr>
          <w:rStyle w:val="Emphasis"/>
          <w:highlight w:val="cyan"/>
        </w:rPr>
        <w:t>little effect on those problems</w:t>
      </w:r>
      <w:r w:rsidRPr="002A0383">
        <w:rPr>
          <w:sz w:val="16"/>
        </w:rPr>
        <w:t>, he said.</w:t>
      </w:r>
    </w:p>
    <w:p w14:paraId="2FB66510" w14:textId="77777777" w:rsidR="006723F2" w:rsidRPr="002A0383" w:rsidRDefault="006723F2" w:rsidP="006723F2">
      <w:pPr>
        <w:rPr>
          <w:sz w:val="16"/>
        </w:rPr>
      </w:pPr>
      <w:r w:rsidRPr="002A0383">
        <w:rPr>
          <w:sz w:val="16"/>
        </w:rPr>
        <w:t xml:space="preserve">“My take is: </w:t>
      </w:r>
      <w:r w:rsidRPr="00AF457A">
        <w:rPr>
          <w:rStyle w:val="Emphasis"/>
          <w:highlight w:val="cyan"/>
        </w:rPr>
        <w:t>By itself</w:t>
      </w:r>
      <w:r w:rsidRPr="00AF457A">
        <w:rPr>
          <w:sz w:val="16"/>
          <w:highlight w:val="cyan"/>
        </w:rPr>
        <w:t xml:space="preserve">, </w:t>
      </w:r>
      <w:r w:rsidRPr="00AF457A">
        <w:rPr>
          <w:rStyle w:val="StyleUnderline"/>
          <w:highlight w:val="cyan"/>
        </w:rPr>
        <w:t>it will not get us much</w:t>
      </w:r>
      <w:r w:rsidRPr="002A0383">
        <w:rPr>
          <w:rStyle w:val="StyleUnderline"/>
        </w:rPr>
        <w:t xml:space="preserve"> benefit in increased manufacturing capacity</w:t>
      </w:r>
      <w:r w:rsidRPr="002A0383">
        <w:rPr>
          <w:sz w:val="16"/>
        </w:rPr>
        <w:t>,” Yadav said. “But as part of a larger package, it can.”</w:t>
      </w:r>
    </w:p>
    <w:p w14:paraId="034FE2CB" w14:textId="77777777" w:rsidR="006723F2" w:rsidRPr="002A0383" w:rsidRDefault="006723F2" w:rsidP="006723F2">
      <w:pPr>
        <w:rPr>
          <w:sz w:val="16"/>
        </w:rPr>
      </w:pPr>
      <w:r w:rsidRPr="002A0383">
        <w:rPr>
          <w:sz w:val="16"/>
        </w:rPr>
        <w:t>That larger package would include wealthy nations like the U.S. mounting an Operation Warp Speed-style effort to invest in manufacturing in low-income countries, he said, using their vast financial resources to actually produce vaccine doses rather than solely targeting patents.</w:t>
      </w:r>
    </w:p>
    <w:p w14:paraId="2ABC4044" w14:textId="77777777" w:rsidR="006723F2" w:rsidRPr="002A0383" w:rsidRDefault="006723F2" w:rsidP="006723F2">
      <w:pPr>
        <w:rPr>
          <w:sz w:val="16"/>
        </w:rPr>
      </w:pPr>
      <w:r w:rsidRPr="002A0383">
        <w:rPr>
          <w:sz w:val="16"/>
        </w:rPr>
        <w:t xml:space="preserve">Lawrence Gostin,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 </w:t>
      </w:r>
    </w:p>
    <w:p w14:paraId="12FA453A" w14:textId="77777777" w:rsidR="006723F2" w:rsidRPr="002A0383" w:rsidRDefault="006723F2" w:rsidP="006723F2">
      <w:pPr>
        <w:rPr>
          <w:sz w:val="16"/>
        </w:rPr>
      </w:pPr>
      <w:r w:rsidRPr="002A0383">
        <w:rPr>
          <w:sz w:val="16"/>
        </w:rPr>
        <w:t>“</w:t>
      </w:r>
      <w:r w:rsidRPr="00AF457A">
        <w:rPr>
          <w:rStyle w:val="StyleUnderline"/>
          <w:highlight w:val="cyan"/>
        </w:rPr>
        <w:t>We’re not talking about</w:t>
      </w:r>
      <w:r w:rsidRPr="002A0383">
        <w:rPr>
          <w:rStyle w:val="StyleUnderline"/>
        </w:rPr>
        <w:t xml:space="preserve"> any </w:t>
      </w:r>
      <w:r w:rsidRPr="00AF457A">
        <w:rPr>
          <w:rStyle w:val="Emphasis"/>
          <w:highlight w:val="cyan"/>
        </w:rPr>
        <w:t>immediate help</w:t>
      </w:r>
      <w:r w:rsidRPr="00AF457A">
        <w:rPr>
          <w:sz w:val="16"/>
          <w:highlight w:val="cyan"/>
        </w:rPr>
        <w:t xml:space="preserve"> </w:t>
      </w:r>
      <w:r w:rsidRPr="00AF457A">
        <w:rPr>
          <w:rStyle w:val="StyleUnderline"/>
          <w:highlight w:val="cyan"/>
        </w:rPr>
        <w:t>for India or Latin America</w:t>
      </w:r>
      <w:r w:rsidRPr="002A0383">
        <w:rPr>
          <w:rStyle w:val="StyleUnderline"/>
        </w:rPr>
        <w:t xml:space="preserve"> or other countries going through an enormous spread of the virus</w:t>
      </w:r>
      <w:r w:rsidRPr="002A0383">
        <w:rPr>
          <w:sz w:val="16"/>
        </w:rPr>
        <w:t>,” Gostin said. “</w:t>
      </w:r>
      <w:r w:rsidRPr="00AF457A">
        <w:rPr>
          <w:rStyle w:val="StyleUnderline"/>
          <w:highlight w:val="cyan"/>
        </w:rPr>
        <w:t>While they’re</w:t>
      </w:r>
      <w:r w:rsidRPr="002A0383">
        <w:rPr>
          <w:rStyle w:val="StyleUnderline"/>
        </w:rPr>
        <w:t xml:space="preserve"> going to be </w:t>
      </w:r>
      <w:r w:rsidRPr="00AF457A">
        <w:rPr>
          <w:rStyle w:val="StyleUnderline"/>
          <w:highlight w:val="cyan"/>
        </w:rPr>
        <w:t>negotiating</w:t>
      </w:r>
      <w:r w:rsidRPr="002A0383">
        <w:rPr>
          <w:rStyle w:val="StyleUnderline"/>
        </w:rPr>
        <w:t xml:space="preserve"> the text, </w:t>
      </w:r>
      <w:r w:rsidRPr="00AF457A">
        <w:rPr>
          <w:rStyle w:val="StyleUnderline"/>
          <w:highlight w:val="cyan"/>
        </w:rPr>
        <w:t xml:space="preserve">the </w:t>
      </w:r>
      <w:r w:rsidRPr="00AF457A">
        <w:rPr>
          <w:rStyle w:val="Emphasis"/>
          <w:highlight w:val="cyan"/>
        </w:rPr>
        <w:t>virus</w:t>
      </w:r>
      <w:r w:rsidRPr="00AF457A">
        <w:rPr>
          <w:rStyle w:val="StyleUnderline"/>
          <w:highlight w:val="cyan"/>
        </w:rPr>
        <w:t xml:space="preserve"> will be </w:t>
      </w:r>
      <w:r w:rsidRPr="00AF457A">
        <w:rPr>
          <w:rStyle w:val="Emphasis"/>
          <w:highlight w:val="cyan"/>
        </w:rPr>
        <w:t>mutating</w:t>
      </w:r>
      <w:r w:rsidRPr="002A0383">
        <w:rPr>
          <w:sz w:val="16"/>
        </w:rPr>
        <w:t>.”</w:t>
      </w:r>
    </w:p>
    <w:p w14:paraId="2C2B5A17" w14:textId="37F15B59"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23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4016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D35"/>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B6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3F2"/>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192"/>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78B"/>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52D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0BC9A0"/>
  <w14:defaultImageDpi w14:val="300"/>
  <w15:docId w15:val="{863A938C-5842-794B-A167-DC552DD24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52D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E52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52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52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9"/>
    <w:unhideWhenUsed/>
    <w:qFormat/>
    <w:rsid w:val="00CE52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52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52DF"/>
  </w:style>
  <w:style w:type="character" w:customStyle="1" w:styleId="Heading1Char">
    <w:name w:val="Heading 1 Char"/>
    <w:aliases w:val="Pocket Char"/>
    <w:basedOn w:val="DefaultParagraphFont"/>
    <w:link w:val="Heading1"/>
    <w:uiPriority w:val="9"/>
    <w:rsid w:val="00CE52D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52D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E52D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CE52D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E52D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CE52DF"/>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CE52D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E52D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CE52DF"/>
    <w:rPr>
      <w:color w:val="auto"/>
      <w:u w:val="none"/>
    </w:rPr>
  </w:style>
  <w:style w:type="paragraph" w:styleId="DocumentMap">
    <w:name w:val="Document Map"/>
    <w:basedOn w:val="Normal"/>
    <w:link w:val="DocumentMapChar"/>
    <w:uiPriority w:val="99"/>
    <w:semiHidden/>
    <w:unhideWhenUsed/>
    <w:rsid w:val="00CE52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52DF"/>
    <w:rPr>
      <w:rFonts w:ascii="Lucida Grande" w:hAnsi="Lucida Grande" w:cs="Lucida Grande"/>
    </w:rPr>
  </w:style>
  <w:style w:type="paragraph" w:customStyle="1" w:styleId="Emphasis1">
    <w:name w:val="Emphasis1"/>
    <w:basedOn w:val="Normal"/>
    <w:link w:val="Emphasis"/>
    <w:autoRedefine/>
    <w:uiPriority w:val="20"/>
    <w:qFormat/>
    <w:rsid w:val="006723F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6723F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6723F2"/>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6723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raserinstitute.org/sites/default/files/intellectual-property-rights-protection-and-the%20biopharmaceutical-industry.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ubs.acs.org/doi/pdf/10.1021/acsmedchemlett.0c0031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ooklynworks.brooklaw.edu/cgi/viewcontent.cgi?article=1050&amp;context=bjil" TargetMode="External"/><Relationship Id="rId5" Type="http://schemas.openxmlformats.org/officeDocument/2006/relationships/numbering" Target="numbering.xml"/><Relationship Id="rId15" Type="http://schemas.openxmlformats.org/officeDocument/2006/relationships/hyperlink" Target="https://www.wto.org/english/news_e/news17_e/trip_23jan17_e.htm" TargetMode="External"/><Relationship Id="rId10" Type="http://schemas.openxmlformats.org/officeDocument/2006/relationships/hyperlink" Target="http://www.30by2030.net" TargetMode="External"/><Relationship Id="rId4" Type="http://schemas.openxmlformats.org/officeDocument/2006/relationships/customXml" Target="../customXml/item4.xml"/><Relationship Id="rId9" Type="http://schemas.openxmlformats.org/officeDocument/2006/relationships/hyperlink" Target="https://www.researchgate.net/publication/345938887_Universal_health_coverage_and_primary_health_care_the_30_by_2030_campaign" TargetMode="External"/><Relationship Id="rId14" Type="http://schemas.openxmlformats.org/officeDocument/2006/relationships/hyperlink" Target="https://ctc.usma.edu/biosecurity-in-the-wake-of-covid-19-the-urgent-action-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7289</Words>
  <Characters>41549</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5</cp:revision>
  <dcterms:created xsi:type="dcterms:W3CDTF">2021-09-11T20:09:00Z</dcterms:created>
  <dcterms:modified xsi:type="dcterms:W3CDTF">2021-09-11T22:56:00Z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