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D56A5" w14:textId="52089168" w:rsidR="00104E97" w:rsidRDefault="00104E97" w:rsidP="00104E97">
      <w:pPr>
        <w:pStyle w:val="Heading2"/>
      </w:pPr>
      <w:r>
        <w:t>OFF</w:t>
      </w:r>
    </w:p>
    <w:p w14:paraId="346E3026" w14:textId="4350D0F6" w:rsidR="00104E97" w:rsidRDefault="00104E97" w:rsidP="00104E97">
      <w:pPr>
        <w:pStyle w:val="Heading3"/>
      </w:pPr>
      <w:r>
        <w:t>1NC – Definitions</w:t>
      </w:r>
    </w:p>
    <w:p w14:paraId="0239E804" w14:textId="77777777" w:rsidR="00104E97" w:rsidRPr="00CA591D" w:rsidRDefault="00104E97" w:rsidP="00104E97">
      <w:pPr>
        <w:pStyle w:val="Heading4"/>
      </w:pPr>
      <w:r w:rsidRPr="00CA591D">
        <w:t>“Resolved” means enactment of a law.</w:t>
      </w:r>
    </w:p>
    <w:p w14:paraId="02869C80" w14:textId="77777777" w:rsidR="00104E97" w:rsidRPr="00CA591D" w:rsidRDefault="00104E97" w:rsidP="00104E97">
      <w:r w:rsidRPr="00CA591D">
        <w:rPr>
          <w:rStyle w:val="Heading4Char"/>
        </w:rPr>
        <w:t xml:space="preserve">Words and Phrases 64 </w:t>
      </w:r>
      <w:r w:rsidRPr="00CA591D">
        <w:t>Words and Phrases Permanent Edition (Multi-volume set of judicial definitions). “Resolved”. 1964.</w:t>
      </w:r>
    </w:p>
    <w:p w14:paraId="012E9314" w14:textId="77777777" w:rsidR="00104E97" w:rsidRPr="00CC5739" w:rsidRDefault="00104E97" w:rsidP="00104E97">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06CE5E2D" w14:textId="77777777" w:rsidR="00104E97" w:rsidRDefault="00104E97" w:rsidP="00104E97">
      <w:pPr>
        <w:pStyle w:val="Heading4"/>
      </w:pPr>
      <w:r>
        <w:t xml:space="preserve">Here is a list of the member nations of the WTO – </w:t>
      </w:r>
      <w:proofErr w:type="spellStart"/>
      <w:r>
        <w:t>aff</w:t>
      </w:r>
      <w:proofErr w:type="spellEnd"/>
      <w:r>
        <w:t xml:space="preserve"> is not that</w:t>
      </w:r>
    </w:p>
    <w:p w14:paraId="35FF9128" w14:textId="77777777" w:rsidR="00104E97" w:rsidRPr="009A1EA0" w:rsidRDefault="00104E97" w:rsidP="00104E97">
      <w:pPr>
        <w:rPr>
          <w:rStyle w:val="Style13ptBold"/>
        </w:rPr>
      </w:pPr>
      <w:r>
        <w:rPr>
          <w:rStyle w:val="Style13ptBold"/>
        </w:rPr>
        <w:t xml:space="preserve">WTO </w:t>
      </w:r>
      <w:r w:rsidRPr="0009761A">
        <w:t>7/29/</w:t>
      </w:r>
      <w:r>
        <w:rPr>
          <w:rStyle w:val="Style13ptBold"/>
        </w:rPr>
        <w:t xml:space="preserve">16 </w:t>
      </w:r>
      <w:r w:rsidRPr="0009761A">
        <w:t>[</w:t>
      </w:r>
      <w:r>
        <w:t xml:space="preserve">World Trade Organization, “Updated Member List”] </w:t>
      </w:r>
      <w:r w:rsidRPr="0009761A">
        <w:t>[DS]</w:t>
      </w:r>
    </w:p>
    <w:p w14:paraId="287076D6" w14:textId="77777777" w:rsidR="00104E97" w:rsidRPr="0009761A" w:rsidRDefault="00104E97" w:rsidP="00104E97">
      <w:pPr>
        <w:rPr>
          <w:rStyle w:val="StyleUnderline"/>
        </w:rPr>
      </w:pPr>
      <w:r w:rsidRPr="0009761A">
        <w:rPr>
          <w:rStyle w:val="StyleUnderline"/>
          <w:highlight w:val="yellow"/>
        </w:rPr>
        <w:t>Members and Observers</w:t>
      </w:r>
    </w:p>
    <w:p w14:paraId="7D8BB845" w14:textId="77777777" w:rsidR="00104E97" w:rsidRDefault="00104E97" w:rsidP="00104E97">
      <w:r>
        <w:t>164  members since 29 July 2016 , with dates of WTO membership.</w:t>
      </w:r>
    </w:p>
    <w:p w14:paraId="742928AC" w14:textId="77777777" w:rsidR="00104E97" w:rsidRPr="009A1EA0" w:rsidRDefault="00104E97" w:rsidP="00104E97">
      <w:r>
        <w:t>Click any member to see key information on trade statistics, WTO commitments, disputes, trade policy reviews, and notifications.</w:t>
      </w:r>
    </w:p>
    <w:p w14:paraId="6A0A4731" w14:textId="77777777" w:rsidR="00104E97" w:rsidRDefault="00104E97" w:rsidP="00104E97">
      <w:r>
        <w:t>A</w:t>
      </w:r>
    </w:p>
    <w:p w14:paraId="275A149E" w14:textId="77777777" w:rsidR="00104E97" w:rsidRDefault="00104E97" w:rsidP="00104E97">
      <w:r>
        <w:t>Afghanistan — 29 July 2016</w:t>
      </w:r>
    </w:p>
    <w:p w14:paraId="45D5C7DE" w14:textId="77777777" w:rsidR="00104E97" w:rsidRDefault="00104E97" w:rsidP="00104E97">
      <w:r>
        <w:t>Albania — 8 September 2000</w:t>
      </w:r>
    </w:p>
    <w:p w14:paraId="35615AA7" w14:textId="77777777" w:rsidR="00104E97" w:rsidRDefault="00104E97" w:rsidP="00104E97">
      <w:r>
        <w:t>Angola — 23 November 1996</w:t>
      </w:r>
    </w:p>
    <w:p w14:paraId="72DF8BB0" w14:textId="77777777" w:rsidR="00104E97" w:rsidRDefault="00104E97" w:rsidP="00104E97">
      <w:r w:rsidRPr="00972178">
        <w:t>Antigua and Barbuda</w:t>
      </w:r>
      <w:r>
        <w:t xml:space="preserve"> — 1 January 1995</w:t>
      </w:r>
    </w:p>
    <w:p w14:paraId="04FEC2AC" w14:textId="77777777" w:rsidR="00104E97" w:rsidRDefault="00104E97" w:rsidP="00104E97">
      <w:r>
        <w:t>Argentina — 1 January 1995</w:t>
      </w:r>
    </w:p>
    <w:p w14:paraId="3C7EEAF8" w14:textId="77777777" w:rsidR="00104E97" w:rsidRDefault="00104E97" w:rsidP="00104E97">
      <w:r>
        <w:t>Armenia — 5 February 2003</w:t>
      </w:r>
    </w:p>
    <w:p w14:paraId="6C09058E" w14:textId="77777777" w:rsidR="00104E97" w:rsidRDefault="00104E97" w:rsidP="00104E97">
      <w:r>
        <w:t>Australia — 1 January 1995</w:t>
      </w:r>
    </w:p>
    <w:p w14:paraId="31271425" w14:textId="77777777" w:rsidR="00104E97" w:rsidRDefault="00104E97" w:rsidP="00104E97">
      <w:r>
        <w:t>Austria — 1 January 1995</w:t>
      </w:r>
    </w:p>
    <w:p w14:paraId="433C9726" w14:textId="77777777" w:rsidR="00104E97" w:rsidRDefault="00104E97" w:rsidP="00104E97">
      <w:r>
        <w:t>B</w:t>
      </w:r>
    </w:p>
    <w:p w14:paraId="067F6021" w14:textId="77777777" w:rsidR="00104E97" w:rsidRDefault="00104E97" w:rsidP="00104E97">
      <w:r>
        <w:t>Bahrain, Kingdom of — 1 January 1995</w:t>
      </w:r>
    </w:p>
    <w:p w14:paraId="5F9784DD" w14:textId="77777777" w:rsidR="00104E97" w:rsidRDefault="00104E97" w:rsidP="00104E97">
      <w:r>
        <w:t>Bangladesh — 1 January 1995</w:t>
      </w:r>
    </w:p>
    <w:p w14:paraId="52D0F8F0" w14:textId="77777777" w:rsidR="00104E97" w:rsidRDefault="00104E97" w:rsidP="00104E97">
      <w:r>
        <w:t>Barbados — 1 January 1995</w:t>
      </w:r>
    </w:p>
    <w:p w14:paraId="35EAE32F" w14:textId="77777777" w:rsidR="00104E97" w:rsidRDefault="00104E97" w:rsidP="00104E97">
      <w:r>
        <w:t>Belgium — 1 January 1995</w:t>
      </w:r>
    </w:p>
    <w:p w14:paraId="0F1A4D4E" w14:textId="77777777" w:rsidR="00104E97" w:rsidRDefault="00104E97" w:rsidP="00104E97">
      <w:r>
        <w:t>Belize — 1 January 1995</w:t>
      </w:r>
    </w:p>
    <w:p w14:paraId="7F146AE5" w14:textId="77777777" w:rsidR="00104E97" w:rsidRDefault="00104E97" w:rsidP="00104E97">
      <w:r>
        <w:t>Benin — 22 February 1996</w:t>
      </w:r>
    </w:p>
    <w:p w14:paraId="4D55D0EC" w14:textId="77777777" w:rsidR="00104E97" w:rsidRDefault="00104E97" w:rsidP="00104E97">
      <w:r>
        <w:t xml:space="preserve">Bolivia, </w:t>
      </w:r>
      <w:proofErr w:type="spellStart"/>
      <w:r>
        <w:t>Plurinational</w:t>
      </w:r>
      <w:proofErr w:type="spellEnd"/>
      <w:r>
        <w:t xml:space="preserve"> State of — 12 September 1995</w:t>
      </w:r>
    </w:p>
    <w:p w14:paraId="703CBFC7" w14:textId="77777777" w:rsidR="00104E97" w:rsidRDefault="00104E97" w:rsidP="00104E97">
      <w:r>
        <w:t>Botswana — 31 May 1995</w:t>
      </w:r>
    </w:p>
    <w:p w14:paraId="65963186" w14:textId="77777777" w:rsidR="00104E97" w:rsidRDefault="00104E97" w:rsidP="00104E97">
      <w:r>
        <w:t>Brazil — 1 January 1995</w:t>
      </w:r>
    </w:p>
    <w:p w14:paraId="4DF6C1D0" w14:textId="77777777" w:rsidR="00104E97" w:rsidRDefault="00104E97" w:rsidP="00104E97">
      <w:r>
        <w:t>Brunei Darussalam — 1 January 1995</w:t>
      </w:r>
    </w:p>
    <w:p w14:paraId="0E762421" w14:textId="77777777" w:rsidR="00104E97" w:rsidRDefault="00104E97" w:rsidP="00104E97">
      <w:r>
        <w:t>Bulgaria — 1 December 1996</w:t>
      </w:r>
    </w:p>
    <w:p w14:paraId="6554B81D" w14:textId="77777777" w:rsidR="00104E97" w:rsidRDefault="00104E97" w:rsidP="00104E97">
      <w:r>
        <w:t>Burkina Faso — 3 June 1995</w:t>
      </w:r>
    </w:p>
    <w:p w14:paraId="7E281E3A" w14:textId="77777777" w:rsidR="00104E97" w:rsidRDefault="00104E97" w:rsidP="00104E97">
      <w:r>
        <w:t>Burundi — 23 July 1995</w:t>
      </w:r>
    </w:p>
    <w:p w14:paraId="641C9446" w14:textId="77777777" w:rsidR="00104E97" w:rsidRDefault="00104E97" w:rsidP="00104E97">
      <w:r>
        <w:t>C</w:t>
      </w:r>
    </w:p>
    <w:p w14:paraId="37712F5A" w14:textId="77777777" w:rsidR="00104E97" w:rsidRDefault="00104E97" w:rsidP="00104E97">
      <w:r>
        <w:t>Cabo Verde — 23 July 2008</w:t>
      </w:r>
    </w:p>
    <w:p w14:paraId="0C325515" w14:textId="77777777" w:rsidR="00104E97" w:rsidRDefault="00104E97" w:rsidP="00104E97">
      <w:r>
        <w:t>Cambodia — 13 October 2004</w:t>
      </w:r>
    </w:p>
    <w:p w14:paraId="01F6C1C0" w14:textId="77777777" w:rsidR="00104E97" w:rsidRDefault="00104E97" w:rsidP="00104E97">
      <w:r>
        <w:t>Cameroon — 13 December 1995</w:t>
      </w:r>
    </w:p>
    <w:p w14:paraId="7273A249" w14:textId="77777777" w:rsidR="00104E97" w:rsidRDefault="00104E97" w:rsidP="00104E97">
      <w:r>
        <w:t>Canada — 1 January 1995</w:t>
      </w:r>
    </w:p>
    <w:p w14:paraId="5925CBEC" w14:textId="77777777" w:rsidR="00104E97" w:rsidRDefault="00104E97" w:rsidP="00104E97">
      <w:r>
        <w:t>Central African Republic — 31 May 1995</w:t>
      </w:r>
    </w:p>
    <w:p w14:paraId="1A0D01D1" w14:textId="77777777" w:rsidR="00104E97" w:rsidRDefault="00104E97" w:rsidP="00104E97">
      <w:r>
        <w:t>Chad — 19 October 1996</w:t>
      </w:r>
    </w:p>
    <w:p w14:paraId="000B63AE" w14:textId="77777777" w:rsidR="00104E97" w:rsidRDefault="00104E97" w:rsidP="00104E97">
      <w:r>
        <w:t>Chile — 1 January 1995</w:t>
      </w:r>
    </w:p>
    <w:p w14:paraId="4FFBB8E4" w14:textId="77777777" w:rsidR="00104E97" w:rsidRDefault="00104E97" w:rsidP="00104E97">
      <w:r>
        <w:t>China — 11 December 2001</w:t>
      </w:r>
    </w:p>
    <w:p w14:paraId="06F0E2E4" w14:textId="77777777" w:rsidR="00104E97" w:rsidRDefault="00104E97" w:rsidP="00104E97">
      <w:r>
        <w:t>Colombia — 30 April 1995</w:t>
      </w:r>
    </w:p>
    <w:p w14:paraId="623D00B2" w14:textId="77777777" w:rsidR="00104E97" w:rsidRDefault="00104E97" w:rsidP="00104E97">
      <w:r>
        <w:t>Congo — 27 March 1997</w:t>
      </w:r>
    </w:p>
    <w:p w14:paraId="59508B86" w14:textId="77777777" w:rsidR="00104E97" w:rsidRDefault="00104E97" w:rsidP="00104E97">
      <w:r>
        <w:t>Costa Rica — 1 January 1995</w:t>
      </w:r>
    </w:p>
    <w:p w14:paraId="02056BE0" w14:textId="77777777" w:rsidR="00104E97" w:rsidRDefault="00104E97" w:rsidP="00104E97">
      <w:r>
        <w:t>Côte d’Ivoire — 1 January 1995</w:t>
      </w:r>
    </w:p>
    <w:p w14:paraId="25081BD6" w14:textId="77777777" w:rsidR="00104E97" w:rsidRDefault="00104E97" w:rsidP="00104E97">
      <w:r w:rsidRPr="00972178">
        <w:t>Croatia</w:t>
      </w:r>
      <w:r>
        <w:t xml:space="preserve"> — 30 November 2000</w:t>
      </w:r>
    </w:p>
    <w:p w14:paraId="4320A1B5" w14:textId="77777777" w:rsidR="00104E97" w:rsidRDefault="00104E97" w:rsidP="00104E97">
      <w:r>
        <w:t>Cuba — 20 April 1995</w:t>
      </w:r>
    </w:p>
    <w:p w14:paraId="55E879BD" w14:textId="77777777" w:rsidR="00104E97" w:rsidRDefault="00104E97" w:rsidP="00104E97">
      <w:r>
        <w:t>Cyprus — 30 July 1995</w:t>
      </w:r>
    </w:p>
    <w:p w14:paraId="52933175" w14:textId="77777777" w:rsidR="00104E97" w:rsidRDefault="00104E97" w:rsidP="00104E97">
      <w:r>
        <w:t>Czech Republic — 1 January 1995</w:t>
      </w:r>
    </w:p>
    <w:p w14:paraId="73DD419F" w14:textId="77777777" w:rsidR="00104E97" w:rsidRDefault="00104E97" w:rsidP="00104E97">
      <w:r>
        <w:t>D</w:t>
      </w:r>
    </w:p>
    <w:p w14:paraId="0A2B7517" w14:textId="77777777" w:rsidR="00104E97" w:rsidRDefault="00104E97" w:rsidP="00104E97">
      <w:r>
        <w:t>Democratic Republic of the Congo — 1 January 1997</w:t>
      </w:r>
    </w:p>
    <w:p w14:paraId="40379E71" w14:textId="77777777" w:rsidR="00104E97" w:rsidRDefault="00104E97" w:rsidP="00104E97">
      <w:r>
        <w:t>Denmark — 1 January 1995</w:t>
      </w:r>
    </w:p>
    <w:p w14:paraId="30C61989" w14:textId="77777777" w:rsidR="00104E97" w:rsidRDefault="00104E97" w:rsidP="00104E97">
      <w:r>
        <w:t>Djibouti — 31 May 1995</w:t>
      </w:r>
    </w:p>
    <w:p w14:paraId="3ACE775C" w14:textId="77777777" w:rsidR="00104E97" w:rsidRDefault="00104E97" w:rsidP="00104E97">
      <w:r>
        <w:t>Dominica — 1 January 1995</w:t>
      </w:r>
    </w:p>
    <w:p w14:paraId="1DC5CF0E" w14:textId="77777777" w:rsidR="00104E97" w:rsidRDefault="00104E97" w:rsidP="00104E97">
      <w:r>
        <w:t>Dominican Republic — 9 March 1995</w:t>
      </w:r>
    </w:p>
    <w:p w14:paraId="48A4FC44" w14:textId="77777777" w:rsidR="00104E97" w:rsidRDefault="00104E97" w:rsidP="00104E97">
      <w:r>
        <w:t>E</w:t>
      </w:r>
    </w:p>
    <w:p w14:paraId="7C6E8EAC" w14:textId="77777777" w:rsidR="00104E97" w:rsidRDefault="00104E97" w:rsidP="00104E97">
      <w:r>
        <w:t>Ecuador — 21 January 1996</w:t>
      </w:r>
    </w:p>
    <w:p w14:paraId="386451BF" w14:textId="77777777" w:rsidR="00104E97" w:rsidRDefault="00104E97" w:rsidP="00104E97">
      <w:r>
        <w:t>Egypt — 30 June 1995</w:t>
      </w:r>
    </w:p>
    <w:p w14:paraId="7BA0F090" w14:textId="77777777" w:rsidR="00104E97" w:rsidRDefault="00104E97" w:rsidP="00104E97">
      <w:r>
        <w:t>El Salvador — 7 May 1995</w:t>
      </w:r>
    </w:p>
    <w:p w14:paraId="6839BEE5" w14:textId="77777777" w:rsidR="00104E97" w:rsidRDefault="00104E97" w:rsidP="00104E97">
      <w:r>
        <w:t>Estonia — 13 November 1999</w:t>
      </w:r>
    </w:p>
    <w:p w14:paraId="0A5D3754" w14:textId="77777777" w:rsidR="00104E97" w:rsidRDefault="00104E97" w:rsidP="00104E97">
      <w:r>
        <w:t>Eswatini — 1 January 1995</w:t>
      </w:r>
    </w:p>
    <w:p w14:paraId="352046B7" w14:textId="77777777" w:rsidR="00104E97" w:rsidRDefault="00104E97" w:rsidP="00104E97">
      <w:r>
        <w:t>European Union (formerly EC) — 1 January 1995</w:t>
      </w:r>
    </w:p>
    <w:p w14:paraId="3245B2F9" w14:textId="77777777" w:rsidR="00104E97" w:rsidRDefault="00104E97" w:rsidP="00104E97">
      <w:r>
        <w:t>F</w:t>
      </w:r>
    </w:p>
    <w:p w14:paraId="36EFC1CA" w14:textId="77777777" w:rsidR="00104E97" w:rsidRDefault="00104E97" w:rsidP="00104E97">
      <w:r>
        <w:t>Fiji — 14 January 1996</w:t>
      </w:r>
    </w:p>
    <w:p w14:paraId="26EA393A" w14:textId="77777777" w:rsidR="00104E97" w:rsidRDefault="00104E97" w:rsidP="00104E97">
      <w:r>
        <w:t>Finland — 1 January 1995</w:t>
      </w:r>
    </w:p>
    <w:p w14:paraId="02A22D8E" w14:textId="77777777" w:rsidR="00104E97" w:rsidRDefault="00104E97" w:rsidP="00104E97">
      <w:r>
        <w:t>France — 1 January 1995</w:t>
      </w:r>
    </w:p>
    <w:p w14:paraId="22BA5F01" w14:textId="77777777" w:rsidR="00104E97" w:rsidRDefault="00104E97" w:rsidP="00104E97">
      <w:r>
        <w:t>G</w:t>
      </w:r>
    </w:p>
    <w:p w14:paraId="62DB689A" w14:textId="77777777" w:rsidR="00104E97" w:rsidRDefault="00104E97" w:rsidP="00104E97">
      <w:r>
        <w:t>Gabon — 1 January 1995</w:t>
      </w:r>
    </w:p>
    <w:p w14:paraId="1648D87B" w14:textId="77777777" w:rsidR="00104E97" w:rsidRDefault="00104E97" w:rsidP="00104E97">
      <w:r>
        <w:t>Gambia — 23 October 1996</w:t>
      </w:r>
    </w:p>
    <w:p w14:paraId="03A595D1" w14:textId="77777777" w:rsidR="00104E97" w:rsidRDefault="00104E97" w:rsidP="00104E97">
      <w:r>
        <w:t>Georgia — 14 June 2000</w:t>
      </w:r>
    </w:p>
    <w:p w14:paraId="02713012" w14:textId="77777777" w:rsidR="00104E97" w:rsidRDefault="00104E97" w:rsidP="00104E97">
      <w:r>
        <w:t>Germany — 1 January 1995</w:t>
      </w:r>
    </w:p>
    <w:p w14:paraId="4B4DDE68" w14:textId="77777777" w:rsidR="00104E97" w:rsidRDefault="00104E97" w:rsidP="00104E97">
      <w:r>
        <w:t>Ghana — 1 January 1995</w:t>
      </w:r>
    </w:p>
    <w:p w14:paraId="055A1AA6" w14:textId="77777777" w:rsidR="00104E97" w:rsidRDefault="00104E97" w:rsidP="00104E97">
      <w:r>
        <w:t>Greece — 1 January 1995</w:t>
      </w:r>
    </w:p>
    <w:p w14:paraId="6CBCF4C5" w14:textId="77777777" w:rsidR="00104E97" w:rsidRDefault="00104E97" w:rsidP="00104E97">
      <w:r>
        <w:t>Grenada — 22 February 1996</w:t>
      </w:r>
    </w:p>
    <w:p w14:paraId="280718B0" w14:textId="77777777" w:rsidR="00104E97" w:rsidRDefault="00104E97" w:rsidP="00104E97">
      <w:r>
        <w:t>Guatemala — 21 July 1995</w:t>
      </w:r>
    </w:p>
    <w:p w14:paraId="334AD9CD" w14:textId="77777777" w:rsidR="00104E97" w:rsidRDefault="00104E97" w:rsidP="00104E97">
      <w:r>
        <w:t>Guinea — 25 October 1995</w:t>
      </w:r>
    </w:p>
    <w:p w14:paraId="59925A59" w14:textId="77777777" w:rsidR="00104E97" w:rsidRDefault="00104E97" w:rsidP="00104E97">
      <w:r>
        <w:t>Guinea-Bissau — 31 May 1995</w:t>
      </w:r>
    </w:p>
    <w:p w14:paraId="5EA0F01B" w14:textId="77777777" w:rsidR="00104E97" w:rsidRDefault="00104E97" w:rsidP="00104E97">
      <w:r>
        <w:t>Guyana — 1 January 1995</w:t>
      </w:r>
    </w:p>
    <w:p w14:paraId="5F282B9A" w14:textId="77777777" w:rsidR="00104E97" w:rsidRDefault="00104E97" w:rsidP="00104E97">
      <w:r>
        <w:t>H</w:t>
      </w:r>
    </w:p>
    <w:p w14:paraId="231D8D16" w14:textId="77777777" w:rsidR="00104E97" w:rsidRDefault="00104E97" w:rsidP="00104E97">
      <w:r>
        <w:t>Haiti — 30 January 1996</w:t>
      </w:r>
    </w:p>
    <w:p w14:paraId="3FBA4C2D" w14:textId="77777777" w:rsidR="00104E97" w:rsidRDefault="00104E97" w:rsidP="00104E97">
      <w:r>
        <w:t>Honduras — 1 January 1995</w:t>
      </w:r>
    </w:p>
    <w:p w14:paraId="69092340" w14:textId="77777777" w:rsidR="00104E97" w:rsidRDefault="00104E97" w:rsidP="00104E97">
      <w:r>
        <w:t>Hong Kong, China — 1 January 1995</w:t>
      </w:r>
    </w:p>
    <w:p w14:paraId="1E9A4457" w14:textId="77777777" w:rsidR="00104E97" w:rsidRDefault="00104E97" w:rsidP="00104E97">
      <w:r>
        <w:t>Hungary — 1 January 1995</w:t>
      </w:r>
    </w:p>
    <w:p w14:paraId="1F3C7B46" w14:textId="77777777" w:rsidR="00104E97" w:rsidRDefault="00104E97" w:rsidP="00104E97">
      <w:r>
        <w:t>I</w:t>
      </w:r>
    </w:p>
    <w:p w14:paraId="6E51F2B6" w14:textId="77777777" w:rsidR="00104E97" w:rsidRDefault="00104E97" w:rsidP="00104E97">
      <w:r>
        <w:t>Iceland — 1 January 1995</w:t>
      </w:r>
    </w:p>
    <w:p w14:paraId="58D9187E" w14:textId="77777777" w:rsidR="00104E97" w:rsidRDefault="00104E97" w:rsidP="00104E97">
      <w:r>
        <w:t>India — 1 January 1995</w:t>
      </w:r>
    </w:p>
    <w:p w14:paraId="1B8D74AA" w14:textId="77777777" w:rsidR="00104E97" w:rsidRDefault="00104E97" w:rsidP="00104E97">
      <w:r>
        <w:t>Indonesia — 1 January 1995</w:t>
      </w:r>
    </w:p>
    <w:p w14:paraId="1CC15DE6" w14:textId="77777777" w:rsidR="00104E97" w:rsidRDefault="00104E97" w:rsidP="00104E97">
      <w:r>
        <w:t>Ireland — 1 January 1995</w:t>
      </w:r>
    </w:p>
    <w:p w14:paraId="413C069D" w14:textId="77777777" w:rsidR="00104E97" w:rsidRDefault="00104E97" w:rsidP="00104E97">
      <w:r>
        <w:t>Israel — 21 April 1995</w:t>
      </w:r>
    </w:p>
    <w:p w14:paraId="36D68882" w14:textId="77777777" w:rsidR="00104E97" w:rsidRDefault="00104E97" w:rsidP="00104E97">
      <w:r>
        <w:t>Italy — 1 January 1995</w:t>
      </w:r>
    </w:p>
    <w:p w14:paraId="5F3FA40A" w14:textId="77777777" w:rsidR="00104E97" w:rsidRDefault="00104E97" w:rsidP="00104E97">
      <w:r>
        <w:t>J</w:t>
      </w:r>
    </w:p>
    <w:p w14:paraId="2784F20B" w14:textId="77777777" w:rsidR="00104E97" w:rsidRDefault="00104E97" w:rsidP="00104E97">
      <w:r>
        <w:t>Jamaica — 9 March 1995</w:t>
      </w:r>
    </w:p>
    <w:p w14:paraId="324664BE" w14:textId="77777777" w:rsidR="00104E97" w:rsidRDefault="00104E97" w:rsidP="00104E97">
      <w:r>
        <w:t>Japan — 1 January 1995</w:t>
      </w:r>
    </w:p>
    <w:p w14:paraId="51939135" w14:textId="77777777" w:rsidR="00104E97" w:rsidRDefault="00104E97" w:rsidP="00104E97">
      <w:r>
        <w:t>Jordan — 11 April 2000</w:t>
      </w:r>
    </w:p>
    <w:p w14:paraId="25368356" w14:textId="77777777" w:rsidR="00104E97" w:rsidRDefault="00104E97" w:rsidP="00104E97">
      <w:r>
        <w:t>K</w:t>
      </w:r>
    </w:p>
    <w:p w14:paraId="37592EFE" w14:textId="77777777" w:rsidR="00104E97" w:rsidRDefault="00104E97" w:rsidP="00104E97">
      <w:r>
        <w:t>Kazakhstan — 30 November 2015</w:t>
      </w:r>
    </w:p>
    <w:p w14:paraId="736C9B50" w14:textId="77777777" w:rsidR="00104E97" w:rsidRDefault="00104E97" w:rsidP="00104E97">
      <w:r>
        <w:t>Kenya — 1 January 1995</w:t>
      </w:r>
    </w:p>
    <w:p w14:paraId="288F527C" w14:textId="77777777" w:rsidR="00104E97" w:rsidRDefault="00104E97" w:rsidP="00104E97">
      <w:r>
        <w:t>Korea, Republic of — 1 January 1995</w:t>
      </w:r>
    </w:p>
    <w:p w14:paraId="1D5C33CB" w14:textId="77777777" w:rsidR="00104E97" w:rsidRDefault="00104E97" w:rsidP="00104E97">
      <w:r>
        <w:t>Kuwait, the State of — 1 January 1995</w:t>
      </w:r>
    </w:p>
    <w:p w14:paraId="753BB6EE" w14:textId="77777777" w:rsidR="00104E97" w:rsidRDefault="00104E97" w:rsidP="00104E97">
      <w:r>
        <w:t>Kyrgyz Republic — 20 December 1998</w:t>
      </w:r>
    </w:p>
    <w:p w14:paraId="0EE5AD8B" w14:textId="77777777" w:rsidR="00104E97" w:rsidRDefault="00104E97" w:rsidP="00104E97">
      <w:r>
        <w:t>L</w:t>
      </w:r>
    </w:p>
    <w:p w14:paraId="1C3F6253" w14:textId="77777777" w:rsidR="00104E97" w:rsidRDefault="00104E97" w:rsidP="00104E97">
      <w:r>
        <w:t>Lao People’s Democratic Republic — 2 February 2013</w:t>
      </w:r>
    </w:p>
    <w:p w14:paraId="46ABBFCD" w14:textId="77777777" w:rsidR="00104E97" w:rsidRDefault="00104E97" w:rsidP="00104E97">
      <w:r>
        <w:t>Latvia — 10 February 1999</w:t>
      </w:r>
    </w:p>
    <w:p w14:paraId="45E9F769" w14:textId="77777777" w:rsidR="00104E97" w:rsidRDefault="00104E97" w:rsidP="00104E97">
      <w:r>
        <w:t>Lesotho — 31 May 1995</w:t>
      </w:r>
    </w:p>
    <w:p w14:paraId="3BC54C1D" w14:textId="77777777" w:rsidR="00104E97" w:rsidRDefault="00104E97" w:rsidP="00104E97">
      <w:r>
        <w:t>Liberia — 14 July 2016</w:t>
      </w:r>
    </w:p>
    <w:p w14:paraId="1B05CDA1" w14:textId="77777777" w:rsidR="00104E97" w:rsidRDefault="00104E97" w:rsidP="00104E97">
      <w:r>
        <w:t>Liechtenstein — 1 September 1995</w:t>
      </w:r>
    </w:p>
    <w:p w14:paraId="48AE4BD7" w14:textId="77777777" w:rsidR="00104E97" w:rsidRDefault="00104E97" w:rsidP="00104E97">
      <w:r>
        <w:t>Lithuania — 31 May 2001</w:t>
      </w:r>
    </w:p>
    <w:p w14:paraId="61A05357" w14:textId="77777777" w:rsidR="00104E97" w:rsidRDefault="00104E97" w:rsidP="00104E97">
      <w:r>
        <w:t>Luxembourg — 1 January 1995</w:t>
      </w:r>
    </w:p>
    <w:p w14:paraId="5EAA2172" w14:textId="77777777" w:rsidR="00104E97" w:rsidRDefault="00104E97" w:rsidP="00104E97">
      <w:r>
        <w:t>M</w:t>
      </w:r>
    </w:p>
    <w:p w14:paraId="3FD20162" w14:textId="77777777" w:rsidR="00104E97" w:rsidRDefault="00104E97" w:rsidP="00104E97">
      <w:r>
        <w:t>Macao, China — 1 January 1995</w:t>
      </w:r>
    </w:p>
    <w:p w14:paraId="768BE6D0" w14:textId="77777777" w:rsidR="00104E97" w:rsidRDefault="00104E97" w:rsidP="00104E97">
      <w:r>
        <w:t>Madagascar — 17 November 1995</w:t>
      </w:r>
    </w:p>
    <w:p w14:paraId="7022AE13" w14:textId="77777777" w:rsidR="00104E97" w:rsidRDefault="00104E97" w:rsidP="00104E97">
      <w:r>
        <w:t>Malawi — 31 May 1995</w:t>
      </w:r>
    </w:p>
    <w:p w14:paraId="7D7CFA1F" w14:textId="77777777" w:rsidR="00104E97" w:rsidRDefault="00104E97" w:rsidP="00104E97">
      <w:r>
        <w:t>Malaysia — 1 January 1995</w:t>
      </w:r>
    </w:p>
    <w:p w14:paraId="3E9474C4" w14:textId="77777777" w:rsidR="00104E97" w:rsidRDefault="00104E97" w:rsidP="00104E97">
      <w:r>
        <w:t>Maldives — 31 May 1995</w:t>
      </w:r>
    </w:p>
    <w:p w14:paraId="605066A2" w14:textId="77777777" w:rsidR="00104E97" w:rsidRDefault="00104E97" w:rsidP="00104E97">
      <w:r>
        <w:t>Mali — 31 May 1995</w:t>
      </w:r>
    </w:p>
    <w:p w14:paraId="077E301E" w14:textId="77777777" w:rsidR="00104E97" w:rsidRDefault="00104E97" w:rsidP="00104E97">
      <w:r>
        <w:t>Malta — 1 January 1995</w:t>
      </w:r>
    </w:p>
    <w:p w14:paraId="0F08AB85" w14:textId="77777777" w:rsidR="00104E97" w:rsidRDefault="00104E97" w:rsidP="00104E97">
      <w:r>
        <w:t>Mauritania — 31 May 1995</w:t>
      </w:r>
    </w:p>
    <w:p w14:paraId="5AA8BEC5" w14:textId="77777777" w:rsidR="00104E97" w:rsidRDefault="00104E97" w:rsidP="00104E97">
      <w:r>
        <w:t>Mauritius — 1 January 1995</w:t>
      </w:r>
    </w:p>
    <w:p w14:paraId="16AB60EA" w14:textId="77777777" w:rsidR="00104E97" w:rsidRDefault="00104E97" w:rsidP="00104E97">
      <w:r>
        <w:t>Mexico — 1 January 1995</w:t>
      </w:r>
    </w:p>
    <w:p w14:paraId="47B1A036" w14:textId="77777777" w:rsidR="00104E97" w:rsidRDefault="00104E97" w:rsidP="00104E97">
      <w:r w:rsidRPr="00972178">
        <w:t>Moldova, Republic of</w:t>
      </w:r>
      <w:r>
        <w:t xml:space="preserve"> — 26 July 2001</w:t>
      </w:r>
    </w:p>
    <w:p w14:paraId="045C2218" w14:textId="77777777" w:rsidR="00104E97" w:rsidRDefault="00104E97" w:rsidP="00104E97">
      <w:r>
        <w:t>Mongolia — 29 January 1997</w:t>
      </w:r>
    </w:p>
    <w:p w14:paraId="5D94AA77" w14:textId="77777777" w:rsidR="00104E97" w:rsidRDefault="00104E97" w:rsidP="00104E97">
      <w:r>
        <w:t>Montenegro — 29 April 2012</w:t>
      </w:r>
    </w:p>
    <w:p w14:paraId="2B5C7677" w14:textId="77777777" w:rsidR="00104E97" w:rsidRDefault="00104E97" w:rsidP="00104E97">
      <w:r>
        <w:t>Morocco — 1 January 1995</w:t>
      </w:r>
    </w:p>
    <w:p w14:paraId="153987E7" w14:textId="77777777" w:rsidR="00104E97" w:rsidRDefault="00104E97" w:rsidP="00104E97">
      <w:r>
        <w:t>Mozambique — 26 August 1995</w:t>
      </w:r>
    </w:p>
    <w:p w14:paraId="5B1F6622" w14:textId="77777777" w:rsidR="00104E97" w:rsidRDefault="00104E97" w:rsidP="00104E97">
      <w:r>
        <w:t>Myanmar — 1 January 1995</w:t>
      </w:r>
    </w:p>
    <w:p w14:paraId="5E9E0F8D" w14:textId="77777777" w:rsidR="00104E97" w:rsidRDefault="00104E97" w:rsidP="00104E97">
      <w:r>
        <w:t>N</w:t>
      </w:r>
    </w:p>
    <w:p w14:paraId="70C76EF5" w14:textId="77777777" w:rsidR="00104E97" w:rsidRDefault="00104E97" w:rsidP="00104E97">
      <w:r>
        <w:t>Namibia — 1 January 1995</w:t>
      </w:r>
    </w:p>
    <w:p w14:paraId="2DF8ABEF" w14:textId="77777777" w:rsidR="00104E97" w:rsidRDefault="00104E97" w:rsidP="00104E97">
      <w:r>
        <w:t>Nepal — 23 April 2004</w:t>
      </w:r>
    </w:p>
    <w:p w14:paraId="37E8BE46" w14:textId="77777777" w:rsidR="00104E97" w:rsidRDefault="00104E97" w:rsidP="00104E97">
      <w:r>
        <w:t>Netherlands — 1 January 1995</w:t>
      </w:r>
    </w:p>
    <w:p w14:paraId="76D86416" w14:textId="77777777" w:rsidR="00104E97" w:rsidRDefault="00104E97" w:rsidP="00104E97">
      <w:r>
        <w:t>New Zealand — 1 January 1995</w:t>
      </w:r>
    </w:p>
    <w:p w14:paraId="668485F8" w14:textId="77777777" w:rsidR="00104E97" w:rsidRDefault="00104E97" w:rsidP="00104E97">
      <w:r>
        <w:t>Nicaragua — 3 September 1995</w:t>
      </w:r>
    </w:p>
    <w:p w14:paraId="05145D2E" w14:textId="77777777" w:rsidR="00104E97" w:rsidRDefault="00104E97" w:rsidP="00104E97">
      <w:r>
        <w:t>Niger — 13 December 1996</w:t>
      </w:r>
    </w:p>
    <w:p w14:paraId="79475844" w14:textId="77777777" w:rsidR="00104E97" w:rsidRDefault="00104E97" w:rsidP="00104E97">
      <w:r>
        <w:t>Nigeria — 1 January 1995</w:t>
      </w:r>
    </w:p>
    <w:p w14:paraId="41122F80" w14:textId="77777777" w:rsidR="00104E97" w:rsidRDefault="00104E97" w:rsidP="00104E97">
      <w:r>
        <w:t>North Macedonia — 4 April 2003</w:t>
      </w:r>
    </w:p>
    <w:p w14:paraId="71B512A5" w14:textId="77777777" w:rsidR="00104E97" w:rsidRDefault="00104E97" w:rsidP="00104E97">
      <w:r>
        <w:t>Norway — 1 January 1995</w:t>
      </w:r>
    </w:p>
    <w:p w14:paraId="4A993947" w14:textId="77777777" w:rsidR="00104E97" w:rsidRDefault="00104E97" w:rsidP="00104E97">
      <w:r>
        <w:t>O</w:t>
      </w:r>
    </w:p>
    <w:p w14:paraId="73374403" w14:textId="77777777" w:rsidR="00104E97" w:rsidRDefault="00104E97" w:rsidP="00104E97">
      <w:r>
        <w:t>Oman — 9 November 2000</w:t>
      </w:r>
    </w:p>
    <w:p w14:paraId="2A392485" w14:textId="77777777" w:rsidR="00104E97" w:rsidRDefault="00104E97" w:rsidP="00104E97">
      <w:r>
        <w:t>P</w:t>
      </w:r>
    </w:p>
    <w:p w14:paraId="6D3ADEDA" w14:textId="77777777" w:rsidR="00104E97" w:rsidRDefault="00104E97" w:rsidP="00104E97">
      <w:r>
        <w:t>Pakistan — 1 January 1995</w:t>
      </w:r>
    </w:p>
    <w:p w14:paraId="0684378D" w14:textId="77777777" w:rsidR="00104E97" w:rsidRDefault="00104E97" w:rsidP="00104E97">
      <w:r>
        <w:t>Panama — 6 September 1997</w:t>
      </w:r>
    </w:p>
    <w:p w14:paraId="1953D47F" w14:textId="77777777" w:rsidR="00104E97" w:rsidRDefault="00104E97" w:rsidP="00104E97">
      <w:r>
        <w:t>Papua New Guinea — 9 June 1996</w:t>
      </w:r>
    </w:p>
    <w:p w14:paraId="400BCF6C" w14:textId="77777777" w:rsidR="00104E97" w:rsidRDefault="00104E97" w:rsidP="00104E97">
      <w:r>
        <w:t>Paraguay — 1 January 1995</w:t>
      </w:r>
    </w:p>
    <w:p w14:paraId="2021406C" w14:textId="77777777" w:rsidR="00104E97" w:rsidRDefault="00104E97" w:rsidP="00104E97">
      <w:r>
        <w:t>Peru — 1 January 1995</w:t>
      </w:r>
    </w:p>
    <w:p w14:paraId="36B12F13" w14:textId="77777777" w:rsidR="00104E97" w:rsidRDefault="00104E97" w:rsidP="00104E97">
      <w:r>
        <w:t>Philippines — 1 January 1995</w:t>
      </w:r>
    </w:p>
    <w:p w14:paraId="4667BC73" w14:textId="77777777" w:rsidR="00104E97" w:rsidRDefault="00104E97" w:rsidP="00104E97">
      <w:r>
        <w:t>Poland — 1 July 1995</w:t>
      </w:r>
    </w:p>
    <w:p w14:paraId="14B56BBC" w14:textId="77777777" w:rsidR="00104E97" w:rsidRDefault="00104E97" w:rsidP="00104E97">
      <w:r>
        <w:t>Portugal — 1 January 1995</w:t>
      </w:r>
    </w:p>
    <w:p w14:paraId="0EF2CA9D" w14:textId="77777777" w:rsidR="00104E97" w:rsidRDefault="00104E97" w:rsidP="00104E97">
      <w:r>
        <w:t>Q</w:t>
      </w:r>
    </w:p>
    <w:p w14:paraId="1353AF2C" w14:textId="77777777" w:rsidR="00104E97" w:rsidRDefault="00104E97" w:rsidP="00104E97">
      <w:r>
        <w:t>Qatar — 13 January 1996</w:t>
      </w:r>
    </w:p>
    <w:p w14:paraId="0C73DF10" w14:textId="77777777" w:rsidR="00104E97" w:rsidRDefault="00104E97" w:rsidP="00104E97">
      <w:r>
        <w:t>R</w:t>
      </w:r>
    </w:p>
    <w:p w14:paraId="54412581" w14:textId="77777777" w:rsidR="00104E97" w:rsidRDefault="00104E97" w:rsidP="00104E97">
      <w:r>
        <w:t>Romania — 1 January 1995</w:t>
      </w:r>
    </w:p>
    <w:p w14:paraId="6248A4A5" w14:textId="77777777" w:rsidR="00104E97" w:rsidRDefault="00104E97" w:rsidP="00104E97">
      <w:r>
        <w:t>Russian Federation — 22 August 2012</w:t>
      </w:r>
    </w:p>
    <w:p w14:paraId="17E14588" w14:textId="77777777" w:rsidR="00104E97" w:rsidRDefault="00104E97" w:rsidP="00104E97">
      <w:r>
        <w:t>Rwanda — 22 May 1996</w:t>
      </w:r>
    </w:p>
    <w:p w14:paraId="383521FD" w14:textId="77777777" w:rsidR="00104E97" w:rsidRDefault="00104E97" w:rsidP="00104E97">
      <w:r>
        <w:t>S</w:t>
      </w:r>
    </w:p>
    <w:p w14:paraId="6965A77F" w14:textId="77777777" w:rsidR="00104E97" w:rsidRDefault="00104E97" w:rsidP="00104E97">
      <w:r>
        <w:t>Saint Kitts and Nevis — 21 February 1996</w:t>
      </w:r>
    </w:p>
    <w:p w14:paraId="7BD7A300" w14:textId="77777777" w:rsidR="00104E97" w:rsidRDefault="00104E97" w:rsidP="00104E97">
      <w:r>
        <w:t>Saint Lucia — 1 January 1995</w:t>
      </w:r>
    </w:p>
    <w:p w14:paraId="1A953E79" w14:textId="77777777" w:rsidR="00104E97" w:rsidRDefault="00104E97" w:rsidP="00104E97">
      <w:r>
        <w:t>Saint Vincent and the Grenadines — 1 January 1995</w:t>
      </w:r>
    </w:p>
    <w:p w14:paraId="6A8A6B04" w14:textId="77777777" w:rsidR="00104E97" w:rsidRDefault="00104E97" w:rsidP="00104E97">
      <w:r>
        <w:t>Samoa — 10 May 2012</w:t>
      </w:r>
    </w:p>
    <w:p w14:paraId="5B386818" w14:textId="77777777" w:rsidR="00104E97" w:rsidRDefault="00104E97" w:rsidP="00104E97">
      <w:r>
        <w:t>Saudi Arabia, Kingdom of — 11 December 2005</w:t>
      </w:r>
    </w:p>
    <w:p w14:paraId="1DFE5349" w14:textId="77777777" w:rsidR="00104E97" w:rsidRDefault="00104E97" w:rsidP="00104E97">
      <w:r>
        <w:t>Senegal — 1 January 1995</w:t>
      </w:r>
    </w:p>
    <w:p w14:paraId="40CDE6F2" w14:textId="77777777" w:rsidR="00104E97" w:rsidRDefault="00104E97" w:rsidP="00104E97">
      <w:r>
        <w:t>Seychelles — 26 April 2015</w:t>
      </w:r>
    </w:p>
    <w:p w14:paraId="36219A12" w14:textId="77777777" w:rsidR="00104E97" w:rsidRDefault="00104E97" w:rsidP="00104E97">
      <w:r>
        <w:t>Sierra Leone — 23 July 1995</w:t>
      </w:r>
    </w:p>
    <w:p w14:paraId="42207B4E" w14:textId="77777777" w:rsidR="00104E97" w:rsidRDefault="00104E97" w:rsidP="00104E97">
      <w:r>
        <w:t>Singapore — 1 January 1995</w:t>
      </w:r>
    </w:p>
    <w:p w14:paraId="73274636" w14:textId="77777777" w:rsidR="00104E97" w:rsidRDefault="00104E97" w:rsidP="00104E97">
      <w:r>
        <w:t>Slovak Republic — 1 January 1995</w:t>
      </w:r>
    </w:p>
    <w:p w14:paraId="44BD6E84" w14:textId="77777777" w:rsidR="00104E97" w:rsidRDefault="00104E97" w:rsidP="00104E97">
      <w:r>
        <w:t>Slovenia — 30 July 1995</w:t>
      </w:r>
    </w:p>
    <w:p w14:paraId="3245A32F" w14:textId="77777777" w:rsidR="00104E97" w:rsidRDefault="00104E97" w:rsidP="00104E97">
      <w:r>
        <w:t>Solomon Islands — 26 July 1996</w:t>
      </w:r>
    </w:p>
    <w:p w14:paraId="349204C3" w14:textId="77777777" w:rsidR="00104E97" w:rsidRDefault="00104E97" w:rsidP="00104E97">
      <w:r>
        <w:t>South Africa — 1 January 1995</w:t>
      </w:r>
    </w:p>
    <w:p w14:paraId="60CD79A4" w14:textId="77777777" w:rsidR="00104E97" w:rsidRDefault="00104E97" w:rsidP="00104E97">
      <w:r>
        <w:t>Spain — 1 January 1995</w:t>
      </w:r>
    </w:p>
    <w:p w14:paraId="45C06963" w14:textId="77777777" w:rsidR="00104E97" w:rsidRDefault="00104E97" w:rsidP="00104E97">
      <w:r>
        <w:t>Sri Lanka — 1 January 1995</w:t>
      </w:r>
    </w:p>
    <w:p w14:paraId="0197C885" w14:textId="77777777" w:rsidR="00104E97" w:rsidRDefault="00104E97" w:rsidP="00104E97">
      <w:r>
        <w:t>Suriname — 1 January 1995</w:t>
      </w:r>
    </w:p>
    <w:p w14:paraId="36F449B8" w14:textId="77777777" w:rsidR="00104E97" w:rsidRDefault="00104E97" w:rsidP="00104E97">
      <w:r>
        <w:t>Sweden — 1 January 1995</w:t>
      </w:r>
    </w:p>
    <w:p w14:paraId="54BCE28C" w14:textId="77777777" w:rsidR="00104E97" w:rsidRDefault="00104E97" w:rsidP="00104E97">
      <w:r>
        <w:t>Switzerland — 1 July 1995</w:t>
      </w:r>
    </w:p>
    <w:p w14:paraId="6D4BFDD5" w14:textId="77777777" w:rsidR="00104E97" w:rsidRDefault="00104E97" w:rsidP="00104E97">
      <w:r>
        <w:t>T</w:t>
      </w:r>
    </w:p>
    <w:p w14:paraId="1755C094" w14:textId="77777777" w:rsidR="00104E97" w:rsidRDefault="00104E97" w:rsidP="00104E97">
      <w:r>
        <w:t>Chinese Taipei — 1 January 2002</w:t>
      </w:r>
    </w:p>
    <w:p w14:paraId="4FC9AC55" w14:textId="77777777" w:rsidR="00104E97" w:rsidRDefault="00104E97" w:rsidP="00104E97">
      <w:r>
        <w:t>Tajikistan — 2 March 2013</w:t>
      </w:r>
    </w:p>
    <w:p w14:paraId="06E5060F" w14:textId="77777777" w:rsidR="00104E97" w:rsidRDefault="00104E97" w:rsidP="00104E97">
      <w:r>
        <w:t>Tanzania — 1 January 1995</w:t>
      </w:r>
    </w:p>
    <w:p w14:paraId="1B262460" w14:textId="77777777" w:rsidR="00104E97" w:rsidRDefault="00104E97" w:rsidP="00104E97">
      <w:r>
        <w:t>Thailand — 1 January 1995</w:t>
      </w:r>
    </w:p>
    <w:p w14:paraId="214E2FD3" w14:textId="77777777" w:rsidR="00104E97" w:rsidRDefault="00104E97" w:rsidP="00104E97">
      <w:r>
        <w:t>Togo — 31 May 1995</w:t>
      </w:r>
    </w:p>
    <w:p w14:paraId="4F8D66ED" w14:textId="77777777" w:rsidR="00104E97" w:rsidRDefault="00104E97" w:rsidP="00104E97">
      <w:r>
        <w:t>Tonga — 27 July 2007</w:t>
      </w:r>
    </w:p>
    <w:p w14:paraId="7EB2718E" w14:textId="77777777" w:rsidR="00104E97" w:rsidRDefault="00104E97" w:rsidP="00104E97">
      <w:r>
        <w:t>Trinidad and Tobago — 1 March 1995</w:t>
      </w:r>
    </w:p>
    <w:p w14:paraId="1EBB3E2A" w14:textId="77777777" w:rsidR="00104E97" w:rsidRDefault="00104E97" w:rsidP="00104E97">
      <w:r>
        <w:t>Tunisia — 29 March 1995</w:t>
      </w:r>
    </w:p>
    <w:p w14:paraId="104C8230" w14:textId="77777777" w:rsidR="00104E97" w:rsidRDefault="00104E97" w:rsidP="00104E97">
      <w:r>
        <w:t>Turkey — 26 March 1995</w:t>
      </w:r>
    </w:p>
    <w:p w14:paraId="622B365D" w14:textId="77777777" w:rsidR="00104E97" w:rsidRDefault="00104E97" w:rsidP="00104E97">
      <w:r>
        <w:t>U</w:t>
      </w:r>
    </w:p>
    <w:p w14:paraId="2ED18034" w14:textId="77777777" w:rsidR="00104E97" w:rsidRDefault="00104E97" w:rsidP="00104E97">
      <w:r>
        <w:t>Uganda — 1 January 1995</w:t>
      </w:r>
    </w:p>
    <w:p w14:paraId="36300C61" w14:textId="77777777" w:rsidR="00104E97" w:rsidRDefault="00104E97" w:rsidP="00104E97">
      <w:r>
        <w:t>Ukraine — 16 May 2008</w:t>
      </w:r>
    </w:p>
    <w:p w14:paraId="6C57B5A2" w14:textId="77777777" w:rsidR="00104E97" w:rsidRDefault="00104E97" w:rsidP="00104E97">
      <w:r>
        <w:t>United Arab Emirates — 10 April 1996</w:t>
      </w:r>
    </w:p>
    <w:p w14:paraId="7BE0043B" w14:textId="77777777" w:rsidR="00104E97" w:rsidRDefault="00104E97" w:rsidP="00104E97">
      <w:r>
        <w:t>United Kingdom — 1 January 1995</w:t>
      </w:r>
    </w:p>
    <w:p w14:paraId="5C0F395A" w14:textId="77777777" w:rsidR="00104E97" w:rsidRDefault="00104E97" w:rsidP="00104E97">
      <w:r>
        <w:t>United States — 1 January 1995</w:t>
      </w:r>
    </w:p>
    <w:p w14:paraId="4F181D84" w14:textId="77777777" w:rsidR="00104E97" w:rsidRDefault="00104E97" w:rsidP="00104E97">
      <w:r>
        <w:t>Uruguay — 1 January 1995</w:t>
      </w:r>
    </w:p>
    <w:p w14:paraId="6B313967" w14:textId="77777777" w:rsidR="00104E97" w:rsidRDefault="00104E97" w:rsidP="00104E97">
      <w:r>
        <w:t>V</w:t>
      </w:r>
    </w:p>
    <w:p w14:paraId="5A740633" w14:textId="77777777" w:rsidR="00104E97" w:rsidRDefault="00104E97" w:rsidP="00104E97">
      <w:r>
        <w:t>Vanuatu — 24 August 2012</w:t>
      </w:r>
    </w:p>
    <w:p w14:paraId="301EAE04" w14:textId="77777777" w:rsidR="00104E97" w:rsidRDefault="00104E97" w:rsidP="00104E97">
      <w:r>
        <w:t>Venezuela, Bolivarian Republic of — 1 January 1995</w:t>
      </w:r>
    </w:p>
    <w:p w14:paraId="2406A0FA" w14:textId="77777777" w:rsidR="00104E97" w:rsidRDefault="00104E97" w:rsidP="00104E97">
      <w:r>
        <w:t>Viet Nam — 11 January 2007</w:t>
      </w:r>
    </w:p>
    <w:p w14:paraId="2D5A6246" w14:textId="77777777" w:rsidR="00104E97" w:rsidRDefault="00104E97" w:rsidP="00104E97">
      <w:r>
        <w:t>Y</w:t>
      </w:r>
    </w:p>
    <w:p w14:paraId="7F78EDE5" w14:textId="77777777" w:rsidR="00104E97" w:rsidRDefault="00104E97" w:rsidP="00104E97">
      <w:r>
        <w:t>Yemen — 26 June 2014</w:t>
      </w:r>
    </w:p>
    <w:p w14:paraId="5D4B5B8E" w14:textId="77777777" w:rsidR="00104E97" w:rsidRDefault="00104E97" w:rsidP="00104E97">
      <w:r>
        <w:t>Z</w:t>
      </w:r>
    </w:p>
    <w:p w14:paraId="2F04500C" w14:textId="77777777" w:rsidR="00104E97" w:rsidRDefault="00104E97" w:rsidP="00104E97">
      <w:r>
        <w:t>Zambia — 1 January 1995</w:t>
      </w:r>
    </w:p>
    <w:p w14:paraId="537FA0B1" w14:textId="77777777" w:rsidR="00104E97" w:rsidRDefault="00104E97" w:rsidP="00104E97">
      <w:r>
        <w:t>Zimbabwe — 5 March 1995</w:t>
      </w:r>
    </w:p>
    <w:p w14:paraId="62449950" w14:textId="77777777" w:rsidR="00104E97" w:rsidRDefault="00104E97" w:rsidP="00104E97">
      <w:r>
        <w:t xml:space="preserve">Observer governments </w:t>
      </w:r>
    </w:p>
    <w:p w14:paraId="7CBA8B4B" w14:textId="77777777" w:rsidR="00104E97" w:rsidRDefault="00104E97" w:rsidP="00104E97">
      <w:r>
        <w:t>Algeria</w:t>
      </w:r>
    </w:p>
    <w:p w14:paraId="1B7EB868" w14:textId="77777777" w:rsidR="00104E97" w:rsidRDefault="00104E97" w:rsidP="00104E97">
      <w:r>
        <w:t>Andorra</w:t>
      </w:r>
    </w:p>
    <w:p w14:paraId="67752081" w14:textId="77777777" w:rsidR="00104E97" w:rsidRDefault="00104E97" w:rsidP="00104E97">
      <w:r>
        <w:t>Azerbaijan</w:t>
      </w:r>
    </w:p>
    <w:p w14:paraId="136CF3F2" w14:textId="77777777" w:rsidR="00104E97" w:rsidRDefault="00104E97" w:rsidP="00104E97">
      <w:r>
        <w:t>Bahamas</w:t>
      </w:r>
    </w:p>
    <w:p w14:paraId="55D740C9" w14:textId="77777777" w:rsidR="00104E97" w:rsidRDefault="00104E97" w:rsidP="00104E97">
      <w:r>
        <w:t>Belarus</w:t>
      </w:r>
    </w:p>
    <w:p w14:paraId="3DDD4FDD" w14:textId="77777777" w:rsidR="00104E97" w:rsidRDefault="00104E97" w:rsidP="00104E97">
      <w:r>
        <w:t>Bhutan</w:t>
      </w:r>
    </w:p>
    <w:p w14:paraId="6E4D99E3" w14:textId="77777777" w:rsidR="00104E97" w:rsidRDefault="00104E97" w:rsidP="00104E97">
      <w:r>
        <w:t>Bosnia and Herzegovina</w:t>
      </w:r>
    </w:p>
    <w:p w14:paraId="32159A0B" w14:textId="77777777" w:rsidR="00104E97" w:rsidRDefault="00104E97" w:rsidP="00104E97">
      <w:r>
        <w:t>Comoros</w:t>
      </w:r>
    </w:p>
    <w:p w14:paraId="01C36627" w14:textId="77777777" w:rsidR="00104E97" w:rsidRDefault="00104E97" w:rsidP="00104E97">
      <w:r>
        <w:t>Curaçao</w:t>
      </w:r>
    </w:p>
    <w:p w14:paraId="40328497" w14:textId="77777777" w:rsidR="00104E97" w:rsidRDefault="00104E97" w:rsidP="00104E97">
      <w:r>
        <w:t>Equatorial Guinea</w:t>
      </w:r>
    </w:p>
    <w:p w14:paraId="6D1564F4" w14:textId="77777777" w:rsidR="00104E97" w:rsidRDefault="00104E97" w:rsidP="00104E97">
      <w:r>
        <w:t>Ethiopia</w:t>
      </w:r>
    </w:p>
    <w:p w14:paraId="68CEDC26" w14:textId="77777777" w:rsidR="00104E97" w:rsidRDefault="00104E97" w:rsidP="00104E97">
      <w:r>
        <w:t>Holy See</w:t>
      </w:r>
    </w:p>
    <w:p w14:paraId="62E09337" w14:textId="77777777" w:rsidR="00104E97" w:rsidRDefault="00104E97" w:rsidP="00104E97">
      <w:r>
        <w:t>Iran</w:t>
      </w:r>
    </w:p>
    <w:p w14:paraId="5C7C9705" w14:textId="77777777" w:rsidR="00104E97" w:rsidRDefault="00104E97" w:rsidP="00104E97">
      <w:r>
        <w:t>Iraq</w:t>
      </w:r>
    </w:p>
    <w:p w14:paraId="32BA8631" w14:textId="77777777" w:rsidR="00104E97" w:rsidRDefault="00104E97" w:rsidP="00104E97">
      <w:r>
        <w:t>Lebanese Republic</w:t>
      </w:r>
    </w:p>
    <w:p w14:paraId="38BAC471" w14:textId="77777777" w:rsidR="00104E97" w:rsidRDefault="00104E97" w:rsidP="00104E97">
      <w:r>
        <w:t>Libya</w:t>
      </w:r>
    </w:p>
    <w:p w14:paraId="700EF731" w14:textId="77777777" w:rsidR="00104E97" w:rsidRDefault="00104E97" w:rsidP="00104E97">
      <w:r>
        <w:t>Sao Tomé and Principe</w:t>
      </w:r>
    </w:p>
    <w:p w14:paraId="092E1255" w14:textId="77777777" w:rsidR="00104E97" w:rsidRDefault="00104E97" w:rsidP="00104E97">
      <w:r>
        <w:t>Serbia</w:t>
      </w:r>
    </w:p>
    <w:p w14:paraId="47820059" w14:textId="77777777" w:rsidR="00104E97" w:rsidRDefault="00104E97" w:rsidP="00104E97">
      <w:r>
        <w:t>Somalia</w:t>
      </w:r>
    </w:p>
    <w:p w14:paraId="61543C62" w14:textId="77777777" w:rsidR="00104E97" w:rsidRDefault="00104E97" w:rsidP="00104E97">
      <w:r>
        <w:t>South Sudan</w:t>
      </w:r>
    </w:p>
    <w:p w14:paraId="779D6493" w14:textId="77777777" w:rsidR="00104E97" w:rsidRDefault="00104E97" w:rsidP="00104E97">
      <w:r>
        <w:t>Sudan</w:t>
      </w:r>
    </w:p>
    <w:p w14:paraId="6C284799" w14:textId="77777777" w:rsidR="00104E97" w:rsidRDefault="00104E97" w:rsidP="00104E97">
      <w:r>
        <w:t>Syrian Arab Republic</w:t>
      </w:r>
    </w:p>
    <w:p w14:paraId="604F9D82" w14:textId="77777777" w:rsidR="00104E97" w:rsidRDefault="00104E97" w:rsidP="00104E97">
      <w:r>
        <w:t>Timor-Leste</w:t>
      </w:r>
    </w:p>
    <w:p w14:paraId="695A77D7" w14:textId="77777777" w:rsidR="00104E97" w:rsidRDefault="00104E97" w:rsidP="00104E97">
      <w:r>
        <w:t>Turkmenistan</w:t>
      </w:r>
    </w:p>
    <w:p w14:paraId="4EB4575C" w14:textId="77777777" w:rsidR="00104E97" w:rsidRDefault="00104E97" w:rsidP="00104E97">
      <w:r>
        <w:t>Uzbekistan</w:t>
      </w:r>
    </w:p>
    <w:p w14:paraId="4D116E8F" w14:textId="77777777" w:rsidR="00104E97" w:rsidRDefault="00104E97" w:rsidP="00104E97">
      <w:pPr>
        <w:pStyle w:val="Heading4"/>
      </w:pPr>
      <w:r>
        <w:t>IP protections cover patents, industrial design, trademarks, geographical indications, and copyright/related rights.</w:t>
      </w:r>
    </w:p>
    <w:p w14:paraId="30CB3D0A" w14:textId="77777777" w:rsidR="00104E97" w:rsidRPr="00197931" w:rsidRDefault="00104E97" w:rsidP="00104E97">
      <w:r w:rsidRPr="00A13033">
        <w:rPr>
          <w:rStyle w:val="Style13ptBold"/>
        </w:rPr>
        <w:t>WIPO 20</w:t>
      </w:r>
      <w:r>
        <w:t xml:space="preserve"> [World Intellectual Property Organization, an agency of the UN; “What is Intellectual Property?”]</w:t>
      </w:r>
      <w:r w:rsidRPr="00A13033">
        <w:t xml:space="preserve"> </w:t>
      </w:r>
      <w:r>
        <w:t>[DS]</w:t>
      </w:r>
    </w:p>
    <w:p w14:paraId="7FF18158" w14:textId="77777777" w:rsidR="00104E97" w:rsidRPr="00C503F1" w:rsidRDefault="00104E97" w:rsidP="00104E97">
      <w:r w:rsidRPr="00C503F1">
        <w:t xml:space="preserve">1 IP covers a vast range of activities, and plays an important role in both cultural and economic life. This importance is recognized by various laws which protect intellectual property rights. IP law is complicated: there are different laws relating to different types of IP, and different national laws in different countries and regions of the world as well as international law. This booklet introduces the main types of IP and explains how the law protects them. It also introduces the work of the World Intellectual Property Organization (WIPO), the United Nations agency dedicated to making IP work for innovation and creativity. </w:t>
      </w:r>
      <w:r w:rsidRPr="00A13033">
        <w:rPr>
          <w:rStyle w:val="StyleUnderline"/>
        </w:rPr>
        <w:t>Intellectual property (</w:t>
      </w:r>
      <w:r w:rsidRPr="00A13033">
        <w:rPr>
          <w:rStyle w:val="StyleUnderline"/>
          <w:highlight w:val="yellow"/>
        </w:rPr>
        <w:t>IP</w:t>
      </w:r>
      <w:r w:rsidRPr="00A13033">
        <w:rPr>
          <w:rStyle w:val="StyleUnderline"/>
        </w:rPr>
        <w:t xml:space="preserve">) </w:t>
      </w:r>
      <w:r w:rsidRPr="00A13033">
        <w:rPr>
          <w:rStyle w:val="StyleUnderline"/>
          <w:highlight w:val="yellow"/>
        </w:rPr>
        <w:t>refers to creations of the mind – everything from works of art to inventions, computer programs to trademarks and other commercial signs</w:t>
      </w:r>
      <w:r w:rsidRPr="00A13033">
        <w:rPr>
          <w:rStyle w:val="StyleUnderline"/>
        </w:rPr>
        <w:t>.</w:t>
      </w:r>
      <w:r w:rsidRPr="00C503F1">
        <w:t xml:space="preserve"> What is IP? What 2 is IP? Why does IP matter? The progress and well-being of humanity depend on our capacity to come up with new ideas and creations. Technological progress requires the development and application of new inventions, while a vibrant culture will constantly seek new ways to express itself. Intellectual property rights are also vital. Inventors, artists, scientists and businesses put a lot of time, money, energy and thought into developing their innovations and creations. To encourage them to do that, they need the chance to make a fair return on their investment. That means giving them rights to protect their intellectual property. IP rights Essentially, intellectual property rights such as copyright, patents and trademarks can be viewed like any other property right. They allow the creators or owners of IP to benefit from their work or from their investment in a creation by giving them control over how their property is used. IP rights have long been recognized within various legal systems. For example, patents to protect inventions were granted in Venice as far back as the fifteenth century. Modern initiatives to protect IP through international law started with the Paris Convention for the Protection of Industrial Property (1883) and the Berne Convention for the Protection of Literary and Artistic Works (1886). These days, there are more than 25 international treaties on IP administered by WIPO. IP rights are also safeguarded by Article 27 of the Universal Declaration of Human Rights. Creativity and inventiveness are vital. They spur economic growth, create new jobs and industries, and enhance the quality and enjoyment of life. What is IP?3 Striking a balance The intellectual property system needs to balance the rights and interests of different groups: of creators and consumers; of businesses and their competitors; of high- and low-income countries. An efficient and fair IP system benefits everyone – including ordinary users and consumers. Some examples: •The multibillion-dollar film, recording, publishing and software industries – which bring pleasure to millions of people worldwide – would not thrive without copyright protection. •The patent system rewards researchers and inventors while also ensuring that they share their knowledge by making patent applications publicly available, which helps stimulate more innovation. •Trademark protection discourages counterfeiting, so businesses can compete on a level playing field and users can be confident they are buying the genuine article. Different types and categories of IP </w:t>
      </w:r>
      <w:proofErr w:type="spellStart"/>
      <w:r w:rsidRPr="00C503F1">
        <w:t>IP</w:t>
      </w:r>
      <w:proofErr w:type="spellEnd"/>
      <w:r w:rsidRPr="00C503F1">
        <w:t xml:space="preserve"> is often divided into two main categories: Industrial property includes patents for inventions, industrial designs, trademarks and geographical indications. Copyright and related rights cover literary, artistic and scientific works, including performances and broadcasts. Different types and categories of IP </w:t>
      </w:r>
      <w:proofErr w:type="spellStart"/>
      <w:r w:rsidRPr="00C503F1">
        <w:t>IP</w:t>
      </w:r>
      <w:proofErr w:type="spellEnd"/>
      <w:r w:rsidRPr="00C503F1">
        <w:t xml:space="preserve"> is often divided into two main categories: Industrial property includes patents for inventions, industrial designs, trademarks and geographical indications. Copyright and related rights cover literary, artistic and scientific works, including performances and broadcasts. Patents 4 </w:t>
      </w:r>
      <w:r w:rsidRPr="00A13033">
        <w:rPr>
          <w:rStyle w:val="StyleUnderline"/>
        </w:rPr>
        <w:t>Patents were one of the first types of intellectual property to be recognized in modern legal systems. Today, patented inventions pervade every aspect of life, from electric lighting (patents held by Edison and Swan) to the iPhone (patents held by Apple).</w:t>
      </w:r>
      <w:r w:rsidRPr="00C503F1">
        <w:t xml:space="preserve"> Patents By patenting an invention, the patent owner gets exclusive rights over it, meaning that he or she can stop anyone from using, making or selling the invention without permission. The patent lasts for a limited period of time, generally 20 years. In return, the patent owner has to disclose full details of the invention in the published patent documents. Once the period of protection has come to an end, the invention becomes off patent, meaning anyone is free to make, sell or use it. In this way, the patent system aims to benefit everyone: • Firms and inventors can maximize profits from their inventions during the patent protection period. •This rewards them for their effort and so encourages more innovation, which in turn benefits consumers and the general public. • Disclosure of the invention adds to the body of public knowledge, enabling and inspiring further research and invention. Patents </w:t>
      </w:r>
      <w:r w:rsidRPr="00A13033">
        <w:rPr>
          <w:rStyle w:val="StyleUnderline"/>
          <w:highlight w:val="yellow"/>
        </w:rPr>
        <w:t>What can be patented? An invention can be defined as a product or process that offers a new way of doing something, or a new technical solution to a problem</w:t>
      </w:r>
      <w:r w:rsidRPr="00A13033">
        <w:rPr>
          <w:rStyle w:val="StyleUnderline"/>
        </w:rPr>
        <w:t xml:space="preserve">. To qualify for patent protection, an invention must be of some practical use and must offer something new which is not part of the existing body of knowledge in the relevant technical field (what lawyers call the prior art). But these requirements of utility and novelty are not enough; the invention must also involve an inventive step – something non-obvious that could not just have been deduced by someone with average knowledge of the technical field. Furthermore, the invention must not fall under non-patentable subject matter. Patent laws in many countries, for example, exclude scientific theories, mathematical methods, plant or animal varieties, discoveries of natural substances, commercial methods and </w:t>
      </w:r>
      <w:r w:rsidRPr="00A13033">
        <w:rPr>
          <w:rStyle w:val="StyleUnderline"/>
          <w:highlight w:val="yellow"/>
        </w:rPr>
        <w:t>methods of medical treatment (as opposed to medical products) as not generally patentable</w:t>
      </w:r>
      <w:r w:rsidRPr="00A13033">
        <w:rPr>
          <w:rStyle w:val="StyleUnderline"/>
        </w:rPr>
        <w:t>.</w:t>
      </w:r>
      <w:r w:rsidRPr="00C503F1">
        <w:t xml:space="preserve"> 5 Patents 6 Obtaining a patent Like most IP rights, patents are territorial: protection is granted within a country under its national law. Different countries have somewhat different laws, but generally in order to gain protection, an inventor or firm will need to file an application with a patent office describing the invention clearly and in sufficient detail to allow someone with an average knowledge of the technical field to use or reproduce it. Such descriptions usually include drawings, plans or diagrams. The application also contains various claims, that is, information to help determine the extent of protection to be granted by the patent. The application will then be examined by the patent office to determine if it qualifies for protection. Patent rights and enforcement Patent owners have the exclusive right to commercially make, sell, distribute, import and use their patented inventions within the territory covered by the patent during the period of protection. They may choose to make, sell or use the invention themselves, let someone else make or use it for a fee (known as licensing), or sell the patent outright to someone else who then becomes the patent owner. Or they may decide not to use the patented invention themselves, but to stop their competitors from using it during the patent period. If someone else uses a patented invention without the patent owner’s permission, the patent owner can seek to enforce the rights by suing for patent infringement in the relevant national court. Courts usually have the power to stop infringing behavior and may also award financial compensation to the patent owner for the unauthorized use of the invention. But a patent can also be challenged in court, and if it is judged to be invalid, for example because the court decides it is insufficiently novel, it will be struck down and the owner will lose protection in that territory. Patents 7 National, regional and international protection Inventors and firms must decide in which territories they want patent protection. Each patent office usually charges fees for filing and processing applications, plus periodic fees for maintaining a patent once it has been granted. The cost of dealing with different national legal systems can be high, as laws and practices can vary widely and applicants will usually need to pay for representation by an authorized patent agent in each country. Several groups of countries have developed regional patent systems that help reduce these costs, for example the African Regional Intellectual Property Organization (ARIPO). Under most of these systems, an applicant requests protection for an invention in one or more countries in the group, and each country then decides whether to offer patent protection within its borders. WIPO administers the PCT System, an international system that allows applicants to request protection under the Patent Cooperation Treaty in as many signatory states as they wish through a single application. Industrial designs 8 These aesthetic aspects can be hugely important in the modern economy. Nowadays consumers face an enormous choice of products, including many that offer the same basic functionality. So they will tend to choose the one with the design they find most attractive within their price range. Industrial designs are applied to a wide variety of industrial products and handmade goods: cars, telephones, computers, packaging and containers, technical and medical instruments, watches, jewelry, electrical appliances, textile designs, and many other types of goods. </w:t>
      </w:r>
      <w:r w:rsidRPr="00955479">
        <w:rPr>
          <w:rStyle w:val="StyleUnderline"/>
        </w:rPr>
        <w:t>Industrial design rights cover those elements of a product that are aesthetic or ornamental – the way it looks and feels</w:t>
      </w:r>
      <w:r w:rsidRPr="00C503F1">
        <w:t xml:space="preserve">. Industrial design designs9 What designs can be protected? </w:t>
      </w:r>
      <w:r w:rsidRPr="00955479">
        <w:rPr>
          <w:rStyle w:val="StyleUnderline"/>
          <w:highlight w:val="yellow"/>
        </w:rPr>
        <w:t>Industrial design law only protects those aspects of a product that are ornamental; its technical features may be protected by patent, if they meet the requirements for patent protection</w:t>
      </w:r>
      <w:r w:rsidRPr="00C503F1">
        <w:t xml:space="preserve">. A design may consist of three-dimensional features, such as the </w:t>
      </w:r>
      <w:r w:rsidRPr="00955479">
        <w:rPr>
          <w:rStyle w:val="StyleUnderline"/>
          <w:highlight w:val="yellow"/>
        </w:rPr>
        <w:t>shape or surface of an article</w:t>
      </w:r>
      <w:r w:rsidRPr="00C503F1">
        <w:t xml:space="preserve">, or </w:t>
      </w:r>
      <w:proofErr w:type="spellStart"/>
      <w:r w:rsidRPr="00C503F1">
        <w:t>twodimensional</w:t>
      </w:r>
      <w:proofErr w:type="spellEnd"/>
      <w:r w:rsidRPr="00C503F1">
        <w:t xml:space="preserve"> features such as </w:t>
      </w:r>
      <w:r w:rsidRPr="00955479">
        <w:rPr>
          <w:rStyle w:val="StyleUnderline"/>
          <w:highlight w:val="yellow"/>
        </w:rPr>
        <w:t>patterns, lines or color</w:t>
      </w:r>
      <w:r w:rsidRPr="00C503F1">
        <w:t xml:space="preserve">. To qualify for protection as an industrial design under most national laws, the design must be new and show a degree of originality or individuality, meaning that it is not identical or very similar to any previous design. Moreover, it must be capable of being produced industrially, so unique artworks are not covered. designs Industrial 10 Industrial design rights Industrial design rights entitle the right holder to control the commercial production, importation and sale of products with the protected design. As with most other forms of IP, owners can exploit design rights themselves, or license or sell them to others, and can sue in the relevant national court to prevent </w:t>
      </w:r>
      <w:proofErr w:type="spellStart"/>
      <w:r w:rsidRPr="00C503F1">
        <w:t>infringem™ent</w:t>
      </w:r>
      <w:proofErr w:type="spellEnd"/>
      <w:r w:rsidRPr="00C503F1">
        <w:t xml:space="preserve"> of their rights. This means that owners have a fair chance to recoup their investment in design, encouraging such investment. Industrial design rights last for a limited period. This varies among countries, but the maximum period of protection in a country will be at least ten years. In many countries, owners need to renew their registration every few years if they want to keep the design protected for the maximum possible period. Different national design laws Industrial designs are protected in different ways in different countries. In most cases, a firm or designer will need to register their design in order to protect it, but some countries also give limited protection to unregistered designs, and in some countries protection is by means of “design patents”. In certain countries, some industrial designs may be regarded as artistic works covered by copyright. This can be advantageous to the right holder because the term of protection for copyright is much longer than for a registered design. In some countries it may also be possible to protect designs using national laws against unfair competition. designs Industrial 11 Obtaining protection Industrial design rights are territorial, so designers or firms may need to deal with many different national systems if they want protection in many countries. However, regional systems exist for some groups of countries. WIPO administers the Hague System. Under the Hague Agreement Concerning the International Registration of Industrial Designs, applicants can file a single international application covering up to 100 designs in as many signatory states as they choose. Trademarks 12 Trademarks </w:t>
      </w:r>
      <w:proofErr w:type="spellStart"/>
      <w:r w:rsidRPr="00C503F1">
        <w:t>Trademarks</w:t>
      </w:r>
      <w:proofErr w:type="spellEnd"/>
      <w:r w:rsidRPr="00C503F1">
        <w:t xml:space="preserve"> have been around for many years. In ancient times, artisans would sign or mark their work to prove they had made it. Gradually, laws evolved to protect such marks. These days, trademarks are essential to business. They take many forms and identify a huge array of goods and services. Enterprises spend enormous amounts of time and money developing their brands and trademarks. Legal protection allows the owner of a mark to control who uses it. This means that enterprises can develop and promote their goods and services without having their reputation undermined by counterfeiters, and consumers can rely on trademarks being genuine. </w:t>
      </w:r>
      <w:r w:rsidRPr="00955479">
        <w:rPr>
          <w:rStyle w:val="StyleUnderline"/>
          <w:highlight w:val="yellow"/>
        </w:rPr>
        <w:t>A trademark is a sign capable of distinguishing the goods or services of one enterprise from those of other enterprises</w:t>
      </w:r>
      <w:r w:rsidRPr="00C503F1">
        <w:t xml:space="preserve">. Trademarks 13 Different types of trademark </w:t>
      </w:r>
      <w:r w:rsidRPr="00955479">
        <w:rPr>
          <w:rStyle w:val="StyleUnderline"/>
        </w:rPr>
        <w:t>All sorts of signs may be used as trademarks – words, letters, numbers, symbols, colors, pictures, three-dimensional signs such as shapes and packaging, holograms, sounds, even tastes and smells. To be eligible for registration, the basic principle is that a trademark must be distinctive, so it cannot just be a generic description of the product or service. Nor can it be identical (or very similar) to a trademark already registered or used for that type of product or service.</w:t>
      </w:r>
      <w:r w:rsidRPr="00C503F1">
        <w:t xml:space="preserve"> Trademarks are not just used to identify the goods and services of a particular enterprise. </w:t>
      </w:r>
      <w:r w:rsidRPr="00955479">
        <w:rPr>
          <w:rStyle w:val="StyleUnderline"/>
        </w:rPr>
        <w:t>There are also collective marks, each owned by an association and used by its members. For example, professional associations of accountants, engineers and architects often use this kind of mark. And there are certification marks which show that a product or service complies with certain standards, such as Ecolabels for products with reduced environmental impacts</w:t>
      </w:r>
      <w:r w:rsidRPr="00C503F1">
        <w:t xml:space="preserve">. Trademarks 14 Protecting trademarks The best way of protecting a trademark is to register it. Owners of a registered mark have the exclusive right to control who uses it: they can use it to identify their own goods or services, or license or sell it for someone else to use. To register a mark in a territory, the applicant needs to submit a reproduction of it to the trademark office plus a full list of the goods or services to which it would apply. As well as being sufficiently distinctive and not conflicting with any existing mark, the mark must not be misleading or deceptive or violate public order or morality. Once a trademark has been granted, the owner can sue in the relevant national court if it is infringed by someone else. Equally, a trademark owner could face a legal challenge from a third party arguing that it is too similar to their own mark. A trademark will only be granted for a limited period – in most countries, ten years – but the mark can be renewed as many times as the owner wishes on payment of additional fees, provided it is still being used, so in practice a trademark can be protected indefinitely. Trademarks15 National, regional and international protection Like most IP law, trademark protection is territorial. However, regional and international systems have developed to make it easier to obtain trademark protection in many countries. WIPO offers international registration under the Madrid System. By filing a single application, users can obtain trademark protection in as many of the countries that have joined the System as they wish. There are also online tools that allow users to search trademark registers and help them manage renewal of their marks in different territories. Geo graphical 16 Geographical indications </w:t>
      </w:r>
      <w:r w:rsidRPr="00955479">
        <w:rPr>
          <w:rStyle w:val="StyleUnderline"/>
          <w:highlight w:val="yellow"/>
        </w:rPr>
        <w:t>A geographical indication is a sign used on products that have a specific geographical origin and possess qualities or a reputation that are due to that origin</w:t>
      </w:r>
      <w:r w:rsidRPr="00C503F1">
        <w:t xml:space="preserve">. </w:t>
      </w:r>
      <w:r w:rsidRPr="00955479">
        <w:rPr>
          <w:rStyle w:val="StyleUnderline"/>
        </w:rPr>
        <w:t>There are lots of examples of geographical indications – often food and drink, such as Roquefort cheese from France, Darjeeling tea from India and Tequila liquor from Mexico.</w:t>
      </w:r>
      <w:r w:rsidRPr="00C503F1">
        <w:t xml:space="preserve"> Consumers buying products with geographical indications want to know that the goods do indeed come from the place in question and conform to relevant standards, so there need to be some controls on the use of geographical indications to protect their valuable reputation. There are different laws protecting geographical indications and different systems of recognition in different countries, so international law is developing ways to strengthen protection across national boundaries. Geo graphical indica </w:t>
      </w:r>
      <w:proofErr w:type="spellStart"/>
      <w:r w:rsidRPr="00C503F1">
        <w:t>tions</w:t>
      </w:r>
      <w:proofErr w:type="spellEnd"/>
      <w:r w:rsidRPr="00C503F1">
        <w:t xml:space="preserve"> 17 </w:t>
      </w:r>
      <w:r w:rsidRPr="00955479">
        <w:rPr>
          <w:rStyle w:val="StyleUnderline"/>
        </w:rPr>
        <w:t xml:space="preserve">Different types of geographical indication In order to function as a geographical indication, a sign must identify a product as originating in a given place, and the qualities, characteristics or reputation of the product should be essentially due to that place of origin. This is often the case for agricultural products, because they are influenced by their local climate and environment, but geographical indications may also be used for industrial products where a region has a strong manufacturing tradition and reputation, for instance Swiss watches. Appellations of origin are a type of geographical indication. In some jurisdictions, appellations of origin are protected more strongly than other geographical indications. </w:t>
      </w:r>
      <w:r w:rsidRPr="00C503F1">
        <w:t xml:space="preserve">Geo graphical Protecting geographical indications There are three main ways to protect a geographical indication: • through special on geographical indications laws – so-called sui generis systems; • using collective or certification marks; and • methods focusing on business practices, including administrative product approval schemes. Countries often use more than one of these different approaches, and different approaches may involve differences with respect to important questions, such as the conditions for protection or the scope of protection. However, sui generis systems and collective or certification mark systems are similar in that both set up rights for collective use by those who comply with defined standards. Essentially, such rights allow legitimate producers – those whose products come from the area in question and meet all relevant standards – to use the law to stop a geographical indication being used on goods produced elsewhere, or to a different standard. 18 Geographical indications and trademarks In some respects, geographical indication rights are similar to trademarks. Right holders can prevent infringing use of the geographical indication, and potentially the right lasts forever – although periodic re-registration of collective or certification marks may be required. However, there are also important differences between these two types of sign. A trademark is used by a company to distinguish its goods and services from those produced by others, and the owner can prevent anyone else from using the mark. Furthermore, a trademark can be sold or licensed. Geo graphical indica </w:t>
      </w:r>
      <w:proofErr w:type="spellStart"/>
      <w:r w:rsidRPr="00C503F1">
        <w:t>tions</w:t>
      </w:r>
      <w:proofErr w:type="spellEnd"/>
      <w:r w:rsidRPr="00C503F1">
        <w:t xml:space="preserve"> 19 International protection As with other types of IP, international law has developed to complement and reinforce the protection offered in different national and regional jurisdictions. International recognition of appellations of origin and “indications of source” dates back to the Paris Convention of 1883. More recently, the agreement on Trade-Related Aspects of Intellectual Property (TRIPS) included some further provisions to prevent the misuse of GIs. In addition, WIPO administers the international Lisbon System. This used to apply only to appellations of origin, but the Geneva Act of the Lisbon Agreement on Appellations of Origin and Geographical Indications, adopted in 2015, extended the System to make it possible to register other geographical indications internationally too. A geographical indication guarantees to consumers that a product was produced in a certain place and has certain characteristics that are due to that place of production. It may be used by all producers in the relevant place who make products that share certain qualities relating to that place, and it cannot change ownership. Copyright 20 Copyright covers an enormous range of works – not just books, music, paintings, sculpture and films, but also computer programs, databases, advertisements, maps and technical drawings, among other things. There are also rights related to the copyright of the creators that protect the interests of those closely associated with copyrighted works, including performers, broadcasters and producers of sound recordings. Copyright is protected by a mixture of national and international laws. These recognize the cultural and social importance of creative endeavor as well as its considerable economic value. The underlying aim of copyright law is to strike the right balance between the interests of content creators, developers and investors and the public interest in being able to access and use creative content. Copyright and related rights </w:t>
      </w:r>
      <w:r w:rsidRPr="00955479">
        <w:rPr>
          <w:rStyle w:val="StyleUnderline"/>
          <w:highlight w:val="yellow"/>
        </w:rPr>
        <w:t>Copyright, or authors’ right, is a legal term used to describe the rights that creators have in their literary, artistic and scientific works. and related rights</w:t>
      </w:r>
      <w:r w:rsidRPr="00C503F1">
        <w:t xml:space="preserve"> 21 What works does copyright cover? </w:t>
      </w:r>
      <w:r w:rsidRPr="00955479">
        <w:rPr>
          <w:rStyle w:val="StyleUnderline"/>
        </w:rPr>
        <w:t>Copyright applies to the creative expression of ideas in many different forms – text, still or moving pictures, sound works, three-dimensional shapes such as sculptures and architecture, reference works and collections of data. National copyright laws rarely provide an exhaustive list of everything that is covered. However, copyright does not generally cover ideas themselves, procedures, methods of operation, or mathematical concepts.</w:t>
      </w:r>
      <w:r w:rsidRPr="00C503F1">
        <w:t xml:space="preserve"> Copyright 22 What rights does copyright provide? Copyright includes both economic and moral rights. Essentially, economic rights involve the right to control the distribution of a work. In other words, a copyright owner can stop anyone from copying or using a work without permission – including, for example, by translating it, reproducing it, performing it or broadcasting it. Exactly how the owner enforces these rights will depend on the national laws of the country concerned, but countries often provide a mixture of civil and criminal penalties for copyright infringement. Copyright also includes certain moral rights of the creator – including, among others, the right to be acknowledged as the author of a work and to prevent it from being altered in a way that might damage the creator’s reputation. Transferring and trading copyright Generally, economic rights can be transferred and divided. A right owner may agree to let someone use a work under certain conditions (licensing), or they may give or sell the rights to someone who then becomes the new owner (assignment). And if a copyright owner dies, their heirs or successors will inherit their economic rights. It is very common for rights to be transferred. For example: • Book authors, music composers and recording artists often license or assign rights to publishers in exchange for payments known as royalties. • In many countries, creators can license or assign their rights to collective management organizations which will monitor how works are used and collect payments from users on the creator’s behalf. • Copyright owners may choose to give away their work for free, or to let other people use it freely based on certain conditions. For example, they may allow use based on standard Creative Commons licenses. and related rights 23 In many countries, moral rights cannot be traded or transferred, but a creator may sometimes agree to waive or refrain from exercising them. Copyright and the public interest Copyright serves the public interest by helping to ensure that creators can earn a fair reward for their work, thus encouraging further creative endeavor, and by making sure that works are properly acknowledged and respected. The law also recognizes that in certain circumstances, known as copyright limitations and exceptions, copyright restrictions should not apply. For example, many countries allow for copyrighted books to be adapted without the rights owner’s permission to create versions that are accessible to people with visual impairment or other physical disabilities that make it difficult for them to use ordinary printed copies. There is now support for this exception under international law through the Marrakesh Treaty of 2013, administered by WIPO, which also provides for the </w:t>
      </w:r>
      <w:proofErr w:type="spellStart"/>
      <w:r w:rsidRPr="00C503F1">
        <w:t>crossborder</w:t>
      </w:r>
      <w:proofErr w:type="spellEnd"/>
      <w:r w:rsidRPr="00C503F1">
        <w:t xml:space="preserve"> exchange of accessible books. Furthermore, the economic rights within copyright only last for a limited period, the so-called term of copyright. Once this term has expired, a work enters the public domain, meaning it is free for anyone to use. Moral rights are term-limited in some countries and perpetual in others. National and international copyright law There are different national laws on copyright in different territories, as with other forms of intellectual property. However, international law establishes certain minimum standards of protection: • Copyright arises as soon as a work is created. There is no need for a creator to register a work or complete any other formalities in order to gain protection (though some countries do operate voluntary copyright registration schemes). • Countries are required to protect most copyrighted works throughout the life of the creator and for at least 50 years after the creator’s death. Copyright and related rights 24 • International law means that copyrighted works are generally protected in most countries, not just the country in which they were created. These minimum standards are guaranteed by a series of international treaties administered by WIPO. States that have joined these treaties can provide more than the minimum protection – for example, a longer copyright term – but they cannot provide less. </w:t>
      </w:r>
      <w:r w:rsidRPr="00C503F1">
        <w:rPr>
          <w:rStyle w:val="StyleUnderline"/>
          <w:highlight w:val="yellow"/>
        </w:rPr>
        <w:t>Related rights</w:t>
      </w:r>
      <w:r w:rsidRPr="00C503F1">
        <w:rPr>
          <w:rStyle w:val="StyleUnderline"/>
        </w:rPr>
        <w:t xml:space="preserve"> The law also</w:t>
      </w:r>
      <w:r w:rsidRPr="00955479">
        <w:rPr>
          <w:rStyle w:val="StyleUnderline"/>
        </w:rPr>
        <w:t xml:space="preserve"> </w:t>
      </w:r>
      <w:r w:rsidRPr="00C503F1">
        <w:rPr>
          <w:rStyle w:val="StyleUnderline"/>
          <w:highlight w:val="yellow"/>
        </w:rPr>
        <w:t>protects</w:t>
      </w:r>
      <w:r w:rsidRPr="00955479">
        <w:rPr>
          <w:rStyle w:val="StyleUnderline"/>
        </w:rPr>
        <w:t xml:space="preserve"> the rights of </w:t>
      </w:r>
      <w:r w:rsidRPr="00C503F1">
        <w:rPr>
          <w:rStyle w:val="StyleUnderline"/>
          <w:highlight w:val="yellow"/>
        </w:rPr>
        <w:t>certain people or groups who are involved in creative work but do not qualify for copyright protection in many jurisdictions</w:t>
      </w:r>
      <w:r w:rsidRPr="00955479">
        <w:rPr>
          <w:rStyle w:val="StyleUnderline"/>
        </w:rPr>
        <w:t>, including performers such as singers and actors, broadcasting organizations, and organizations such as record companies that produce sound recordings. These are known as related rights or neighboring rights, because they are related to copyright. The protection offered is similar to copyright.</w:t>
      </w:r>
      <w:r w:rsidRPr="00C503F1">
        <w:t xml:space="preserve"> Generally, right owners can stop people from recording, communicating or broadcasting their work without their permission. However, the term of protection is usually shorter than copyright; in most countries, it lasts for 50 years from the date of the performance, recording or broadcast. New challenges Copyright law has to evolve to deal with new technologies and cultural practices. For example, digital technologies make it possible to make and transmit near-perfect copies of works at little cost. In 1996, two new international agreements, the WIPO Copyright Treaty (WCT) and the WIPO Performances and Phonograms Treaty (WPPT), were concluded in order to help protect copyright and related rights in the Internet age. And in 2012 the Beijing Treaty on Audiovisual Performances was adopted to protect the related rights of audiovisual performers. But other challenges remain. How can the traditional cultural expressions of people in developing countries best be protected in a globalizing economy? Is 3D printing adequately covered by copyright law? What is the best way of ensuring that musicians and artists receive proper payment when their works can be accessed online anywhere in the world? WIPO helps countries develop common responses to the evolving challenges. The World Intellectual Property Organization WIPO is the global forum for intellectual property services, policy, information and cooperation. It was founded in 1967 and became a specialized agency of the United Nations in 1974. There are four main elements of WIPO’s work. Shaping international rules WIPO helps to develop and implement international law on intellectual property. As we have seen, most IP law is limited to a particular national jurisdiction. International law is crucial to facilitate protection across national boundaries. There are now more than 25 international IP treaties administered by WIPO, and negotiations are ongoing to deal with new challenges. WIPO provides a neutral environment in which different countries can come together to negotiate new rules, striking a fair balance between different interests. Delivering global services WIPO delivers international filing and registration services. We have mentioned many examples in this booklet: international patent filing under the PCT System, international trademark registration under the Madrid System, industrial design registration under the Hague System and registration of geographical indications under the Lisbon System. WIPO also provides arbitration and mediation services to help resolve IP disputes. WIPO charges fees for these services. In fact, it earns more than 90% of its income through such fees. This is unusual for an international organization. Most international organizations are funded by their member states – in other words, by those countries’ taxpayers – whereas most of WIPO’s budget is paid for by the people and businesses who use its services. Cooperating with countries and partners to make IP work for development An important part of WIPO’s mission is to help all countries use and benefit from IP laws and protection systems. Many of WIPO’s member states already have very sophisticated and longstanding national IP systems, but some developing countries are working to build this capacity. Providing information and shared infrastructure WIPO aims to be a comprehensive and impartial source of information on global IP issues. This booklet is just one of many WIPO publications – there are also books, magazines, economic studies, statistics and many other reference works. WIPO has also developed infrastructure for accessing and sharing knowledge, including enormous databases of patents, brands, trademarks, appellations of origin and IP legislation. Visit the WIPO website to access a wealth of information: www.wipo.int. World Intellectual Property Organization 34, chemin des </w:t>
      </w:r>
      <w:proofErr w:type="spellStart"/>
      <w:r w:rsidRPr="00C503F1">
        <w:t>Colombettes</w:t>
      </w:r>
      <w:proofErr w:type="spellEnd"/>
      <w:r w:rsidRPr="00C503F1">
        <w:t xml:space="preserve"> P.O. Box 18 CH-1211 Geneva 20 Switzerland Tel: +41 22 338 91 11 Fax: +41 22 733 54 28 For contact details of WIPO’s External Offices visit: www.wipo.int/about-wipo/en/offices © WIPO, 2020 First published 2004 Attribution 3.0 IGO (CC BY 3.0 IGO) The CC license does not apply to non-WIPO content in this publication. Photos: Getty Images WIPO Publication No. 450E/20 ISBN 978-92-805-3176-3</w:t>
      </w:r>
    </w:p>
    <w:p w14:paraId="53A26A1C" w14:textId="40FDB7E0" w:rsidR="00867A90" w:rsidRDefault="00867A90" w:rsidP="00867A90">
      <w:pPr>
        <w:pStyle w:val="Heading3"/>
      </w:pPr>
      <w:r>
        <w:t>1NC – Impacts</w:t>
      </w:r>
    </w:p>
    <w:p w14:paraId="34BB4259" w14:textId="3AB883BB" w:rsidR="00867A90" w:rsidRDefault="00867A90" w:rsidP="00867A90">
      <w:pPr>
        <w:pStyle w:val="Heading4"/>
      </w:pPr>
      <w:r>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0EED2C6C" w14:textId="77777777" w:rsidR="00867A90" w:rsidRDefault="00867A90" w:rsidP="00867A90">
      <w:pPr>
        <w:rPr>
          <w:rFonts w:ascii="Times" w:eastAsia="Times New Roman" w:hAnsi="Times"/>
          <w:sz w:val="20"/>
          <w:szCs w:val="20"/>
        </w:rPr>
      </w:pPr>
    </w:p>
    <w:p w14:paraId="3BCDE7C7" w14:textId="7A8D41F6" w:rsidR="00867A90" w:rsidRDefault="00867A90" w:rsidP="00867A90">
      <w:pPr>
        <w:pStyle w:val="Heading4"/>
      </w:pPr>
      <w:r>
        <w:t>This has two impacts –</w:t>
      </w:r>
    </w:p>
    <w:p w14:paraId="65418E23" w14:textId="77777777" w:rsidR="00867A90" w:rsidRPr="00EA2081" w:rsidRDefault="00867A90" w:rsidP="00867A90">
      <w:pPr>
        <w:pStyle w:val="Heading4"/>
        <w:numPr>
          <w:ilvl w:val="0"/>
          <w:numId w:val="11"/>
        </w:numPr>
        <w:tabs>
          <w:tab w:val="num" w:pos="360"/>
        </w:tabs>
        <w:ind w:left="360"/>
      </w:pPr>
      <w:r>
        <w:t xml:space="preserve">Fairness – A predictable limit is the only way to give the neg a chance to win—-radical </w:t>
      </w:r>
      <w:proofErr w:type="spellStart"/>
      <w:r>
        <w:t>aff</w:t>
      </w:r>
      <w:proofErr w:type="spellEnd"/>
      <w:r>
        <w:t xml:space="preserve"> choice shifts the grounds for the debate and puts the </w:t>
      </w:r>
      <w:proofErr w:type="spellStart"/>
      <w:r>
        <w:t>aff</w:t>
      </w:r>
      <w:proofErr w:type="spellEnd"/>
      <w:r>
        <w:t xml:space="preserve">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w:t>
      </w:r>
      <w:proofErr w:type="spellStart"/>
      <w:r>
        <w:t>aff</w:t>
      </w:r>
      <w:proofErr w:type="spellEnd"/>
      <w:r>
        <w:t xml:space="preserve">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w:t>
      </w:r>
      <w:r w:rsidRPr="00EA2081">
        <w:t>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1EF6D48B" w14:textId="77777777" w:rsidR="00867A90" w:rsidRPr="00866514" w:rsidRDefault="00867A90" w:rsidP="00867A90"/>
    <w:p w14:paraId="7E44ADB0" w14:textId="77777777" w:rsidR="00867A90" w:rsidRPr="00BB34AB" w:rsidRDefault="00867A90" w:rsidP="00867A90">
      <w:pPr>
        <w:pStyle w:val="Heading4"/>
        <w:numPr>
          <w:ilvl w:val="0"/>
          <w:numId w:val="11"/>
        </w:numPr>
        <w:tabs>
          <w:tab w:val="num" w:pos="360"/>
        </w:tabs>
        <w:ind w:left="360"/>
      </w:pPr>
      <w:r w:rsidRPr="00BB34AB">
        <w:t xml:space="preserve">Second is Argument Engagement---advocacy tied to the resolution incentivizes nuanced research and CLASH with a well prepared opponent---They turn debate into </w:t>
      </w:r>
      <w:r>
        <w:t xml:space="preserve">one with no negative </w:t>
      </w:r>
      <w:proofErr w:type="spellStart"/>
      <w:r>
        <w:t>counterargumentation</w:t>
      </w:r>
      <w:proofErr w:type="spellEnd"/>
      <w:r>
        <w:t xml:space="preserve"> which causes confirmation bias and less good affirmatives. It also doesn’t subject the </w:t>
      </w:r>
      <w:proofErr w:type="spellStart"/>
      <w:r>
        <w:t>aff</w:t>
      </w:r>
      <w:proofErr w:type="spellEnd"/>
      <w:r>
        <w:t xml:space="preserve"> to rigorous </w:t>
      </w:r>
      <w:proofErr w:type="spellStart"/>
      <w:r>
        <w:t>arugmentation</w:t>
      </w:r>
      <w:proofErr w:type="spellEnd"/>
      <w:r>
        <w:t xml:space="preserve"> which eliminates the skills necessary to make real material change in the world and doesn’t generate real productive discussions – turns their offense.</w:t>
      </w:r>
    </w:p>
    <w:p w14:paraId="44F65808" w14:textId="77777777" w:rsidR="00867A90" w:rsidRDefault="00867A90" w:rsidP="00867A90"/>
    <w:p w14:paraId="399C026C" w14:textId="77B8BD1D" w:rsidR="00867A90" w:rsidRPr="00866514" w:rsidRDefault="00867A90" w:rsidP="00867A90">
      <w:pPr>
        <w:pStyle w:val="Heading4"/>
      </w:pPr>
      <w:r w:rsidRPr="00BB34AB">
        <w:t xml:space="preserve">Topical version of the </w:t>
      </w:r>
      <w:proofErr w:type="spellStart"/>
      <w:r w:rsidRPr="00BB34AB">
        <w:t>aff</w:t>
      </w:r>
      <w:proofErr w:type="spellEnd"/>
      <w:r>
        <w:t xml:space="preserve"> – critique the use of trade secrets to block access to clinical trial data that would reveal racial patient discrepancies – free COVID vaccines for Africa through eliminating IP for only those countries – big pharma </w:t>
      </w:r>
      <w:proofErr w:type="spellStart"/>
      <w:r>
        <w:t>biocolonialism</w:t>
      </w:r>
      <w:proofErr w:type="spellEnd"/>
      <w:r>
        <w:t xml:space="preserve"> – </w:t>
      </w:r>
      <w:proofErr w:type="spellStart"/>
      <w:r>
        <w:t>etc</w:t>
      </w:r>
      <w:proofErr w:type="spellEnd"/>
      <w:r>
        <w:t xml:space="preserve"> – use sufficiency when evaluating the TVA because all deficits are neg ground. This and reading it on the neg solve their offense by re-centering debate on abjection.</w:t>
      </w:r>
    </w:p>
    <w:p w14:paraId="3115C912" w14:textId="77777777" w:rsidR="00867A90" w:rsidRDefault="00867A90" w:rsidP="00867A90"/>
    <w:p w14:paraId="2BCF773B" w14:textId="77777777" w:rsidR="00867A90" w:rsidRDefault="00867A90" w:rsidP="00867A90">
      <w:pPr>
        <w:pStyle w:val="Heading4"/>
      </w:pPr>
      <w:r>
        <w:t xml:space="preserve">Topicality must be a voting issue—the role of the ballot is to vote for whoever does the better debating over the </w:t>
      </w:r>
      <w:proofErr w:type="spellStart"/>
      <w:r>
        <w:t>resolutional</w:t>
      </w:r>
      <w:proofErr w:type="spellEnd"/>
      <w:r>
        <w:t xml:space="preserve"> question. Any </w:t>
      </w:r>
      <w:proofErr w:type="spellStart"/>
      <w:r>
        <w:t>aff</w:t>
      </w:r>
      <w:proofErr w:type="spellEnd"/>
      <w:r>
        <w:t xml:space="preserve"> role for debate must explain why we switch sides and why there has to be a winner and a loser—switching sides within the competitive yet limited bounds of the topic performs the labor of the negative which avoids group polarization and untested advocacy</w:t>
      </w:r>
    </w:p>
    <w:p w14:paraId="511DD50B" w14:textId="77777777" w:rsidR="00867A90" w:rsidRPr="00866514" w:rsidRDefault="00867A90" w:rsidP="00867A90"/>
    <w:p w14:paraId="0082F332" w14:textId="77777777" w:rsidR="00867A90" w:rsidRPr="00866514" w:rsidRDefault="00867A90" w:rsidP="00867A90">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6F403C24" w14:textId="5DBA0E44" w:rsidR="00A95652" w:rsidRDefault="00867A90" w:rsidP="00104E97">
      <w:pPr>
        <w:pStyle w:val="Heading2"/>
      </w:pPr>
      <w:r>
        <w:t>OFF</w:t>
      </w:r>
    </w:p>
    <w:p w14:paraId="45C21E72" w14:textId="45398984" w:rsidR="00867A90" w:rsidRDefault="00867A90" w:rsidP="00867A90">
      <w:pPr>
        <w:pStyle w:val="Heading3"/>
      </w:pPr>
      <w:r>
        <w:t>NC</w:t>
      </w:r>
    </w:p>
    <w:p w14:paraId="4DA5E731" w14:textId="77777777" w:rsidR="001464E4" w:rsidRDefault="001464E4" w:rsidP="001464E4">
      <w:pPr>
        <w:pStyle w:val="Heading4"/>
        <w:rPr>
          <w:rStyle w:val="Style13ptBold"/>
          <w:b/>
        </w:rPr>
      </w:pPr>
      <w:r>
        <w:rPr>
          <w:rStyle w:val="Style13ptBold"/>
          <w:b/>
        </w:rPr>
        <w:t>Genocidal settlement is not a one-off event, but a structuring ontological logic of elimination constantly manifested in the everyday reiteration of the very modes of spatial inhabitance and subjective modes of being that define settler identity</w:t>
      </w:r>
    </w:p>
    <w:p w14:paraId="70A3149F" w14:textId="77777777" w:rsidR="001464E4" w:rsidRDefault="001464E4" w:rsidP="001464E4">
      <w:pPr>
        <w:rPr>
          <w:rStyle w:val="Style13ptBold"/>
        </w:rPr>
      </w:pPr>
      <w:r>
        <w:rPr>
          <w:rStyle w:val="Style13ptBold"/>
        </w:rPr>
        <w:t xml:space="preserve">Rifkin 14 – </w:t>
      </w:r>
      <w:r w:rsidRPr="00B80F6F">
        <w:rPr>
          <w:rStyle w:val="Style13ptBold"/>
        </w:rPr>
        <w:t>Associate Professor of English &amp; WGS @ UNC-Greensboro</w:t>
      </w:r>
    </w:p>
    <w:p w14:paraId="3B5AFF17" w14:textId="77777777" w:rsidR="001464E4" w:rsidRPr="00A60F8F" w:rsidRDefault="001464E4" w:rsidP="001464E4">
      <w:pPr>
        <w:rPr>
          <w:rStyle w:val="Style13ptBold"/>
          <w:b w:val="0"/>
          <w:i/>
        </w:rPr>
      </w:pPr>
      <w:r>
        <w:rPr>
          <w:rStyle w:val="Style13ptBold"/>
          <w:b w:val="0"/>
        </w:rPr>
        <w:t xml:space="preserve">(Mark, ‘Settler Common Sense: </w:t>
      </w:r>
      <w:r w:rsidRPr="00A60F8F">
        <w:rPr>
          <w:rStyle w:val="Style13ptBold"/>
          <w:b w:val="0"/>
        </w:rPr>
        <w:t>Queerness and Everyday Colonialism in the American Renaissance</w:t>
      </w:r>
      <w:r>
        <w:rPr>
          <w:rStyle w:val="Style13ptBold"/>
          <w:b w:val="0"/>
        </w:rPr>
        <w:t>,’ pp. 7-10)</w:t>
      </w:r>
    </w:p>
    <w:p w14:paraId="2CF8DB6A" w14:textId="77777777" w:rsidR="001464E4" w:rsidRPr="006C1429" w:rsidRDefault="001464E4" w:rsidP="001464E4">
      <w:pPr>
        <w:rPr>
          <w:sz w:val="16"/>
        </w:rPr>
      </w:pPr>
      <w:r w:rsidRPr="00580C20">
        <w:rPr>
          <w:sz w:val="16"/>
        </w:rPr>
        <w:t xml:space="preserve">If nineteenth-century American literary studies tends to focus on the ways Indians enter the narrative frame and the kinds of meanings and </w:t>
      </w:r>
      <w:proofErr w:type="spellStart"/>
      <w:r w:rsidRPr="00580C20">
        <w:rPr>
          <w:sz w:val="16"/>
        </w:rPr>
        <w:t>associa</w:t>
      </w:r>
      <w:proofErr w:type="spellEnd"/>
      <w:r w:rsidRPr="00580C20">
        <w:rPr>
          <w:sz w:val="16"/>
        </w:rPr>
        <w:t xml:space="preserve">- </w:t>
      </w:r>
      <w:proofErr w:type="spellStart"/>
      <w:r w:rsidRPr="00580C20">
        <w:rPr>
          <w:sz w:val="16"/>
        </w:rPr>
        <w:t>tions</w:t>
      </w:r>
      <w:proofErr w:type="spellEnd"/>
      <w:r w:rsidRPr="00580C20">
        <w:rPr>
          <w:sz w:val="16"/>
        </w:rPr>
        <w:t xml:space="preserve"> they bear, </w:t>
      </w:r>
      <w:r w:rsidRPr="00580C20">
        <w:rPr>
          <w:rStyle w:val="StyleUnderline"/>
        </w:rPr>
        <w:t xml:space="preserve">recent </w:t>
      </w:r>
      <w:r w:rsidRPr="00897BDB">
        <w:rPr>
          <w:rStyle w:val="StyleUnderline"/>
          <w:highlight w:val="cyan"/>
        </w:rPr>
        <w:t>attempts to theorize settler colonialism</w:t>
      </w:r>
      <w:r w:rsidRPr="00580C20">
        <w:rPr>
          <w:rStyle w:val="StyleUnderline"/>
        </w:rPr>
        <w:t xml:space="preserve"> have sought to </w:t>
      </w:r>
      <w:r w:rsidRPr="00897BDB">
        <w:rPr>
          <w:rStyle w:val="Emphasis"/>
          <w:highlight w:val="cyan"/>
        </w:rPr>
        <w:t>shift attention from its effects</w:t>
      </w:r>
      <w:r w:rsidRPr="00580C20">
        <w:rPr>
          <w:rStyle w:val="Emphasis"/>
        </w:rPr>
        <w:t xml:space="preserve"> on Indigenous subjects</w:t>
      </w:r>
      <w:r w:rsidRPr="00580C20">
        <w:rPr>
          <w:rStyle w:val="StyleUnderline"/>
        </w:rPr>
        <w:t xml:space="preserve"> </w:t>
      </w:r>
      <w:r w:rsidRPr="00897BDB">
        <w:rPr>
          <w:rStyle w:val="StyleUnderline"/>
          <w:highlight w:val="cyan"/>
        </w:rPr>
        <w:t xml:space="preserve">to its implications for </w:t>
      </w:r>
      <w:r w:rsidRPr="00897BDB">
        <w:rPr>
          <w:rStyle w:val="Emphasis"/>
          <w:highlight w:val="cyan"/>
        </w:rPr>
        <w:t>nonnative political attachments, forms of inhabitance, and modes of being</w:t>
      </w:r>
      <w:r w:rsidRPr="00580C20">
        <w:rPr>
          <w:sz w:val="16"/>
        </w:rPr>
        <w:t xml:space="preserve">, illuminating and </w:t>
      </w:r>
      <w:r w:rsidRPr="00897BDB">
        <w:rPr>
          <w:rStyle w:val="StyleUnderline"/>
          <w:highlight w:val="cyan"/>
        </w:rPr>
        <w:t xml:space="preserve">tracking the </w:t>
      </w:r>
      <w:r w:rsidRPr="00897BDB">
        <w:rPr>
          <w:rStyle w:val="Emphasis"/>
          <w:highlight w:val="cyan"/>
        </w:rPr>
        <w:t>pervasive operation of settlement as a system</w:t>
      </w:r>
      <w:r w:rsidRPr="00580C20">
        <w:rPr>
          <w:sz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897BDB">
        <w:rPr>
          <w:rStyle w:val="Emphasis"/>
          <w:highlight w:val="cyan"/>
        </w:rPr>
        <w:t>invasion is a structure not an event</w:t>
      </w:r>
      <w:r w:rsidRPr="00580C20">
        <w:rPr>
          <w:sz w:val="16"/>
        </w:rPr>
        <w:t xml:space="preserve">” (2).6 He suggests that </w:t>
      </w:r>
      <w:r w:rsidRPr="00897BDB">
        <w:rPr>
          <w:rStyle w:val="StyleUnderline"/>
          <w:highlight w:val="cyan"/>
        </w:rPr>
        <w:t>a “logic of elimination” drives settler</w:t>
      </w:r>
      <w:r w:rsidRPr="00580C20">
        <w:rPr>
          <w:rStyle w:val="StyleUnderline"/>
        </w:rPr>
        <w:t xml:space="preserve"> governance and </w:t>
      </w:r>
      <w:r w:rsidRPr="00897BDB">
        <w:rPr>
          <w:rStyle w:val="StyleUnderline"/>
          <w:highlight w:val="cyan"/>
        </w:rPr>
        <w:t>sociality</w:t>
      </w:r>
      <w:r w:rsidRPr="00580C20">
        <w:rPr>
          <w:sz w:val="16"/>
        </w:rPr>
        <w:t>, describing “</w:t>
      </w:r>
      <w:r w:rsidRPr="00580C20">
        <w:rPr>
          <w:rStyle w:val="StyleUnderline"/>
        </w:rPr>
        <w:t>the settler-colonial will</w:t>
      </w:r>
      <w:r w:rsidRPr="00580C20">
        <w:rPr>
          <w:sz w:val="16"/>
        </w:rPr>
        <w:t xml:space="preserve">” as “a historical force that </w:t>
      </w:r>
      <w:r w:rsidRPr="00580C20">
        <w:rPr>
          <w:rStyle w:val="StyleUnderline"/>
        </w:rPr>
        <w:t>ultimately derives from the primal drive to expansion</w:t>
      </w:r>
      <w:r w:rsidRPr="00580C20">
        <w:rPr>
          <w:sz w:val="16"/>
        </w:rPr>
        <w:t xml:space="preserve"> that is generally glossed as capitalism” (167), and in “Settler Colonialism and the Elimination of the Native,” he observes that “</w:t>
      </w:r>
      <w:r w:rsidRPr="00897BDB">
        <w:rPr>
          <w:rStyle w:val="StyleUnderline"/>
          <w:highlight w:val="cyan"/>
        </w:rPr>
        <w:t xml:space="preserve">elimination is an </w:t>
      </w:r>
      <w:r w:rsidRPr="00897BDB">
        <w:rPr>
          <w:rStyle w:val="Emphasis"/>
          <w:highlight w:val="cyan"/>
        </w:rPr>
        <w:t>organizing principle of settler-colonial society</w:t>
      </w:r>
      <w:r w:rsidRPr="00897BDB">
        <w:rPr>
          <w:rStyle w:val="StyleUnderline"/>
          <w:highlight w:val="cyan"/>
        </w:rPr>
        <w:t xml:space="preserve"> rather than a one-off</w:t>
      </w:r>
      <w:r w:rsidRPr="00580C20">
        <w:rPr>
          <w:rStyle w:val="StyleUnderline"/>
        </w:rPr>
        <w:t xml:space="preserve"> (and </w:t>
      </w:r>
      <w:proofErr w:type="spellStart"/>
      <w:r w:rsidRPr="00580C20">
        <w:rPr>
          <w:rStyle w:val="StyleUnderline"/>
        </w:rPr>
        <w:t>superceded</w:t>
      </w:r>
      <w:proofErr w:type="spellEnd"/>
      <w:r w:rsidRPr="00580C20">
        <w:rPr>
          <w:rStyle w:val="StyleUnderline"/>
        </w:rPr>
        <w:t xml:space="preserve">) </w:t>
      </w:r>
      <w:r w:rsidRPr="00897BDB">
        <w:rPr>
          <w:rStyle w:val="StyleUnderline"/>
          <w:highlight w:val="cyan"/>
        </w:rPr>
        <w:t>occurrence</w:t>
      </w:r>
      <w:r w:rsidRPr="00580C20">
        <w:rPr>
          <w:sz w:val="16"/>
        </w:rPr>
        <w:t>” (388). Rather than being superseded after an initial moment/ period of conquest, colonization persists since “</w:t>
      </w:r>
      <w:r w:rsidRPr="00580C20">
        <w:rPr>
          <w:rStyle w:val="StyleUnderline"/>
        </w:rPr>
        <w:t xml:space="preserve">the logic of elimination marks a return whereby </w:t>
      </w:r>
      <w:r w:rsidRPr="00897BDB">
        <w:rPr>
          <w:rStyle w:val="Emphasis"/>
          <w:highlight w:val="cyan"/>
        </w:rPr>
        <w:t>the native</w:t>
      </w:r>
      <w:r w:rsidRPr="00580C20">
        <w:rPr>
          <w:rStyle w:val="Emphasis"/>
        </w:rPr>
        <w:t xml:space="preserve"> repressed </w:t>
      </w:r>
      <w:r w:rsidRPr="00897BDB">
        <w:rPr>
          <w:rStyle w:val="Emphasis"/>
          <w:highlight w:val="cyan"/>
        </w:rPr>
        <w:t>continues to structure settler- colonial society</w:t>
      </w:r>
      <w:r w:rsidRPr="00580C20">
        <w:rPr>
          <w:sz w:val="16"/>
        </w:rPr>
        <w:t xml:space="preserve">” (390). In Aileen Moreton-Robinson’s work, whiteness </w:t>
      </w:r>
      <w:proofErr w:type="spellStart"/>
      <w:r w:rsidRPr="00580C20">
        <w:rPr>
          <w:sz w:val="16"/>
        </w:rPr>
        <w:t>func</w:t>
      </w:r>
      <w:proofErr w:type="spellEnd"/>
      <w:r w:rsidRPr="00580C20">
        <w:rPr>
          <w:sz w:val="16"/>
        </w:rPr>
        <w:t xml:space="preserve">- </w:t>
      </w:r>
      <w:proofErr w:type="spellStart"/>
      <w:r w:rsidRPr="00580C20">
        <w:rPr>
          <w:sz w:val="16"/>
        </w:rPr>
        <w:t>tions</w:t>
      </w:r>
      <w:proofErr w:type="spellEnd"/>
      <w:r w:rsidRPr="00580C20">
        <w:rPr>
          <w:sz w:val="16"/>
        </w:rPr>
        <w:t xml:space="preserve"> as the central way of understanding the domination and displacement of Indigenous peoples by nonnatives.7 In “Writing Off Indigenous </w:t>
      </w:r>
      <w:proofErr w:type="spellStart"/>
      <w:r w:rsidRPr="00580C20">
        <w:rPr>
          <w:sz w:val="16"/>
        </w:rPr>
        <w:t>Sover</w:t>
      </w:r>
      <w:proofErr w:type="spellEnd"/>
      <w:r w:rsidRPr="00580C20">
        <w:rPr>
          <w:sz w:val="16"/>
        </w:rPr>
        <w:t xml:space="preserve">- </w:t>
      </w:r>
      <w:proofErr w:type="spellStart"/>
      <w:r w:rsidRPr="00580C20">
        <w:rPr>
          <w:sz w:val="16"/>
        </w:rPr>
        <w:t>eignty</w:t>
      </w:r>
      <w:proofErr w:type="spellEnd"/>
      <w:r w:rsidRPr="00580C20">
        <w:rPr>
          <w:sz w:val="16"/>
        </w:rPr>
        <w:t xml:space="preserve">,” she argues, “As a regime of power, patriarchal white sovereignty operates ideologically, materially and discursively to reproduce and main- </w:t>
      </w:r>
      <w:proofErr w:type="spellStart"/>
      <w:r w:rsidRPr="00580C20">
        <w:rPr>
          <w:sz w:val="16"/>
        </w:rPr>
        <w:t>tain</w:t>
      </w:r>
      <w:proofErr w:type="spellEnd"/>
      <w:r w:rsidRPr="00580C20">
        <w:rPr>
          <w:sz w:val="16"/>
        </w:rPr>
        <w:t xml:space="preserve"> its investment in the nation as a white possession” (88), and in “Writ- </w:t>
      </w:r>
      <w:proofErr w:type="spellStart"/>
      <w:r w:rsidRPr="00580C20">
        <w:rPr>
          <w:sz w:val="16"/>
        </w:rPr>
        <w:t>ing</w:t>
      </w:r>
      <w:proofErr w:type="spellEnd"/>
      <w:r w:rsidRPr="00580C20">
        <w:rPr>
          <w:sz w:val="16"/>
        </w:rPr>
        <w:t xml:space="preserve"> Off Treaties,” she suggests, “</w:t>
      </w:r>
      <w:r w:rsidRPr="00897BDB">
        <w:rPr>
          <w:rStyle w:val="Emphasis"/>
          <w:highlight w:val="cyan"/>
        </w:rPr>
        <w:t>At an ontological level the structure of subjective possession</w:t>
      </w:r>
      <w:r w:rsidRPr="00897BDB">
        <w:rPr>
          <w:rStyle w:val="StyleUnderline"/>
          <w:highlight w:val="cyan"/>
        </w:rPr>
        <w:t xml:space="preserve"> occurs through</w:t>
      </w:r>
      <w:r w:rsidRPr="00580C20">
        <w:rPr>
          <w:rStyle w:val="StyleUnderline"/>
        </w:rPr>
        <w:t xml:space="preserve"> the </w:t>
      </w:r>
      <w:r w:rsidRPr="00897BDB">
        <w:rPr>
          <w:rStyle w:val="StyleUnderline"/>
          <w:highlight w:val="cyan"/>
        </w:rPr>
        <w:t>imposition of one’s will-to-be on the thing which is perceived to lack will, thus</w:t>
      </w:r>
      <w:r w:rsidRPr="00580C20">
        <w:rPr>
          <w:rStyle w:val="StyleUnderline"/>
        </w:rPr>
        <w:t xml:space="preserve"> it is </w:t>
      </w:r>
      <w:r w:rsidRPr="00897BDB">
        <w:rPr>
          <w:rStyle w:val="Emphasis"/>
          <w:highlight w:val="cyan"/>
        </w:rPr>
        <w:t>open to being possessed</w:t>
      </w:r>
      <w:r w:rsidRPr="00580C20">
        <w:rPr>
          <w:sz w:val="16"/>
        </w:rPr>
        <w:t>,” such that “</w:t>
      </w:r>
      <w:r w:rsidRPr="00897BDB">
        <w:rPr>
          <w:rStyle w:val="StyleUnderline"/>
          <w:highlight w:val="cyan"/>
        </w:rPr>
        <w:t>possession . . . forms</w:t>
      </w:r>
      <w:r w:rsidRPr="00580C20">
        <w:rPr>
          <w:sz w:val="16"/>
        </w:rPr>
        <w:t xml:space="preserve"> part of</w:t>
      </w:r>
      <w:r w:rsidRPr="00580C20">
        <w:rPr>
          <w:rStyle w:val="StyleUnderline"/>
        </w:rPr>
        <w:t xml:space="preserve"> </w:t>
      </w:r>
      <w:r w:rsidRPr="00897BDB">
        <w:rPr>
          <w:rStyle w:val="Emphasis"/>
          <w:highlight w:val="cyan"/>
        </w:rPr>
        <w:t>the ontological structure of white subjectivity</w:t>
      </w:r>
      <w:r w:rsidRPr="00580C20">
        <w:rPr>
          <w:sz w:val="16"/>
        </w:rPr>
        <w:t>” (83–84). For Jodi Byrd, the deployment of Indianness as a mobile figure works as the principal mode of U.S. settler colonialism. She observes that “</w:t>
      </w:r>
      <w:r w:rsidRPr="00897BDB">
        <w:rPr>
          <w:rStyle w:val="StyleUnderline"/>
          <w:highlight w:val="cyan"/>
        </w:rPr>
        <w:t xml:space="preserve">colonization and racialization . . . have </w:t>
      </w:r>
      <w:r w:rsidRPr="00897BDB">
        <w:rPr>
          <w:rStyle w:val="Emphasis"/>
          <w:highlight w:val="cyan"/>
        </w:rPr>
        <w:t>often been conflated</w:t>
      </w:r>
      <w:r w:rsidRPr="00897BDB">
        <w:rPr>
          <w:rStyle w:val="StyleUnderline"/>
          <w:highlight w:val="cyan"/>
        </w:rPr>
        <w:t>,” in ways that</w:t>
      </w:r>
      <w:r w:rsidRPr="00580C20">
        <w:rPr>
          <w:sz w:val="16"/>
        </w:rPr>
        <w:t xml:space="preserve"> “tend to be sited along the axis of inclusion/exclusion” and that “</w:t>
      </w:r>
      <w:r w:rsidRPr="00897BDB">
        <w:rPr>
          <w:rStyle w:val="Emphasis"/>
          <w:highlight w:val="cyan"/>
        </w:rPr>
        <w:t>misdirect and cloud attention from the underlying structures of settler colonialism</w:t>
      </w:r>
      <w:r w:rsidRPr="00580C20">
        <w:rPr>
          <w:sz w:val="16"/>
        </w:rPr>
        <w:t xml:space="preserve">” (xxiii, xvii). She argues that </w:t>
      </w:r>
      <w:r w:rsidRPr="00580C20">
        <w:rPr>
          <w:rStyle w:val="StyleUnderline"/>
        </w:rPr>
        <w:t>settlement works through the translation of indigeneity as Indianness</w:t>
      </w:r>
      <w:r w:rsidRPr="00580C20">
        <w:rPr>
          <w:sz w:val="16"/>
        </w:rPr>
        <w:t xml:space="preserve">, casting place-based political </w:t>
      </w:r>
      <w:proofErr w:type="spellStart"/>
      <w:r w:rsidRPr="00580C20">
        <w:rPr>
          <w:sz w:val="16"/>
        </w:rPr>
        <w:t>collec</w:t>
      </w:r>
      <w:proofErr w:type="spellEnd"/>
      <w:r w:rsidRPr="00580C20">
        <w:rPr>
          <w:sz w:val="16"/>
        </w:rPr>
        <w:t xml:space="preserve">- </w:t>
      </w:r>
      <w:proofErr w:type="spellStart"/>
      <w:r w:rsidRPr="00580C20">
        <w:rPr>
          <w:sz w:val="16"/>
        </w:rPr>
        <w:t>tivities</w:t>
      </w:r>
      <w:proofErr w:type="spellEnd"/>
      <w:r w:rsidRPr="00580C20">
        <w:rPr>
          <w:sz w:val="16"/>
        </w:rPr>
        <w:t xml:space="preserve"> as (racialized) populations subject to U.S. jurisdiction and manage- </w:t>
      </w:r>
      <w:proofErr w:type="spellStart"/>
      <w:r w:rsidRPr="00580C20">
        <w:rPr>
          <w:sz w:val="16"/>
        </w:rPr>
        <w:t>ment</w:t>
      </w:r>
      <w:proofErr w:type="spellEnd"/>
      <w:r w:rsidRPr="00580C20">
        <w:rPr>
          <w:sz w:val="16"/>
        </w:rPr>
        <w:t>: “</w:t>
      </w:r>
      <w:r w:rsidRPr="00580C20">
        <w:rPr>
          <w:rStyle w:val="StyleUnderline"/>
        </w:rPr>
        <w:t>the Indian is left nowhere and everywhere within the ontological premises through which U.S. empire orients</w:t>
      </w:r>
      <w:r w:rsidRPr="00580C20">
        <w:rPr>
          <w:sz w:val="16"/>
        </w:rPr>
        <w:t xml:space="preserve">, imagines, and critiques </w:t>
      </w:r>
      <w:r w:rsidRPr="00580C20">
        <w:rPr>
          <w:rStyle w:val="StyleUnderline"/>
        </w:rPr>
        <w:t>itself</w:t>
      </w:r>
      <w:r w:rsidRPr="00580C20">
        <w:rPr>
          <w:sz w:val="16"/>
        </w:rPr>
        <w:t xml:space="preserve"> ”; “</w:t>
      </w:r>
      <w:r w:rsidRPr="00897BDB">
        <w:rPr>
          <w:rStyle w:val="StyleUnderline"/>
          <w:highlight w:val="cyan"/>
        </w:rPr>
        <w:t>ideas of</w:t>
      </w:r>
      <w:r w:rsidRPr="00580C20">
        <w:rPr>
          <w:sz w:val="16"/>
        </w:rPr>
        <w:t xml:space="preserve"> Indians and </w:t>
      </w:r>
      <w:r w:rsidRPr="00897BDB">
        <w:rPr>
          <w:rStyle w:val="StyleUnderline"/>
          <w:highlight w:val="cyan"/>
        </w:rPr>
        <w:t xml:space="preserve">Indianness have served as </w:t>
      </w:r>
      <w:r w:rsidRPr="00897BDB">
        <w:rPr>
          <w:rStyle w:val="Emphasis"/>
          <w:highlight w:val="cyan"/>
        </w:rPr>
        <w:t>the ontological ground through which U.S. settler colonialism enacts itself</w:t>
      </w:r>
      <w:r w:rsidRPr="00580C20">
        <w:rPr>
          <w:rStyle w:val="Emphasis"/>
        </w:rPr>
        <w:t xml:space="preserve"> </w:t>
      </w:r>
      <w:r>
        <w:rPr>
          <w:sz w:val="16"/>
        </w:rPr>
        <w:t>” (xix).</w:t>
      </w:r>
    </w:p>
    <w:p w14:paraId="25911200" w14:textId="77777777" w:rsidR="001464E4" w:rsidRDefault="001464E4" w:rsidP="001464E4">
      <w:pPr>
        <w:pStyle w:val="Heading4"/>
        <w:shd w:val="clear" w:color="auto" w:fill="FFFFFF"/>
        <w:rPr>
          <w:rFonts w:ascii="Arial" w:hAnsi="Arial" w:cs="Arial"/>
          <w:color w:val="222222"/>
          <w:sz w:val="19"/>
          <w:szCs w:val="19"/>
        </w:rPr>
      </w:pPr>
      <w:r>
        <w:rPr>
          <w:rFonts w:ascii="Arial" w:hAnsi="Arial" w:cs="Arial"/>
          <w:color w:val="222222"/>
          <w:sz w:val="19"/>
          <w:szCs w:val="19"/>
        </w:rPr>
        <w:t xml:space="preserve">The frontier has always been defined by a chaotic blurring of borders both physical and not – reject their mystification and confusion of meaning and signification as a quintessential settler tactic </w:t>
      </w:r>
    </w:p>
    <w:p w14:paraId="496C420C" w14:textId="77777777" w:rsidR="001464E4" w:rsidRDefault="001464E4" w:rsidP="001464E4">
      <w:pPr>
        <w:shd w:val="clear" w:color="auto" w:fill="FFFFFF"/>
        <w:rPr>
          <w:rFonts w:ascii="Arial" w:hAnsi="Arial" w:cs="Arial"/>
          <w:color w:val="222222"/>
          <w:sz w:val="19"/>
          <w:szCs w:val="19"/>
        </w:rPr>
      </w:pPr>
      <w:r>
        <w:rPr>
          <w:rFonts w:ascii="Arial" w:hAnsi="Arial" w:cs="Arial"/>
          <w:b/>
          <w:bCs/>
          <w:color w:val="222222"/>
          <w:sz w:val="19"/>
          <w:szCs w:val="19"/>
        </w:rPr>
        <w:t>Young 2013</w:t>
      </w:r>
      <w:r>
        <w:rPr>
          <w:rFonts w:ascii="Arial" w:hAnsi="Arial" w:cs="Arial"/>
          <w:color w:val="222222"/>
          <w:sz w:val="16"/>
          <w:szCs w:val="16"/>
        </w:rPr>
        <w:t xml:space="preserve"> [Alex Trimble, graduate student at the University of Southern California. He is at work on a dissertation on the use of frontier rhetoric and the origins of postmodernism in the post-1945 countercultural literatures of the United States, “Settler Sovereignty and the Rhizomatic West, or, The Significance of the Frontier in </w:t>
      </w:r>
      <w:proofErr w:type="spellStart"/>
      <w:r>
        <w:rPr>
          <w:rFonts w:ascii="Arial" w:hAnsi="Arial" w:cs="Arial"/>
          <w:color w:val="222222"/>
          <w:sz w:val="16"/>
          <w:szCs w:val="16"/>
        </w:rPr>
        <w:t>Postwestern</w:t>
      </w:r>
      <w:proofErr w:type="spellEnd"/>
      <w:r>
        <w:rPr>
          <w:rFonts w:ascii="Arial" w:hAnsi="Arial" w:cs="Arial"/>
          <w:color w:val="222222"/>
          <w:sz w:val="16"/>
          <w:szCs w:val="16"/>
        </w:rPr>
        <w:t xml:space="preserve"> Studies,” </w:t>
      </w:r>
      <w:r>
        <w:rPr>
          <w:rFonts w:ascii="Arial" w:hAnsi="Arial" w:cs="Arial"/>
          <w:i/>
          <w:iCs/>
          <w:color w:val="222222"/>
          <w:sz w:val="16"/>
          <w:szCs w:val="16"/>
        </w:rPr>
        <w:t>Western American Literature</w:t>
      </w:r>
      <w:r>
        <w:rPr>
          <w:rFonts w:ascii="Arial" w:hAnsi="Arial" w:cs="Arial"/>
          <w:color w:val="222222"/>
          <w:sz w:val="16"/>
          <w:szCs w:val="16"/>
        </w:rPr>
        <w:t>, Volume 48, Numbers 1 &amp; 2, Spring/Summer]</w:t>
      </w:r>
    </w:p>
    <w:p w14:paraId="592E9B1A" w14:textId="77777777" w:rsidR="001464E4" w:rsidRDefault="001464E4" w:rsidP="001464E4">
      <w:pPr>
        <w:shd w:val="clear" w:color="auto" w:fill="FFFFFF"/>
        <w:rPr>
          <w:rFonts w:ascii="Arial" w:hAnsi="Arial" w:cs="Arial"/>
          <w:color w:val="222222"/>
          <w:sz w:val="19"/>
          <w:szCs w:val="19"/>
        </w:rPr>
      </w:pPr>
      <w:r>
        <w:rPr>
          <w:rFonts w:ascii="Arial" w:hAnsi="Arial" w:cs="Arial"/>
          <w:color w:val="222222"/>
          <w:sz w:val="16"/>
          <w:szCs w:val="16"/>
        </w:rPr>
        <w:t xml:space="preserve">While discussion of </w:t>
      </w:r>
      <w:proofErr w:type="spellStart"/>
      <w:r>
        <w:rPr>
          <w:rFonts w:ascii="Arial" w:hAnsi="Arial" w:cs="Arial"/>
          <w:color w:val="222222"/>
          <w:sz w:val="16"/>
          <w:szCs w:val="16"/>
        </w:rPr>
        <w:t>Weizman’s</w:t>
      </w:r>
      <w:proofErr w:type="spellEnd"/>
      <w:r>
        <w:rPr>
          <w:rFonts w:ascii="Arial" w:hAnsi="Arial" w:cs="Arial"/>
          <w:color w:val="222222"/>
          <w:sz w:val="16"/>
          <w:szCs w:val="16"/>
        </w:rPr>
        <w:t xml:space="preserve"> work on the Israeli military’s use of A Thousand Plateaus has almost become a commonplace in contemporary critiques of Deleuze and </w:t>
      </w:r>
      <w:proofErr w:type="spellStart"/>
      <w:r>
        <w:rPr>
          <w:rFonts w:ascii="Arial" w:hAnsi="Arial" w:cs="Arial"/>
          <w:color w:val="222222"/>
          <w:sz w:val="16"/>
          <w:szCs w:val="16"/>
        </w:rPr>
        <w:t>Guattari</w:t>
      </w:r>
      <w:proofErr w:type="spellEnd"/>
      <w:r>
        <w:rPr>
          <w:rFonts w:ascii="Arial" w:hAnsi="Arial" w:cs="Arial"/>
          <w:color w:val="222222"/>
          <w:sz w:val="16"/>
          <w:szCs w:val="16"/>
        </w:rPr>
        <w:t xml:space="preserve">, his less-discussed work on the spatial forms that Israeli settlers have employed in their efforts to colonize the West Bank since 1967 offers an equally important analysis of the relationship of rhizomatic assemblages to settler state power. In a chapter titled “Frontier Architecture” in his 2007 monograph Hollow Land: Israel’s Architecture of Occupation, </w:t>
      </w:r>
      <w:proofErr w:type="spellStart"/>
      <w:r>
        <w:rPr>
          <w:rFonts w:ascii="Arial" w:hAnsi="Arial" w:cs="Arial"/>
          <w:color w:val="222222"/>
          <w:sz w:val="16"/>
          <w:szCs w:val="16"/>
        </w:rPr>
        <w:t>Weizman</w:t>
      </w:r>
      <w:proofErr w:type="spellEnd"/>
      <w:r>
        <w:rPr>
          <w:rFonts w:ascii="Arial" w:hAnsi="Arial" w:cs="Arial"/>
          <w:color w:val="222222"/>
          <w:sz w:val="16"/>
          <w:szCs w:val="16"/>
        </w:rPr>
        <w:t xml:space="preserve"> tracks the growth of a single Israeli settlement in the West Bank, the “illegal” outpost of </w:t>
      </w:r>
      <w:proofErr w:type="spellStart"/>
      <w:r>
        <w:rPr>
          <w:rFonts w:ascii="Arial" w:hAnsi="Arial" w:cs="Arial"/>
          <w:color w:val="222222"/>
          <w:sz w:val="16"/>
          <w:szCs w:val="16"/>
        </w:rPr>
        <w:t>Migron</w:t>
      </w:r>
      <w:proofErr w:type="spellEnd"/>
      <w:r>
        <w:rPr>
          <w:rFonts w:ascii="Arial" w:hAnsi="Arial" w:cs="Arial"/>
          <w:color w:val="222222"/>
          <w:sz w:val="16"/>
          <w:szCs w:val="16"/>
        </w:rPr>
        <w:t xml:space="preserve">. In </w:t>
      </w:r>
      <w:proofErr w:type="spellStart"/>
      <w:r>
        <w:rPr>
          <w:rFonts w:ascii="Arial" w:hAnsi="Arial" w:cs="Arial"/>
          <w:color w:val="222222"/>
          <w:sz w:val="16"/>
          <w:szCs w:val="16"/>
        </w:rPr>
        <w:t>Weizman’s</w:t>
      </w:r>
      <w:proofErr w:type="spellEnd"/>
      <w:r>
        <w:rPr>
          <w:rFonts w:ascii="Arial" w:hAnsi="Arial" w:cs="Arial"/>
          <w:color w:val="222222"/>
          <w:sz w:val="16"/>
          <w:szCs w:val="16"/>
        </w:rPr>
        <w:t xml:space="preserve"> description of the “elastic geography” of the development of this Israeli frontier, the rhetorical parallels to Deleuze and </w:t>
      </w:r>
      <w:proofErr w:type="spellStart"/>
      <w:r>
        <w:rPr>
          <w:rFonts w:ascii="Arial" w:hAnsi="Arial" w:cs="Arial"/>
          <w:color w:val="222222"/>
          <w:sz w:val="16"/>
          <w:szCs w:val="16"/>
        </w:rPr>
        <w:t>Guattari’s</w:t>
      </w:r>
      <w:proofErr w:type="spellEnd"/>
      <w:r>
        <w:rPr>
          <w:rFonts w:ascii="Arial" w:hAnsi="Arial" w:cs="Arial"/>
          <w:color w:val="222222"/>
          <w:sz w:val="16"/>
          <w:szCs w:val="16"/>
        </w:rPr>
        <w:t xml:space="preserve"> description of the rhizome are striking: </w:t>
      </w:r>
      <w:r>
        <w:rPr>
          <w:rFonts w:ascii="Arial" w:hAnsi="Arial" w:cs="Arial"/>
          <w:color w:val="222222"/>
          <w:sz w:val="19"/>
          <w:szCs w:val="19"/>
          <w:u w:val="single"/>
        </w:rPr>
        <w:t>The </w:t>
      </w:r>
      <w:r>
        <w:rPr>
          <w:rFonts w:ascii="Arial" w:hAnsi="Arial" w:cs="Arial"/>
          <w:color w:val="222222"/>
          <w:sz w:val="19"/>
          <w:szCs w:val="19"/>
          <w:u w:val="single"/>
          <w:shd w:val="clear" w:color="auto" w:fill="00FFFF"/>
        </w:rPr>
        <w:t>frontiers of the Occupied Territories are not rigid and fixed</w:t>
      </w:r>
      <w:r>
        <w:rPr>
          <w:rFonts w:ascii="Arial" w:hAnsi="Arial" w:cs="Arial"/>
          <w:color w:val="222222"/>
          <w:sz w:val="19"/>
          <w:szCs w:val="19"/>
          <w:u w:val="single"/>
        </w:rPr>
        <w:t> at all; rather, </w:t>
      </w:r>
      <w:r>
        <w:rPr>
          <w:rFonts w:ascii="Arial" w:hAnsi="Arial" w:cs="Arial"/>
          <w:color w:val="222222"/>
          <w:sz w:val="19"/>
          <w:szCs w:val="19"/>
          <w:u w:val="single"/>
          <w:shd w:val="clear" w:color="auto" w:fill="00FFFF"/>
        </w:rPr>
        <w:t>they are elastic, and in constant transformation.</w:t>
      </w:r>
      <w:r>
        <w:rPr>
          <w:rFonts w:ascii="Arial" w:hAnsi="Arial" w:cs="Arial"/>
          <w:color w:val="222222"/>
          <w:sz w:val="19"/>
          <w:szCs w:val="19"/>
          <w:u w:val="single"/>
        </w:rPr>
        <w:t> The linear border, a cartographic imaginary inherited from the military and political spatiality of the nation state has splintered into a multitude of … border-synonyms. … These </w:t>
      </w:r>
      <w:r>
        <w:rPr>
          <w:rFonts w:ascii="Arial" w:hAnsi="Arial" w:cs="Arial"/>
          <w:color w:val="222222"/>
          <w:sz w:val="19"/>
          <w:szCs w:val="19"/>
          <w:u w:val="single"/>
          <w:shd w:val="clear" w:color="auto" w:fill="00FFFF"/>
        </w:rPr>
        <w:t xml:space="preserve">borders are dynamic, constantly shifting, ebbing, </w:t>
      </w:r>
      <w:proofErr w:type="spellStart"/>
      <w:r>
        <w:rPr>
          <w:rFonts w:ascii="Arial" w:hAnsi="Arial" w:cs="Arial"/>
          <w:color w:val="222222"/>
          <w:sz w:val="19"/>
          <w:szCs w:val="19"/>
          <w:u w:val="single"/>
          <w:shd w:val="clear" w:color="auto" w:fill="00FFFF"/>
        </w:rPr>
        <w:t>and</w:t>
      </w:r>
      <w:r>
        <w:rPr>
          <w:rStyle w:val="Emphasis"/>
          <w:rFonts w:ascii="Arial" w:hAnsi="Arial" w:cs="Arial"/>
          <w:color w:val="222222"/>
          <w:sz w:val="19"/>
          <w:szCs w:val="19"/>
          <w:shd w:val="clear" w:color="auto" w:fill="00FFFF"/>
        </w:rPr>
        <w:t>flowing</w:t>
      </w:r>
      <w:proofErr w:type="spellEnd"/>
      <w:r>
        <w:rPr>
          <w:rStyle w:val="Emphasis"/>
          <w:rFonts w:ascii="Arial" w:hAnsi="Arial" w:cs="Arial"/>
          <w:color w:val="222222"/>
          <w:sz w:val="19"/>
          <w:szCs w:val="19"/>
          <w:shd w:val="clear" w:color="auto" w:fill="00FFFF"/>
        </w:rPr>
        <w:t>. … The anarchic geography of the frontier is an evolving image of transformation</w:t>
      </w:r>
      <w:r>
        <w:rPr>
          <w:rFonts w:ascii="Arial" w:hAnsi="Arial" w:cs="Arial"/>
          <w:color w:val="222222"/>
          <w:sz w:val="19"/>
          <w:szCs w:val="19"/>
        </w:rPr>
        <w:t>. </w:t>
      </w:r>
      <w:r>
        <w:rPr>
          <w:rFonts w:ascii="Arial" w:hAnsi="Arial" w:cs="Arial"/>
          <w:color w:val="222222"/>
          <w:sz w:val="19"/>
          <w:szCs w:val="19"/>
          <w:u w:val="single"/>
          <w:shd w:val="clear" w:color="auto" w:fill="00FFFF"/>
        </w:rPr>
        <w:t>Like so many settler colonies</w:t>
      </w:r>
      <w:r>
        <w:rPr>
          <w:rFonts w:ascii="Arial" w:hAnsi="Arial" w:cs="Arial"/>
          <w:color w:val="222222"/>
          <w:sz w:val="19"/>
          <w:szCs w:val="19"/>
          <w:u w:val="single"/>
        </w:rPr>
        <w:t> on the United States’ nineteenth-century western frontier</w:t>
      </w:r>
      <w:r>
        <w:rPr>
          <w:rFonts w:ascii="Arial" w:hAnsi="Arial" w:cs="Arial"/>
          <w:color w:val="222222"/>
          <w:sz w:val="16"/>
          <w:szCs w:val="16"/>
        </w:rPr>
        <w:t> (the Deadwood camp perhaps being the most familiar example), the rhizomatic nature of </w:t>
      </w:r>
      <w:r>
        <w:rPr>
          <w:rFonts w:ascii="Arial" w:hAnsi="Arial" w:cs="Arial"/>
          <w:color w:val="222222"/>
          <w:sz w:val="19"/>
          <w:szCs w:val="19"/>
          <w:u w:val="single"/>
          <w:shd w:val="clear" w:color="auto" w:fill="00FFFF"/>
        </w:rPr>
        <w:t>Israel’s frontier outpost</w:t>
      </w:r>
      <w:r>
        <w:rPr>
          <w:rFonts w:ascii="Arial" w:hAnsi="Arial" w:cs="Arial"/>
          <w:color w:val="222222"/>
          <w:sz w:val="19"/>
          <w:szCs w:val="19"/>
          <w:u w:val="single"/>
        </w:rPr>
        <w:t>s often </w:t>
      </w:r>
      <w:r>
        <w:rPr>
          <w:rFonts w:ascii="Arial" w:hAnsi="Arial" w:cs="Arial"/>
          <w:color w:val="222222"/>
          <w:sz w:val="19"/>
          <w:szCs w:val="19"/>
          <w:u w:val="single"/>
          <w:shd w:val="clear" w:color="auto" w:fill="00FFFF"/>
        </w:rPr>
        <w:t>defies containment by its juridical order</w:t>
      </w:r>
      <w:r>
        <w:rPr>
          <w:rFonts w:ascii="Arial" w:hAnsi="Arial" w:cs="Arial"/>
          <w:color w:val="222222"/>
          <w:sz w:val="19"/>
          <w:szCs w:val="19"/>
          <w:u w:val="single"/>
        </w:rPr>
        <w:t xml:space="preserve">: the founding of </w:t>
      </w:r>
      <w:proofErr w:type="spellStart"/>
      <w:r>
        <w:rPr>
          <w:rFonts w:ascii="Arial" w:hAnsi="Arial" w:cs="Arial"/>
          <w:color w:val="222222"/>
          <w:sz w:val="19"/>
          <w:szCs w:val="19"/>
          <w:u w:val="single"/>
        </w:rPr>
        <w:t>Migron</w:t>
      </w:r>
      <w:proofErr w:type="spellEnd"/>
      <w:r>
        <w:rPr>
          <w:rFonts w:ascii="Arial" w:hAnsi="Arial" w:cs="Arial"/>
          <w:color w:val="222222"/>
          <w:sz w:val="19"/>
          <w:szCs w:val="19"/>
          <w:u w:val="single"/>
        </w:rPr>
        <w:t xml:space="preserve"> was not sanctioned by the arborescent power structure of the state</w:t>
      </w:r>
      <w:r>
        <w:rPr>
          <w:rFonts w:ascii="Arial" w:hAnsi="Arial" w:cs="Arial"/>
          <w:color w:val="222222"/>
          <w:sz w:val="19"/>
          <w:szCs w:val="19"/>
        </w:rPr>
        <w:t>. </w:t>
      </w:r>
      <w:r>
        <w:rPr>
          <w:rFonts w:ascii="Arial" w:hAnsi="Arial" w:cs="Arial"/>
          <w:color w:val="222222"/>
          <w:sz w:val="16"/>
          <w:szCs w:val="16"/>
        </w:rPr>
        <w:t>That said,</w:t>
      </w:r>
      <w:r>
        <w:rPr>
          <w:rFonts w:ascii="Arial" w:hAnsi="Arial" w:cs="Arial"/>
          <w:color w:val="222222"/>
          <w:sz w:val="19"/>
          <w:szCs w:val="19"/>
        </w:rPr>
        <w:t> </w:t>
      </w:r>
      <w:r>
        <w:rPr>
          <w:rFonts w:ascii="Arial" w:hAnsi="Arial" w:cs="Arial"/>
          <w:color w:val="222222"/>
          <w:sz w:val="19"/>
          <w:szCs w:val="19"/>
          <w:u w:val="single"/>
          <w:shd w:val="clear" w:color="auto" w:fill="00FFFF"/>
        </w:rPr>
        <w:t>the pioneers of this frontier</w:t>
      </w:r>
      <w:r>
        <w:rPr>
          <w:rFonts w:ascii="Arial" w:hAnsi="Arial" w:cs="Arial"/>
          <w:color w:val="222222"/>
          <w:sz w:val="16"/>
          <w:szCs w:val="16"/>
        </w:rPr>
        <w:t>, “equally influenced by the myth of rough and rugged Western heroes as by the Israeli myth of the pioneering Zionist settlers of the early twentieth century,”</w:t>
      </w:r>
      <w:r>
        <w:rPr>
          <w:rFonts w:ascii="Arial" w:hAnsi="Arial" w:cs="Arial"/>
          <w:color w:val="222222"/>
          <w:sz w:val="19"/>
          <w:szCs w:val="19"/>
        </w:rPr>
        <w:t> </w:t>
      </w:r>
      <w:r>
        <w:rPr>
          <w:rFonts w:ascii="Arial" w:hAnsi="Arial" w:cs="Arial"/>
          <w:color w:val="222222"/>
          <w:sz w:val="19"/>
          <w:szCs w:val="19"/>
          <w:u w:val="single"/>
          <w:shd w:val="clear" w:color="auto" w:fill="00FFFF"/>
        </w:rPr>
        <w:t>while acting outside the law, could hardly be said to be acting in a manner contrary to the interests of the expanding settler society itself</w:t>
      </w:r>
      <w:r>
        <w:rPr>
          <w:rFonts w:ascii="Arial" w:hAnsi="Arial" w:cs="Arial"/>
          <w:color w:val="222222"/>
          <w:sz w:val="19"/>
          <w:szCs w:val="19"/>
        </w:rPr>
        <w:t> </w:t>
      </w:r>
      <w:r>
        <w:rPr>
          <w:rFonts w:ascii="Arial" w:hAnsi="Arial" w:cs="Arial"/>
          <w:color w:val="222222"/>
          <w:sz w:val="16"/>
          <w:szCs w:val="16"/>
        </w:rPr>
        <w:t xml:space="preserve">(4). The Israeli state has long cast a blind eye on the expansion of illegal settlements such as </w:t>
      </w:r>
      <w:proofErr w:type="spellStart"/>
      <w:r>
        <w:rPr>
          <w:rFonts w:ascii="Arial" w:hAnsi="Arial" w:cs="Arial"/>
          <w:color w:val="222222"/>
          <w:sz w:val="16"/>
          <w:szCs w:val="16"/>
        </w:rPr>
        <w:t>Migron</w:t>
      </w:r>
      <w:proofErr w:type="spellEnd"/>
      <w:r>
        <w:rPr>
          <w:rFonts w:ascii="Arial" w:hAnsi="Arial" w:cs="Arial"/>
          <w:color w:val="222222"/>
          <w:sz w:val="16"/>
          <w:szCs w:val="16"/>
        </w:rPr>
        <w:t xml:space="preserve">, and many once-illegal frontier outposts have been incorporated into Israel’s legally sanctioned network of West Bank settlements.14 </w:t>
      </w:r>
      <w:proofErr w:type="spellStart"/>
      <w:r>
        <w:rPr>
          <w:rFonts w:ascii="Arial" w:hAnsi="Arial" w:cs="Arial"/>
          <w:color w:val="222222"/>
          <w:sz w:val="16"/>
          <w:szCs w:val="16"/>
        </w:rPr>
        <w:t>Weizman</w:t>
      </w:r>
      <w:proofErr w:type="spellEnd"/>
      <w:r>
        <w:rPr>
          <w:rFonts w:ascii="Arial" w:hAnsi="Arial" w:cs="Arial"/>
          <w:color w:val="222222"/>
          <w:sz w:val="16"/>
          <w:szCs w:val="16"/>
        </w:rPr>
        <w:t xml:space="preserve"> argues that</w:t>
      </w:r>
      <w:r>
        <w:rPr>
          <w:rFonts w:ascii="Arial" w:hAnsi="Arial" w:cs="Arial"/>
          <w:color w:val="222222"/>
          <w:sz w:val="19"/>
          <w:szCs w:val="19"/>
        </w:rPr>
        <w:t> </w:t>
      </w:r>
      <w:r>
        <w:rPr>
          <w:rFonts w:ascii="Arial" w:hAnsi="Arial" w:cs="Arial"/>
          <w:color w:val="222222"/>
          <w:sz w:val="19"/>
          <w:szCs w:val="19"/>
          <w:u w:val="single"/>
        </w:rPr>
        <w:t>the plenary power of the Israeli state is</w:t>
      </w:r>
      <w:r>
        <w:rPr>
          <w:rFonts w:ascii="Arial" w:hAnsi="Arial" w:cs="Arial"/>
          <w:color w:val="222222"/>
          <w:sz w:val="16"/>
          <w:szCs w:val="16"/>
        </w:rPr>
        <w:t>, in fact,</w:t>
      </w:r>
      <w:r>
        <w:rPr>
          <w:rFonts w:ascii="Arial" w:hAnsi="Arial" w:cs="Arial"/>
          <w:color w:val="222222"/>
          <w:sz w:val="19"/>
          <w:szCs w:val="19"/>
        </w:rPr>
        <w:t> </w:t>
      </w:r>
      <w:r>
        <w:rPr>
          <w:rFonts w:ascii="Arial" w:hAnsi="Arial" w:cs="Arial"/>
          <w:color w:val="222222"/>
          <w:sz w:val="19"/>
          <w:szCs w:val="19"/>
          <w:u w:val="single"/>
        </w:rPr>
        <w:t>extended by the rhizomatic nature of frontier settlement even as the letter of Israeli law condemns it. </w:t>
      </w:r>
      <w:r>
        <w:rPr>
          <w:rStyle w:val="Emphasis"/>
          <w:rFonts w:ascii="Arial" w:hAnsi="Arial" w:cs="Arial"/>
          <w:color w:val="222222"/>
          <w:sz w:val="19"/>
          <w:szCs w:val="19"/>
          <w:shd w:val="clear" w:color="auto" w:fill="00FFFF"/>
        </w:rPr>
        <w:t>This “selective absence of government intervention promotes an unregulated process of violent dispossession”</w:t>
      </w:r>
      <w:r>
        <w:rPr>
          <w:rFonts w:ascii="Arial" w:hAnsi="Arial" w:cs="Arial"/>
          <w:color w:val="222222"/>
          <w:sz w:val="19"/>
          <w:szCs w:val="19"/>
          <w:u w:val="single"/>
        </w:rPr>
        <w:t> (5), </w:t>
      </w:r>
      <w:r>
        <w:rPr>
          <w:rStyle w:val="m774051857616002577gmail-styleunderline"/>
          <w:rFonts w:ascii="Arial" w:hAnsi="Arial" w:cs="Arial"/>
          <w:color w:val="222222"/>
          <w:sz w:val="19"/>
          <w:szCs w:val="19"/>
          <w:shd w:val="clear" w:color="auto" w:fill="00FFFF"/>
        </w:rPr>
        <w:t>in which the erratic and unpredictable nature of the frontier is exploited</w:t>
      </w:r>
      <w:r>
        <w:rPr>
          <w:rFonts w:ascii="Arial" w:hAnsi="Arial" w:cs="Arial"/>
          <w:color w:val="222222"/>
          <w:sz w:val="16"/>
          <w:szCs w:val="16"/>
        </w:rPr>
        <w:t> by the government.</w:t>
      </w:r>
      <w:r>
        <w:rPr>
          <w:rFonts w:ascii="Arial" w:hAnsi="Arial" w:cs="Arial"/>
          <w:color w:val="222222"/>
          <w:sz w:val="19"/>
          <w:szCs w:val="19"/>
        </w:rPr>
        <w:t> </w:t>
      </w:r>
      <w:r>
        <w:rPr>
          <w:rFonts w:ascii="Arial" w:hAnsi="Arial" w:cs="Arial"/>
          <w:color w:val="222222"/>
          <w:sz w:val="19"/>
          <w:szCs w:val="19"/>
          <w:u w:val="single"/>
        </w:rPr>
        <w:t>Chaos has its peculiar structural advantages. </w:t>
      </w:r>
      <w:r>
        <w:rPr>
          <w:rFonts w:ascii="Arial" w:hAnsi="Arial" w:cs="Arial"/>
          <w:color w:val="222222"/>
          <w:sz w:val="19"/>
          <w:szCs w:val="19"/>
          <w:u w:val="single"/>
          <w:shd w:val="clear" w:color="auto" w:fill="00FFFF"/>
        </w:rPr>
        <w:t>It supports one of Israel’s foremost strategies of obfuscation: the promotion of complexity</w:t>
      </w:r>
      <w:r>
        <w:rPr>
          <w:rFonts w:ascii="Arial" w:hAnsi="Arial" w:cs="Arial"/>
          <w:color w:val="222222"/>
          <w:sz w:val="19"/>
          <w:szCs w:val="19"/>
          <w:u w:val="single"/>
        </w:rPr>
        <w:t>—geographical, legal, or linguistic</w:t>
      </w:r>
      <w:r>
        <w:rPr>
          <w:rFonts w:ascii="Arial" w:hAnsi="Arial" w:cs="Arial"/>
          <w:color w:val="222222"/>
          <w:sz w:val="16"/>
          <w:szCs w:val="16"/>
        </w:rPr>
        <w:t>. Sometimes, following a terminology pioneered by Henry Kissinger,</w:t>
      </w:r>
      <w:r>
        <w:rPr>
          <w:rFonts w:ascii="Arial" w:hAnsi="Arial" w:cs="Arial"/>
          <w:color w:val="222222"/>
          <w:sz w:val="19"/>
          <w:szCs w:val="19"/>
        </w:rPr>
        <w:t> </w:t>
      </w:r>
      <w:r>
        <w:rPr>
          <w:rStyle w:val="Emphasis"/>
          <w:rFonts w:ascii="Arial" w:hAnsi="Arial" w:cs="Arial"/>
          <w:color w:val="222222"/>
          <w:sz w:val="19"/>
          <w:szCs w:val="19"/>
          <w:shd w:val="clear" w:color="auto" w:fill="00FFFF"/>
        </w:rPr>
        <w:t>this strategy is openly referred to as “constructive blurring.” This strategy seeks simultaneously to obfuscate and naturalize the facts of domination</w:t>
      </w:r>
      <w:r>
        <w:rPr>
          <w:rFonts w:ascii="Arial" w:hAnsi="Arial" w:cs="Arial"/>
          <w:color w:val="222222"/>
          <w:sz w:val="19"/>
          <w:szCs w:val="19"/>
          <w:u w:val="single"/>
        </w:rPr>
        <w:t>. Across the frontiers of the West Bank it is undertaken by simultaneously unleashing processes that would create conditions too complex and illogical to make any territorial solution in the form of partition possible</w:t>
      </w:r>
      <w:r>
        <w:rPr>
          <w:rFonts w:ascii="Arial" w:hAnsi="Arial" w:cs="Arial"/>
          <w:color w:val="222222"/>
          <w:sz w:val="19"/>
          <w:szCs w:val="19"/>
        </w:rPr>
        <w:t>. </w:t>
      </w:r>
      <w:r>
        <w:rPr>
          <w:rStyle w:val="Emphasis"/>
          <w:rFonts w:ascii="Arial" w:hAnsi="Arial" w:cs="Arial"/>
          <w:color w:val="222222"/>
          <w:sz w:val="19"/>
          <w:szCs w:val="19"/>
          <w:shd w:val="clear" w:color="auto" w:fill="00FFFF"/>
        </w:rPr>
        <w:t>Through this process of “constructive blurring,” settler sovereignty is not established through a “gridding” process of rationalizing space but rather through chaotic and often extralegal acts of expansion: s</w:t>
      </w:r>
      <w:r>
        <w:rPr>
          <w:rFonts w:ascii="Arial" w:hAnsi="Arial" w:cs="Arial"/>
          <w:color w:val="222222"/>
          <w:sz w:val="16"/>
          <w:szCs w:val="16"/>
        </w:rPr>
        <w:t>ettlers follow “lines of flight” made possible by the “smoothing” of indigenous space.</w:t>
      </w:r>
    </w:p>
    <w:p w14:paraId="6C011EFE" w14:textId="77777777" w:rsidR="001464E4" w:rsidRPr="00940480" w:rsidRDefault="001464E4" w:rsidP="001464E4">
      <w:pPr>
        <w:pStyle w:val="Heading4"/>
      </w:pPr>
      <w:r>
        <w:t xml:space="preserve">Vote negative for a stable, land-based </w:t>
      </w:r>
      <w:proofErr w:type="spellStart"/>
      <w:r>
        <w:t>decolnization</w:t>
      </w:r>
      <w:proofErr w:type="spellEnd"/>
      <w:r>
        <w:t xml:space="preserve"> project premised on the objective right of indigenous people to land sovereignty </w:t>
      </w:r>
    </w:p>
    <w:p w14:paraId="020EDB5B" w14:textId="77777777" w:rsidR="001464E4" w:rsidRDefault="001464E4" w:rsidP="001464E4">
      <w:pPr>
        <w:rPr>
          <w:rFonts w:asciiTheme="minorHAnsi" w:hAnsiTheme="minorHAnsi" w:cstheme="minorHAnsi"/>
        </w:rPr>
      </w:pPr>
      <w:r>
        <w:rPr>
          <w:rFonts w:asciiTheme="minorHAnsi" w:hAnsiTheme="minorHAnsi" w:cstheme="minorHAnsi"/>
          <w:b/>
        </w:rPr>
        <w:t xml:space="preserve">Collard, Dempsey, and Sundberg 15 </w:t>
      </w:r>
      <w:r>
        <w:rPr>
          <w:rFonts w:asciiTheme="minorHAnsi" w:hAnsiTheme="minorHAnsi" w:cstheme="minorHAnsi"/>
        </w:rPr>
        <w:t>[Rosemary-Claire Collard, Assistant Professor, Department of Geography, Planning and Environment (Concordia University, Montreal), Jessica Dempsey, Assistant Professor in the School of Environmental Studies at the University of Victoria, &amp; Juanita Sundberg, Associate Professor, Department of Geography, University of British Columbia, “A Manifesto for Abundant Futures,”</w:t>
      </w:r>
      <w:r>
        <w:rPr>
          <w:rFonts w:asciiTheme="minorHAnsi" w:hAnsiTheme="minorHAnsi" w:cstheme="minorHAnsi"/>
          <w:i/>
        </w:rPr>
        <w:t xml:space="preserve"> Annals of the Association of American Geographers</w:t>
      </w:r>
      <w:r>
        <w:rPr>
          <w:rFonts w:asciiTheme="minorHAnsi" w:hAnsiTheme="minorHAnsi" w:cstheme="minorHAnsi"/>
        </w:rPr>
        <w:t>, Volume 105, Issue 2, 2015, p. 322-330]</w:t>
      </w:r>
    </w:p>
    <w:p w14:paraId="5B459402" w14:textId="33F2737A" w:rsidR="00867A90" w:rsidRPr="001464E4" w:rsidRDefault="001464E4" w:rsidP="00867A90">
      <w:pPr>
        <w:rPr>
          <w:rFonts w:asciiTheme="minorHAnsi" w:hAnsiTheme="minorHAnsi" w:cstheme="minorHAnsi"/>
        </w:rPr>
      </w:pPr>
      <w:r w:rsidRPr="001464E4">
        <w:rPr>
          <w:rFonts w:asciiTheme="minorHAnsi" w:hAnsiTheme="minorHAnsi" w:cstheme="minorHAnsi"/>
        </w:rPr>
        <w:t xml:space="preserve">Another Path Is Possible! Abundant Futures Manifesto If anything, </w:t>
      </w:r>
      <w:r w:rsidRPr="001464E4">
        <w:rPr>
          <w:rStyle w:val="Heading3Char"/>
          <w:rFonts w:asciiTheme="minorHAnsi" w:hAnsiTheme="minorHAnsi" w:cstheme="minorHAnsi"/>
          <w:sz w:val="22"/>
          <w:szCs w:val="22"/>
          <w:highlight w:val="yellow"/>
        </w:rPr>
        <w:t>the Anthropocene is a spark that will</w:t>
      </w:r>
      <w:r w:rsidRPr="001464E4">
        <w:rPr>
          <w:rStyle w:val="Heading3Char"/>
          <w:rFonts w:asciiTheme="minorHAnsi" w:hAnsiTheme="minorHAnsi" w:cstheme="minorHAnsi"/>
          <w:sz w:val="22"/>
          <w:szCs w:val="22"/>
        </w:rPr>
        <w:t xml:space="preserve"> </w:t>
      </w:r>
      <w:r w:rsidRPr="001464E4">
        <w:rPr>
          <w:rStyle w:val="Heading3Char"/>
          <w:rFonts w:asciiTheme="minorHAnsi" w:hAnsiTheme="minorHAnsi" w:cstheme="minorHAnsi"/>
          <w:sz w:val="22"/>
          <w:szCs w:val="22"/>
          <w:highlight w:val="yellow"/>
        </w:rPr>
        <w:t>light a fire</w:t>
      </w:r>
      <w:r w:rsidRPr="001464E4">
        <w:rPr>
          <w:rStyle w:val="Heading3Char"/>
          <w:rFonts w:asciiTheme="minorHAnsi" w:hAnsiTheme="minorHAnsi" w:cstheme="minorHAnsi"/>
          <w:sz w:val="22"/>
          <w:szCs w:val="22"/>
        </w:rPr>
        <w:t xml:space="preserve"> in our imaginaries</w:t>
      </w:r>
      <w:r w:rsidRPr="001464E4">
        <w:rPr>
          <w:rFonts w:asciiTheme="minorHAnsi" w:hAnsiTheme="minorHAnsi" w:cstheme="minorHAnsi"/>
        </w:rPr>
        <w:t xml:space="preserve">. </w:t>
      </w:r>
      <w:r w:rsidRPr="001464E4">
        <w:rPr>
          <w:rStyle w:val="Heading3Char"/>
          <w:rFonts w:asciiTheme="minorHAnsi" w:hAnsiTheme="minorHAnsi" w:cstheme="minorHAnsi"/>
          <w:sz w:val="22"/>
          <w:szCs w:val="22"/>
          <w:highlight w:val="yellow"/>
        </w:rPr>
        <w:t>This is a time</w:t>
      </w:r>
      <w:r w:rsidRPr="001464E4">
        <w:rPr>
          <w:rStyle w:val="Heading3Char"/>
          <w:rFonts w:asciiTheme="minorHAnsi" w:hAnsiTheme="minorHAnsi" w:cstheme="minorHAnsi"/>
          <w:sz w:val="22"/>
          <w:szCs w:val="22"/>
        </w:rPr>
        <w:t xml:space="preserve"> to think big, </w:t>
      </w:r>
      <w:r w:rsidRPr="001464E4">
        <w:rPr>
          <w:rStyle w:val="Heading3Char"/>
          <w:rFonts w:asciiTheme="minorHAnsi" w:hAnsiTheme="minorHAnsi" w:cstheme="minorHAnsi"/>
          <w:sz w:val="22"/>
          <w:szCs w:val="22"/>
          <w:highlight w:val="yellow"/>
        </w:rPr>
        <w:t>to dream</w:t>
      </w:r>
      <w:r w:rsidRPr="001464E4">
        <w:rPr>
          <w:rFonts w:asciiTheme="minorHAnsi" w:hAnsiTheme="minorHAnsi" w:cstheme="minorHAnsi"/>
        </w:rPr>
        <w:t xml:space="preserve">. </w:t>
      </w:r>
      <w:r w:rsidRPr="001464E4">
        <w:rPr>
          <w:rStyle w:val="Heading3Char"/>
          <w:rFonts w:asciiTheme="minorHAnsi" w:hAnsiTheme="minorHAnsi" w:cstheme="minorHAnsi"/>
          <w:sz w:val="22"/>
          <w:szCs w:val="22"/>
          <w:highlight w:val="yellow"/>
        </w:rPr>
        <w:t xml:space="preserve">We </w:t>
      </w:r>
      <w:r w:rsidRPr="001464E4">
        <w:rPr>
          <w:rStyle w:val="Emphasis"/>
          <w:rFonts w:asciiTheme="minorHAnsi" w:hAnsiTheme="minorHAnsi" w:cstheme="minorHAnsi"/>
          <w:highlight w:val="yellow"/>
        </w:rPr>
        <w:t>dream about</w:t>
      </w:r>
      <w:r w:rsidRPr="001464E4">
        <w:rPr>
          <w:rStyle w:val="Emphasis"/>
          <w:rFonts w:asciiTheme="minorHAnsi" w:hAnsiTheme="minorHAnsi" w:cstheme="minorHAnsi"/>
        </w:rPr>
        <w:t xml:space="preserve"> </w:t>
      </w:r>
      <w:r w:rsidRPr="001464E4">
        <w:rPr>
          <w:rStyle w:val="Emphasis"/>
          <w:rFonts w:asciiTheme="minorHAnsi" w:hAnsiTheme="minorHAnsi" w:cstheme="minorHAnsi"/>
          <w:highlight w:val="yellow"/>
        </w:rPr>
        <w:t>abundant futures</w:t>
      </w:r>
      <w:r w:rsidRPr="001464E4">
        <w:rPr>
          <w:rFonts w:asciiTheme="minorHAnsi" w:hAnsiTheme="minorHAnsi" w:cstheme="minorHAnsi"/>
        </w:rPr>
        <w:t xml:space="preserve">. In what follows, we offer this dream in the form of a manifesto, a declaration of strategies to create the conditions for supporting diverse forms of life and ways of living. </w:t>
      </w:r>
      <w:r w:rsidRPr="001464E4">
        <w:rPr>
          <w:rStyle w:val="Heading3Char"/>
          <w:rFonts w:asciiTheme="minorHAnsi" w:hAnsiTheme="minorHAnsi" w:cstheme="minorHAnsi"/>
          <w:sz w:val="22"/>
          <w:szCs w:val="22"/>
          <w:highlight w:val="yellow"/>
        </w:rPr>
        <w:t>Decolonizing frameworks</w:t>
      </w:r>
      <w:r w:rsidRPr="001464E4">
        <w:rPr>
          <w:rFonts w:asciiTheme="minorHAnsi" w:hAnsiTheme="minorHAnsi" w:cstheme="minorHAnsi"/>
        </w:rPr>
        <w:t xml:space="preserve">, politics, and ethics </w:t>
      </w:r>
      <w:r w:rsidRPr="001464E4">
        <w:rPr>
          <w:rStyle w:val="Heading3Char"/>
          <w:rFonts w:asciiTheme="minorHAnsi" w:hAnsiTheme="minorHAnsi" w:cstheme="minorHAnsi"/>
          <w:sz w:val="22"/>
          <w:szCs w:val="22"/>
          <w:highlight w:val="yellow"/>
        </w:rPr>
        <w:t xml:space="preserve">guide our thinking about the </w:t>
      </w:r>
      <w:r w:rsidRPr="001464E4">
        <w:rPr>
          <w:rStyle w:val="Emphasis"/>
          <w:rFonts w:asciiTheme="minorHAnsi" w:hAnsiTheme="minorHAnsi" w:cstheme="minorHAnsi"/>
          <w:highlight w:val="yellow"/>
        </w:rPr>
        <w:t>conditions needed to generate abundance</w:t>
      </w:r>
      <w:r w:rsidRPr="001464E4">
        <w:rPr>
          <w:rStyle w:val="Heading3Char"/>
          <w:rFonts w:asciiTheme="minorHAnsi" w:hAnsiTheme="minorHAnsi" w:cstheme="minorHAnsi"/>
          <w:sz w:val="22"/>
          <w:szCs w:val="22"/>
        </w:rPr>
        <w:t>. Although “the desired outcomes of decolonization are diverse and located at multiple sites in multiple forms”</w:t>
      </w:r>
      <w:r w:rsidRPr="001464E4">
        <w:rPr>
          <w:rFonts w:asciiTheme="minorHAnsi" w:hAnsiTheme="minorHAnsi" w:cstheme="minorHAnsi"/>
        </w:rPr>
        <w:t xml:space="preserve"> (Sium, Desai, and </w:t>
      </w:r>
      <w:proofErr w:type="spellStart"/>
      <w:r w:rsidRPr="001464E4">
        <w:rPr>
          <w:rFonts w:asciiTheme="minorHAnsi" w:hAnsiTheme="minorHAnsi" w:cstheme="minorHAnsi"/>
        </w:rPr>
        <w:t>Ritskes</w:t>
      </w:r>
      <w:proofErr w:type="spellEnd"/>
      <w:r w:rsidRPr="001464E4">
        <w:rPr>
          <w:rFonts w:asciiTheme="minorHAnsi" w:hAnsiTheme="minorHAnsi" w:cstheme="minorHAnsi"/>
        </w:rPr>
        <w:t xml:space="preserve"> 2012, 2), </w:t>
      </w:r>
      <w:r w:rsidRPr="001464E4">
        <w:rPr>
          <w:rStyle w:val="Heading3Char"/>
          <w:rFonts w:asciiTheme="minorHAnsi" w:hAnsiTheme="minorHAnsi" w:cstheme="minorHAnsi"/>
          <w:sz w:val="22"/>
          <w:szCs w:val="22"/>
          <w:highlight w:val="yellow"/>
        </w:rPr>
        <w:t>our decolonizing sensibility</w:t>
      </w:r>
      <w:r w:rsidRPr="001464E4">
        <w:rPr>
          <w:rStyle w:val="Heading3Char"/>
          <w:rFonts w:asciiTheme="minorHAnsi" w:hAnsiTheme="minorHAnsi" w:cstheme="minorHAnsi"/>
          <w:sz w:val="22"/>
          <w:szCs w:val="22"/>
        </w:rPr>
        <w:t xml:space="preserve"> </w:t>
      </w:r>
      <w:r w:rsidRPr="001464E4">
        <w:rPr>
          <w:rStyle w:val="Emphasis"/>
          <w:rFonts w:asciiTheme="minorHAnsi" w:hAnsiTheme="minorHAnsi" w:cstheme="minorHAnsi"/>
          <w:highlight w:val="yellow"/>
        </w:rPr>
        <w:t>builds from scholarship and movements</w:t>
      </w:r>
      <w:r w:rsidRPr="001464E4">
        <w:rPr>
          <w:rStyle w:val="Heading3Char"/>
          <w:rFonts w:asciiTheme="minorHAnsi" w:hAnsiTheme="minorHAnsi" w:cstheme="minorHAnsi"/>
          <w:sz w:val="22"/>
          <w:szCs w:val="22"/>
        </w:rPr>
        <w:t xml:space="preserve"> in settler societies that </w:t>
      </w:r>
      <w:r w:rsidRPr="001464E4">
        <w:rPr>
          <w:rStyle w:val="Emphasis"/>
          <w:rFonts w:asciiTheme="minorHAnsi" w:hAnsiTheme="minorHAnsi" w:cstheme="minorHAnsi"/>
          <w:highlight w:val="yellow"/>
        </w:rPr>
        <w:t>are premised on Indigenous self-determination</w:t>
      </w:r>
      <w:r w:rsidRPr="001464E4">
        <w:rPr>
          <w:rFonts w:asciiTheme="minorHAnsi" w:hAnsiTheme="minorHAnsi" w:cstheme="minorHAnsi"/>
        </w:rPr>
        <w:t xml:space="preserve">. In this context, we draw particular attention to the ways Nature is steeped in colonial patterns of power and knowledge. </w:t>
      </w:r>
      <w:r w:rsidRPr="001464E4">
        <w:rPr>
          <w:rStyle w:val="Heading3Char"/>
          <w:rFonts w:asciiTheme="minorHAnsi" w:hAnsiTheme="minorHAnsi" w:cstheme="minorHAnsi"/>
          <w:sz w:val="22"/>
          <w:szCs w:val="22"/>
        </w:rPr>
        <w:t>Nature</w:t>
      </w:r>
      <w:r w:rsidRPr="001464E4">
        <w:rPr>
          <w:rFonts w:asciiTheme="minorHAnsi" w:hAnsiTheme="minorHAnsi" w:cstheme="minorHAnsi"/>
        </w:rPr>
        <w:t xml:space="preserve">, we argue, </w:t>
      </w:r>
      <w:r w:rsidRPr="001464E4">
        <w:rPr>
          <w:rStyle w:val="Heading3Char"/>
          <w:rFonts w:asciiTheme="minorHAnsi" w:hAnsiTheme="minorHAnsi" w:cstheme="minorHAnsi"/>
          <w:sz w:val="22"/>
          <w:szCs w:val="22"/>
        </w:rPr>
        <w:t>must be confronted as an artifact of empire</w:t>
      </w:r>
      <w:r w:rsidRPr="001464E4">
        <w:rPr>
          <w:rFonts w:asciiTheme="minorHAnsi" w:hAnsiTheme="minorHAnsi" w:cstheme="minorHAnsi"/>
        </w:rPr>
        <w:t>, although not “as dead matter or remnants of a defunct regime” that can be ignored (</w:t>
      </w:r>
      <w:proofErr w:type="spellStart"/>
      <w:r w:rsidRPr="001464E4">
        <w:rPr>
          <w:rFonts w:asciiTheme="minorHAnsi" w:hAnsiTheme="minorHAnsi" w:cstheme="minorHAnsi"/>
        </w:rPr>
        <w:t>Stoler</w:t>
      </w:r>
      <w:proofErr w:type="spellEnd"/>
      <w:r w:rsidRPr="001464E4">
        <w:rPr>
          <w:rFonts w:asciiTheme="minorHAnsi" w:hAnsiTheme="minorHAnsi" w:cstheme="minorHAnsi"/>
        </w:rPr>
        <w:t xml:space="preserve"> 2008, 196). Rather, as </w:t>
      </w:r>
      <w:proofErr w:type="spellStart"/>
      <w:r w:rsidRPr="001464E4">
        <w:rPr>
          <w:rFonts w:asciiTheme="minorHAnsi" w:hAnsiTheme="minorHAnsi" w:cstheme="minorHAnsi"/>
        </w:rPr>
        <w:t>Stoler</w:t>
      </w:r>
      <w:proofErr w:type="spellEnd"/>
      <w:r w:rsidRPr="001464E4">
        <w:rPr>
          <w:rFonts w:asciiTheme="minorHAnsi" w:hAnsiTheme="minorHAnsi" w:cstheme="minorHAnsi"/>
        </w:rPr>
        <w:t xml:space="preserve"> (2008, 195) notes, </w:t>
      </w:r>
      <w:r w:rsidRPr="001464E4">
        <w:rPr>
          <w:rStyle w:val="Heading3Char"/>
          <w:rFonts w:asciiTheme="minorHAnsi" w:hAnsiTheme="minorHAnsi" w:cstheme="minorHAnsi"/>
          <w:sz w:val="22"/>
          <w:szCs w:val="22"/>
        </w:rPr>
        <w:t>imperial ruins have a political life; they “impinge on the allocation of space, resources, and on the contours of material life” in the present</w:t>
      </w:r>
      <w:r w:rsidRPr="001464E4">
        <w:rPr>
          <w:rFonts w:asciiTheme="minorHAnsi" w:hAnsiTheme="minorHAnsi" w:cstheme="minorHAnsi"/>
        </w:rPr>
        <w:t xml:space="preserve">. Discerning how the residues of Nature are reactivated in contemporary conservation politics in ways that continue to dispossess is crucial to the practice of decolonizing. </w:t>
      </w:r>
      <w:r w:rsidRPr="001464E4">
        <w:rPr>
          <w:rStyle w:val="Emphasis"/>
          <w:rFonts w:asciiTheme="minorHAnsi" w:hAnsiTheme="minorHAnsi" w:cstheme="minorHAnsi"/>
          <w:highlight w:val="yellow"/>
        </w:rPr>
        <w:t>The violence of settler colonialism is ongoing</w:t>
      </w:r>
      <w:r w:rsidRPr="001464E4">
        <w:rPr>
          <w:rFonts w:asciiTheme="minorHAnsi" w:hAnsiTheme="minorHAnsi" w:cstheme="minorHAnsi"/>
        </w:rPr>
        <w:t xml:space="preserve"> (Wolfe 2006) </w:t>
      </w:r>
      <w:r w:rsidRPr="001464E4">
        <w:rPr>
          <w:rStyle w:val="Heading3Char"/>
          <w:rFonts w:asciiTheme="minorHAnsi" w:hAnsiTheme="minorHAnsi" w:cstheme="minorHAnsi"/>
          <w:sz w:val="22"/>
          <w:szCs w:val="22"/>
        </w:rPr>
        <w:t>as “</w:t>
      </w:r>
      <w:r w:rsidRPr="001464E4">
        <w:rPr>
          <w:rStyle w:val="Heading3Char"/>
          <w:rFonts w:asciiTheme="minorHAnsi" w:hAnsiTheme="minorHAnsi" w:cstheme="minorHAnsi"/>
          <w:sz w:val="22"/>
          <w:szCs w:val="22"/>
          <w:highlight w:val="yellow"/>
        </w:rPr>
        <w:t>land is remade into property</w:t>
      </w:r>
      <w:r w:rsidRPr="001464E4">
        <w:rPr>
          <w:rStyle w:val="Heading3Char"/>
          <w:rFonts w:asciiTheme="minorHAnsi" w:hAnsiTheme="minorHAnsi" w:cstheme="minorHAnsi"/>
          <w:sz w:val="22"/>
          <w:szCs w:val="22"/>
        </w:rPr>
        <w:t xml:space="preserve"> and human relationships to land are restricted to the relationship of the owner to his property” </w:t>
      </w:r>
      <w:r w:rsidRPr="001464E4">
        <w:rPr>
          <w:rFonts w:asciiTheme="minorHAnsi" w:hAnsiTheme="minorHAnsi" w:cstheme="minorHAnsi"/>
        </w:rPr>
        <w:t xml:space="preserve">(Tuck and Yang 2012, 5). </w:t>
      </w:r>
      <w:proofErr w:type="spellStart"/>
      <w:r w:rsidRPr="001464E4">
        <w:rPr>
          <w:rFonts w:asciiTheme="minorHAnsi" w:hAnsiTheme="minorHAnsi" w:cstheme="minorHAnsi"/>
        </w:rPr>
        <w:t>Anishinaabeg</w:t>
      </w:r>
      <w:proofErr w:type="spellEnd"/>
      <w:r w:rsidRPr="001464E4">
        <w:rPr>
          <w:rFonts w:asciiTheme="minorHAnsi" w:hAnsiTheme="minorHAnsi" w:cstheme="minorHAnsi"/>
        </w:rPr>
        <w:t xml:space="preserve"> scholar and activist Leanne Simpson beautifully articulates this transformation of land and bodies (cited in Klein 2013): </w:t>
      </w:r>
      <w:r w:rsidRPr="001464E4">
        <w:rPr>
          <w:rStyle w:val="Emphasis"/>
          <w:rFonts w:asciiTheme="minorHAnsi" w:hAnsiTheme="minorHAnsi" w:cstheme="minorHAnsi"/>
          <w:highlight w:val="yellow"/>
        </w:rPr>
        <w:t>Extraction</w:t>
      </w:r>
      <w:r w:rsidRPr="001464E4">
        <w:rPr>
          <w:rStyle w:val="Emphasis"/>
          <w:rFonts w:asciiTheme="minorHAnsi" w:hAnsiTheme="minorHAnsi" w:cstheme="minorHAnsi"/>
        </w:rPr>
        <w:t xml:space="preserve"> </w:t>
      </w:r>
      <w:r w:rsidRPr="001464E4">
        <w:rPr>
          <w:rStyle w:val="Emphasis"/>
          <w:rFonts w:asciiTheme="minorHAnsi" w:hAnsiTheme="minorHAnsi" w:cstheme="minorHAnsi"/>
          <w:highlight w:val="yellow"/>
        </w:rPr>
        <w:t>and assimilation go together</w:t>
      </w:r>
      <w:r w:rsidRPr="001464E4">
        <w:rPr>
          <w:rStyle w:val="Heading3Char"/>
          <w:rFonts w:asciiTheme="minorHAnsi" w:hAnsiTheme="minorHAnsi" w:cstheme="minorHAnsi"/>
          <w:sz w:val="22"/>
          <w:szCs w:val="22"/>
        </w:rPr>
        <w:t xml:space="preserve">. Colonialism and capitalism are based on extracting and assimilating. </w:t>
      </w:r>
      <w:r w:rsidRPr="001464E4">
        <w:rPr>
          <w:rStyle w:val="Heading3Char"/>
          <w:rFonts w:asciiTheme="minorHAnsi" w:hAnsiTheme="minorHAnsi" w:cstheme="minorHAnsi"/>
          <w:sz w:val="22"/>
          <w:szCs w:val="22"/>
          <w:highlight w:val="yellow"/>
        </w:rPr>
        <w:t>My land</w:t>
      </w:r>
      <w:r w:rsidRPr="001464E4">
        <w:rPr>
          <w:rStyle w:val="Heading3Char"/>
          <w:rFonts w:asciiTheme="minorHAnsi" w:hAnsiTheme="minorHAnsi" w:cstheme="minorHAnsi"/>
          <w:sz w:val="22"/>
          <w:szCs w:val="22"/>
        </w:rPr>
        <w:t xml:space="preserve"> is seen as a resource</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 xml:space="preserve">My </w:t>
      </w:r>
      <w:r w:rsidRPr="001464E4">
        <w:rPr>
          <w:rStyle w:val="Heading3Char"/>
          <w:rFonts w:asciiTheme="minorHAnsi" w:hAnsiTheme="minorHAnsi" w:cstheme="minorHAnsi"/>
          <w:sz w:val="22"/>
          <w:szCs w:val="22"/>
          <w:highlight w:val="yellow"/>
        </w:rPr>
        <w:t>relatives</w:t>
      </w:r>
      <w:r w:rsidRPr="001464E4">
        <w:rPr>
          <w:rStyle w:val="Heading3Char"/>
          <w:rFonts w:asciiTheme="minorHAnsi" w:hAnsiTheme="minorHAnsi" w:cstheme="minorHAnsi"/>
          <w:sz w:val="22"/>
          <w:szCs w:val="22"/>
        </w:rPr>
        <w:t xml:space="preserve"> in the plant and animal worlds are seen as resources. My </w:t>
      </w:r>
      <w:r w:rsidRPr="001464E4">
        <w:rPr>
          <w:rStyle w:val="Heading3Char"/>
          <w:rFonts w:asciiTheme="minorHAnsi" w:hAnsiTheme="minorHAnsi" w:cstheme="minorHAnsi"/>
          <w:sz w:val="22"/>
          <w:szCs w:val="22"/>
          <w:highlight w:val="yellow"/>
        </w:rPr>
        <w:t>culture</w:t>
      </w:r>
      <w:r w:rsidRPr="001464E4">
        <w:rPr>
          <w:rStyle w:val="Heading3Char"/>
          <w:rFonts w:asciiTheme="minorHAnsi" w:hAnsiTheme="minorHAnsi" w:cstheme="minorHAnsi"/>
          <w:sz w:val="22"/>
          <w:szCs w:val="22"/>
        </w:rPr>
        <w:t xml:space="preserve"> and </w:t>
      </w:r>
      <w:r w:rsidRPr="001464E4">
        <w:rPr>
          <w:rStyle w:val="Heading3Char"/>
          <w:rFonts w:asciiTheme="minorHAnsi" w:hAnsiTheme="minorHAnsi" w:cstheme="minorHAnsi"/>
          <w:sz w:val="22"/>
          <w:szCs w:val="22"/>
          <w:highlight w:val="yellow"/>
        </w:rPr>
        <w:t>knowledge</w:t>
      </w:r>
      <w:r w:rsidRPr="001464E4">
        <w:rPr>
          <w:rStyle w:val="Heading3Char"/>
          <w:rFonts w:asciiTheme="minorHAnsi" w:hAnsiTheme="minorHAnsi" w:cstheme="minorHAnsi"/>
          <w:sz w:val="22"/>
          <w:szCs w:val="22"/>
        </w:rPr>
        <w:t xml:space="preserve"> is a resource. My </w:t>
      </w:r>
      <w:r w:rsidRPr="001464E4">
        <w:rPr>
          <w:rStyle w:val="Heading3Char"/>
          <w:rFonts w:asciiTheme="minorHAnsi" w:hAnsiTheme="minorHAnsi" w:cstheme="minorHAnsi"/>
          <w:sz w:val="22"/>
          <w:szCs w:val="22"/>
          <w:highlight w:val="yellow"/>
        </w:rPr>
        <w:t>body</w:t>
      </w:r>
      <w:r w:rsidRPr="001464E4">
        <w:rPr>
          <w:rStyle w:val="Heading3Char"/>
          <w:rFonts w:asciiTheme="minorHAnsi" w:hAnsiTheme="minorHAnsi" w:cstheme="minorHAnsi"/>
          <w:sz w:val="22"/>
          <w:szCs w:val="22"/>
        </w:rPr>
        <w:t xml:space="preserve"> is a resource and my </w:t>
      </w:r>
      <w:r w:rsidRPr="001464E4">
        <w:rPr>
          <w:rStyle w:val="Heading3Char"/>
          <w:rFonts w:asciiTheme="minorHAnsi" w:hAnsiTheme="minorHAnsi" w:cstheme="minorHAnsi"/>
          <w:sz w:val="22"/>
          <w:szCs w:val="22"/>
          <w:highlight w:val="yellow"/>
        </w:rPr>
        <w:t>children are a resource</w:t>
      </w:r>
      <w:r w:rsidRPr="001464E4">
        <w:rPr>
          <w:rStyle w:val="Heading3Char"/>
          <w:rFonts w:asciiTheme="minorHAnsi" w:hAnsiTheme="minorHAnsi" w:cstheme="minorHAnsi"/>
          <w:sz w:val="22"/>
          <w:szCs w:val="22"/>
        </w:rPr>
        <w:t xml:space="preserve"> because they are the potential to grow, maintain, and uphold the extraction–assimilation system</w:t>
      </w:r>
      <w:r w:rsidRPr="001464E4">
        <w:rPr>
          <w:rFonts w:asciiTheme="minorHAnsi" w:hAnsiTheme="minorHAnsi" w:cstheme="minorHAnsi"/>
        </w:rPr>
        <w:t xml:space="preserve">. The act of extraction removes all of the relationships that give whatever is being extracted meaning. </w:t>
      </w:r>
      <w:r w:rsidRPr="001464E4">
        <w:rPr>
          <w:rStyle w:val="Emphasis"/>
          <w:rFonts w:asciiTheme="minorHAnsi" w:hAnsiTheme="minorHAnsi" w:cstheme="minorHAnsi"/>
          <w:highlight w:val="yellow"/>
        </w:rPr>
        <w:t xml:space="preserve">Extracting is </w:t>
      </w:r>
      <w:r w:rsidRPr="001464E4">
        <w:rPr>
          <w:rStyle w:val="Emphasis"/>
          <w:rFonts w:asciiTheme="minorHAnsi" w:hAnsiTheme="minorHAnsi" w:cstheme="minorHAnsi"/>
        </w:rPr>
        <w:t>taking</w:t>
      </w:r>
      <w:r w:rsidRPr="001464E4">
        <w:rPr>
          <w:rFonts w:asciiTheme="minorHAnsi" w:hAnsiTheme="minorHAnsi" w:cstheme="minorHAnsi"/>
        </w:rPr>
        <w:t xml:space="preserve">. Actually, extracting is </w:t>
      </w:r>
      <w:r w:rsidRPr="001464E4">
        <w:rPr>
          <w:rStyle w:val="Heading3Char"/>
          <w:rFonts w:asciiTheme="minorHAnsi" w:hAnsiTheme="minorHAnsi" w:cstheme="minorHAnsi"/>
          <w:sz w:val="22"/>
          <w:szCs w:val="22"/>
          <w:highlight w:val="yellow"/>
        </w:rPr>
        <w:t>stealing</w:t>
      </w:r>
      <w:r w:rsidRPr="001464E4">
        <w:rPr>
          <w:rFonts w:asciiTheme="minorHAnsi" w:hAnsiTheme="minorHAnsi" w:cstheme="minorHAnsi"/>
        </w:rPr>
        <w:t xml:space="preserve">—it is </w:t>
      </w:r>
      <w:r w:rsidRPr="001464E4">
        <w:rPr>
          <w:rStyle w:val="Heading3Char"/>
          <w:rFonts w:asciiTheme="minorHAnsi" w:hAnsiTheme="minorHAnsi" w:cstheme="minorHAnsi"/>
          <w:sz w:val="22"/>
          <w:szCs w:val="22"/>
        </w:rPr>
        <w:t xml:space="preserve">taking without consent, </w:t>
      </w:r>
      <w:r w:rsidRPr="001464E4">
        <w:rPr>
          <w:rStyle w:val="Heading3Char"/>
          <w:rFonts w:asciiTheme="minorHAnsi" w:hAnsiTheme="minorHAnsi" w:cstheme="minorHAnsi"/>
          <w:sz w:val="22"/>
          <w:szCs w:val="22"/>
          <w:highlight w:val="yellow"/>
        </w:rPr>
        <w:t>without thought</w:t>
      </w:r>
      <w:r w:rsidRPr="001464E4">
        <w:rPr>
          <w:rStyle w:val="Heading3Char"/>
          <w:rFonts w:asciiTheme="minorHAnsi" w:hAnsiTheme="minorHAnsi" w:cstheme="minorHAnsi"/>
          <w:sz w:val="22"/>
          <w:szCs w:val="22"/>
        </w:rPr>
        <w:t xml:space="preserve">, care </w:t>
      </w:r>
      <w:r w:rsidRPr="001464E4">
        <w:rPr>
          <w:rStyle w:val="Heading3Char"/>
          <w:rFonts w:asciiTheme="minorHAnsi" w:hAnsiTheme="minorHAnsi" w:cstheme="minorHAnsi"/>
          <w:sz w:val="22"/>
          <w:szCs w:val="22"/>
          <w:highlight w:val="yellow"/>
        </w:rPr>
        <w:t>or</w:t>
      </w:r>
      <w:r w:rsidRPr="001464E4">
        <w:rPr>
          <w:rStyle w:val="Heading3Char"/>
          <w:rFonts w:asciiTheme="minorHAnsi" w:hAnsiTheme="minorHAnsi" w:cstheme="minorHAnsi"/>
          <w:sz w:val="22"/>
          <w:szCs w:val="22"/>
        </w:rPr>
        <w:t xml:space="preserve"> even </w:t>
      </w:r>
      <w:r w:rsidRPr="001464E4">
        <w:rPr>
          <w:rStyle w:val="Heading3Char"/>
          <w:rFonts w:asciiTheme="minorHAnsi" w:hAnsiTheme="minorHAnsi" w:cstheme="minorHAnsi"/>
          <w:sz w:val="22"/>
          <w:szCs w:val="22"/>
          <w:highlight w:val="yellow"/>
        </w:rPr>
        <w:t>knowledge</w:t>
      </w:r>
      <w:r w:rsidRPr="001464E4">
        <w:rPr>
          <w:rStyle w:val="Heading3Char"/>
          <w:rFonts w:asciiTheme="minorHAnsi" w:hAnsiTheme="minorHAnsi" w:cstheme="minorHAnsi"/>
          <w:sz w:val="22"/>
          <w:szCs w:val="22"/>
        </w:rPr>
        <w:t xml:space="preserve"> of the impacts that extraction has on the other living things in that environment</w:t>
      </w:r>
      <w:r w:rsidRPr="001464E4">
        <w:rPr>
          <w:rFonts w:asciiTheme="minorHAnsi" w:hAnsiTheme="minorHAnsi" w:cstheme="minorHAnsi"/>
        </w:rPr>
        <w:t xml:space="preserve">. That's always been a part of colonialism and conquest. </w:t>
      </w:r>
      <w:r w:rsidRPr="001464E4">
        <w:rPr>
          <w:rStyle w:val="Emphasis"/>
          <w:rFonts w:asciiTheme="minorHAnsi" w:hAnsiTheme="minorHAnsi" w:cstheme="minorHAnsi"/>
          <w:highlight w:val="yellow"/>
        </w:rPr>
        <w:t>Colonialism has always extracted the indigenous</w:t>
      </w:r>
      <w:r w:rsidRPr="001464E4">
        <w:rPr>
          <w:rStyle w:val="Heading3Char"/>
          <w:rFonts w:asciiTheme="minorHAnsi" w:hAnsiTheme="minorHAnsi" w:cstheme="minorHAnsi"/>
          <w:sz w:val="22"/>
          <w:szCs w:val="22"/>
        </w:rPr>
        <w:t xml:space="preserve">. </w:t>
      </w:r>
      <w:r w:rsidRPr="001464E4">
        <w:rPr>
          <w:rFonts w:asciiTheme="minorHAnsi" w:hAnsiTheme="minorHAnsi" w:cstheme="minorHAnsi"/>
        </w:rPr>
        <w:t xml:space="preserve">As Simpson suggests, </w:t>
      </w:r>
      <w:r w:rsidRPr="001464E4">
        <w:rPr>
          <w:rStyle w:val="Heading3Char"/>
          <w:rFonts w:asciiTheme="minorHAnsi" w:hAnsiTheme="minorHAnsi" w:cstheme="minorHAnsi"/>
          <w:sz w:val="22"/>
          <w:szCs w:val="22"/>
        </w:rPr>
        <w:t>colonial extraction</w:t>
      </w:r>
      <w:r w:rsidRPr="001464E4">
        <w:rPr>
          <w:rFonts w:asciiTheme="minorHAnsi" w:hAnsiTheme="minorHAnsi" w:cstheme="minorHAnsi"/>
        </w:rPr>
        <w:t xml:space="preserve"> also implies </w:t>
      </w:r>
      <w:r w:rsidRPr="001464E4">
        <w:rPr>
          <w:rStyle w:val="Heading3Char"/>
          <w:rFonts w:asciiTheme="minorHAnsi" w:hAnsiTheme="minorHAnsi" w:cstheme="minorHAnsi"/>
          <w:sz w:val="22"/>
          <w:szCs w:val="22"/>
        </w:rPr>
        <w:t>attempts to erase distinct ways of</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 xml:space="preserve">bringing worlds into being. </w:t>
      </w:r>
      <w:r w:rsidRPr="001464E4">
        <w:rPr>
          <w:rStyle w:val="Heading3Char"/>
          <w:rFonts w:asciiTheme="minorHAnsi" w:hAnsiTheme="minorHAnsi" w:cstheme="minorHAnsi"/>
          <w:sz w:val="22"/>
          <w:szCs w:val="22"/>
          <w:highlight w:val="yellow"/>
        </w:rPr>
        <w:t xml:space="preserve">Transforming these conditions </w:t>
      </w:r>
      <w:r w:rsidRPr="001464E4">
        <w:rPr>
          <w:rStyle w:val="Emphasis"/>
          <w:rFonts w:asciiTheme="minorHAnsi" w:hAnsiTheme="minorHAnsi" w:cstheme="minorHAnsi"/>
          <w:highlight w:val="yellow"/>
        </w:rPr>
        <w:t>requires political struggle</w:t>
      </w:r>
      <w:r w:rsidRPr="001464E4">
        <w:rPr>
          <w:rStyle w:val="Heading3Char"/>
          <w:rFonts w:asciiTheme="minorHAnsi" w:hAnsiTheme="minorHAnsi" w:cstheme="minorHAnsi"/>
          <w:sz w:val="22"/>
          <w:szCs w:val="22"/>
          <w:highlight w:val="yellow"/>
        </w:rPr>
        <w:t xml:space="preserve"> </w:t>
      </w:r>
      <w:r w:rsidRPr="001464E4">
        <w:rPr>
          <w:rStyle w:val="Emphasis"/>
          <w:rFonts w:asciiTheme="minorHAnsi" w:hAnsiTheme="minorHAnsi" w:cstheme="minorHAnsi"/>
          <w:highlight w:val="yellow"/>
        </w:rPr>
        <w:t>grounded in decolonizing</w:t>
      </w:r>
      <w:r w:rsidRPr="001464E4">
        <w:rPr>
          <w:rStyle w:val="Heading3Char"/>
          <w:rFonts w:asciiTheme="minorHAnsi" w:hAnsiTheme="minorHAnsi" w:cstheme="minorHAnsi"/>
          <w:sz w:val="22"/>
          <w:szCs w:val="22"/>
        </w:rPr>
        <w:t>.</w:t>
      </w:r>
      <w:r w:rsidRPr="001464E4">
        <w:rPr>
          <w:rFonts w:asciiTheme="minorHAnsi" w:hAnsiTheme="minorHAnsi" w:cstheme="minorHAnsi"/>
        </w:rPr>
        <w:t xml:space="preserve"> Inspired by Simpson and others, </w:t>
      </w:r>
      <w:r w:rsidRPr="001464E4">
        <w:rPr>
          <w:rStyle w:val="Heading3Char"/>
          <w:rFonts w:asciiTheme="minorHAnsi" w:hAnsiTheme="minorHAnsi" w:cstheme="minorHAnsi"/>
          <w:sz w:val="22"/>
          <w:szCs w:val="22"/>
          <w:highlight w:val="yellow"/>
        </w:rPr>
        <w:t>we now turn to</w:t>
      </w:r>
      <w:r w:rsidRPr="001464E4">
        <w:rPr>
          <w:rFonts w:asciiTheme="minorHAnsi" w:hAnsiTheme="minorHAnsi" w:cstheme="minorHAnsi"/>
        </w:rPr>
        <w:t xml:space="preserve"> three </w:t>
      </w:r>
      <w:r w:rsidRPr="001464E4">
        <w:rPr>
          <w:rStyle w:val="Heading3Char"/>
          <w:rFonts w:asciiTheme="minorHAnsi" w:hAnsiTheme="minorHAnsi" w:cstheme="minorHAnsi"/>
          <w:sz w:val="22"/>
          <w:szCs w:val="22"/>
          <w:highlight w:val="yellow"/>
        </w:rPr>
        <w:t>concrete political strategies</w:t>
      </w:r>
      <w:r w:rsidRPr="001464E4">
        <w:rPr>
          <w:rStyle w:val="Heading3Char"/>
          <w:rFonts w:asciiTheme="minorHAnsi" w:hAnsiTheme="minorHAnsi" w:cstheme="minorHAnsi"/>
          <w:sz w:val="22"/>
          <w:szCs w:val="22"/>
        </w:rPr>
        <w:t xml:space="preserve"> </w:t>
      </w:r>
      <w:r w:rsidRPr="001464E4">
        <w:rPr>
          <w:rStyle w:val="Emphasis"/>
          <w:rFonts w:asciiTheme="minorHAnsi" w:hAnsiTheme="minorHAnsi" w:cstheme="minorHAnsi"/>
          <w:highlight w:val="yellow"/>
        </w:rPr>
        <w:t>necessary to create conditions for generating abundance</w:t>
      </w:r>
      <w:r w:rsidRPr="001464E4">
        <w:rPr>
          <w:rFonts w:asciiTheme="minorHAnsi" w:hAnsiTheme="minorHAnsi" w:cstheme="minorHAnsi"/>
        </w:rPr>
        <w:t xml:space="preserve"> rather than </w:t>
      </w:r>
      <w:proofErr w:type="spellStart"/>
      <w:r w:rsidRPr="001464E4">
        <w:rPr>
          <w:rFonts w:asciiTheme="minorHAnsi" w:hAnsiTheme="minorHAnsi" w:cstheme="minorHAnsi"/>
        </w:rPr>
        <w:t>postnatural</w:t>
      </w:r>
      <w:proofErr w:type="spellEnd"/>
      <w:r w:rsidRPr="001464E4">
        <w:rPr>
          <w:rFonts w:asciiTheme="minorHAnsi" w:hAnsiTheme="minorHAnsi" w:cstheme="minorHAnsi"/>
        </w:rPr>
        <w:t xml:space="preserve"> conservation. These strategies are </w:t>
      </w:r>
      <w:r w:rsidRPr="001464E4">
        <w:rPr>
          <w:rStyle w:val="Heading3Char"/>
          <w:rFonts w:asciiTheme="minorHAnsi" w:hAnsiTheme="minorHAnsi" w:cstheme="minorHAnsi"/>
          <w:sz w:val="22"/>
          <w:szCs w:val="22"/>
        </w:rPr>
        <w:t xml:space="preserve">informed by transformative efforts </w:t>
      </w:r>
      <w:r w:rsidRPr="001464E4">
        <w:rPr>
          <w:rStyle w:val="Emphasis"/>
          <w:rFonts w:asciiTheme="minorHAnsi" w:hAnsiTheme="minorHAnsi" w:cstheme="minorHAnsi"/>
        </w:rPr>
        <w:t>already occurring around the globe</w:t>
      </w:r>
      <w:r w:rsidRPr="001464E4">
        <w:rPr>
          <w:rFonts w:asciiTheme="minorHAnsi" w:hAnsiTheme="minorHAnsi" w:cstheme="minorHAnsi"/>
        </w:rPr>
        <w:t xml:space="preserve">. Strategy 1: Reckoning with Colonial-Capitalist Ruination Like </w:t>
      </w:r>
      <w:proofErr w:type="spellStart"/>
      <w:r w:rsidRPr="001464E4">
        <w:rPr>
          <w:rFonts w:asciiTheme="minorHAnsi" w:hAnsiTheme="minorHAnsi" w:cstheme="minorHAnsi"/>
        </w:rPr>
        <w:t>postnatural</w:t>
      </w:r>
      <w:proofErr w:type="spellEnd"/>
      <w:r w:rsidRPr="001464E4">
        <w:rPr>
          <w:rFonts w:asciiTheme="minorHAnsi" w:hAnsiTheme="minorHAnsi" w:cstheme="minorHAnsi"/>
        </w:rPr>
        <w:t xml:space="preserve"> conservationists, </w:t>
      </w:r>
      <w:r w:rsidRPr="001464E4">
        <w:rPr>
          <w:rStyle w:val="Heading3Char"/>
          <w:rFonts w:asciiTheme="minorHAnsi" w:hAnsiTheme="minorHAnsi" w:cstheme="minorHAnsi"/>
          <w:sz w:val="22"/>
          <w:szCs w:val="22"/>
        </w:rPr>
        <w:t xml:space="preserve">we do not support a conservation oriented around the </w:t>
      </w:r>
      <w:r w:rsidRPr="001464E4">
        <w:rPr>
          <w:rStyle w:val="Emphasis"/>
          <w:rFonts w:asciiTheme="minorHAnsi" w:hAnsiTheme="minorHAnsi" w:cstheme="minorHAnsi"/>
        </w:rPr>
        <w:t>colonial myth of a pristine past</w:t>
      </w:r>
      <w:r w:rsidRPr="001464E4">
        <w:rPr>
          <w:rFonts w:asciiTheme="minorHAnsi" w:hAnsiTheme="minorHAnsi" w:cstheme="minorHAnsi"/>
        </w:rPr>
        <w:t xml:space="preserve">. Yet the tendency to relentlessly focus on the future is not the answer. When considering how to intervene responsibly and ethically, an ongoing and active reckoning with the past is crucial. We can look to the past not to provide an Edenic benchmark but to understand the discursive material infrastructure we have inherited: How did we arrive where we are today, to a world of social asymmetries and ecological impoverishment? </w:t>
      </w:r>
      <w:proofErr w:type="spellStart"/>
      <w:r w:rsidRPr="001464E4">
        <w:rPr>
          <w:rFonts w:asciiTheme="minorHAnsi" w:hAnsiTheme="minorHAnsi" w:cstheme="minorHAnsi"/>
        </w:rPr>
        <w:t>Galeano</w:t>
      </w:r>
      <w:proofErr w:type="spellEnd"/>
      <w:r w:rsidRPr="001464E4">
        <w:rPr>
          <w:rFonts w:asciiTheme="minorHAnsi" w:hAnsiTheme="minorHAnsi" w:cstheme="minorHAnsi"/>
        </w:rPr>
        <w:t xml:space="preserve"> (1973) and Davis (2002) contend that we arrived at contemporary “underdevelopment” through colonialism and imperial capitalist development. Violence was central to these processes. “Millions died,” Davis (2002, 11) writes, “not outside the ‘modern world system,’ but in the very process of being forcibly incorporated into its economic and political structures.” </w:t>
      </w:r>
      <w:r w:rsidRPr="001464E4">
        <w:rPr>
          <w:rStyle w:val="Emphasis"/>
          <w:rFonts w:asciiTheme="minorHAnsi" w:hAnsiTheme="minorHAnsi" w:cstheme="minorHAnsi"/>
        </w:rPr>
        <w:t xml:space="preserve">The </w:t>
      </w:r>
      <w:proofErr w:type="spellStart"/>
      <w:r w:rsidRPr="001464E4">
        <w:rPr>
          <w:rStyle w:val="Emphasis"/>
          <w:rFonts w:asciiTheme="minorHAnsi" w:hAnsiTheme="minorHAnsi" w:cstheme="minorHAnsi"/>
        </w:rPr>
        <w:t>Capitalocene</w:t>
      </w:r>
      <w:proofErr w:type="spellEnd"/>
      <w:r w:rsidRPr="001464E4">
        <w:rPr>
          <w:rFonts w:asciiTheme="minorHAnsi" w:hAnsiTheme="minorHAnsi" w:cstheme="minorHAnsi"/>
        </w:rPr>
        <w:t xml:space="preserve">, Haraway's (2014) </w:t>
      </w:r>
      <w:proofErr w:type="spellStart"/>
      <w:r w:rsidRPr="001464E4">
        <w:rPr>
          <w:rFonts w:asciiTheme="minorHAnsi" w:hAnsiTheme="minorHAnsi" w:cstheme="minorHAnsi"/>
        </w:rPr>
        <w:t>counterconcept</w:t>
      </w:r>
      <w:proofErr w:type="spellEnd"/>
      <w:r w:rsidRPr="001464E4">
        <w:rPr>
          <w:rFonts w:asciiTheme="minorHAnsi" w:hAnsiTheme="minorHAnsi" w:cstheme="minorHAnsi"/>
        </w:rPr>
        <w:t xml:space="preserve"> to the Anthropocene, </w:t>
      </w:r>
      <w:r w:rsidRPr="001464E4">
        <w:rPr>
          <w:rStyle w:val="Heading3Char"/>
          <w:rFonts w:asciiTheme="minorHAnsi" w:hAnsiTheme="minorHAnsi" w:cstheme="minorHAnsi"/>
          <w:sz w:val="22"/>
          <w:szCs w:val="22"/>
        </w:rPr>
        <w:t>specifically foregrounds capitalist modes of</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political economy</w:t>
      </w:r>
      <w:r w:rsidRPr="001464E4">
        <w:rPr>
          <w:rFonts w:asciiTheme="minorHAnsi" w:hAnsiTheme="minorHAnsi" w:cstheme="minorHAnsi"/>
        </w:rPr>
        <w:t xml:space="preserve"> (and their attachment to fossil fuels) </w:t>
      </w:r>
      <w:r w:rsidRPr="001464E4">
        <w:rPr>
          <w:rStyle w:val="Emphasis"/>
          <w:rFonts w:asciiTheme="minorHAnsi" w:hAnsiTheme="minorHAnsi" w:cstheme="minorHAnsi"/>
        </w:rPr>
        <w:t>as drivers of impoverished ecologies</w:t>
      </w:r>
      <w:r w:rsidRPr="001464E4">
        <w:rPr>
          <w:rFonts w:asciiTheme="minorHAnsi" w:hAnsiTheme="minorHAnsi" w:cstheme="minorHAnsi"/>
        </w:rPr>
        <w:t xml:space="preserve">. </w:t>
      </w:r>
      <w:r w:rsidRPr="001464E4">
        <w:rPr>
          <w:rStyle w:val="Heading3Char"/>
          <w:rFonts w:asciiTheme="minorHAnsi" w:hAnsiTheme="minorHAnsi" w:cstheme="minorHAnsi"/>
          <w:sz w:val="22"/>
          <w:szCs w:val="22"/>
          <w:highlight w:val="yellow"/>
        </w:rPr>
        <w:t>To recall</w:t>
      </w:r>
      <w:r w:rsidRPr="001464E4">
        <w:rPr>
          <w:rStyle w:val="Heading3Char"/>
          <w:rFonts w:asciiTheme="minorHAnsi" w:hAnsiTheme="minorHAnsi" w:cstheme="minorHAnsi"/>
          <w:sz w:val="22"/>
          <w:szCs w:val="22"/>
        </w:rPr>
        <w:t xml:space="preserve"> this </w:t>
      </w:r>
      <w:r w:rsidRPr="001464E4">
        <w:rPr>
          <w:rStyle w:val="Heading3Char"/>
          <w:rFonts w:asciiTheme="minorHAnsi" w:hAnsiTheme="minorHAnsi" w:cstheme="minorHAnsi"/>
          <w:sz w:val="22"/>
          <w:szCs w:val="22"/>
          <w:highlight w:val="yellow"/>
        </w:rPr>
        <w:t>violence is</w:t>
      </w:r>
      <w:r w:rsidRPr="001464E4">
        <w:rPr>
          <w:rStyle w:val="Heading3Char"/>
          <w:rFonts w:asciiTheme="minorHAnsi" w:hAnsiTheme="minorHAnsi" w:cstheme="minorHAnsi"/>
          <w:sz w:val="22"/>
          <w:szCs w:val="22"/>
        </w:rPr>
        <w:t xml:space="preserve"> neither nostalgic nor </w:t>
      </w:r>
      <w:r w:rsidRPr="001464E4">
        <w:rPr>
          <w:rStyle w:val="Emphasis"/>
          <w:rFonts w:asciiTheme="minorHAnsi" w:hAnsiTheme="minorHAnsi" w:cstheme="minorHAnsi"/>
        </w:rPr>
        <w:t xml:space="preserve">anachronistic but </w:t>
      </w:r>
      <w:r w:rsidRPr="001464E4">
        <w:rPr>
          <w:rStyle w:val="Emphasis"/>
          <w:rFonts w:asciiTheme="minorHAnsi" w:hAnsiTheme="minorHAnsi" w:cstheme="minorHAnsi"/>
          <w:highlight w:val="yellow"/>
        </w:rPr>
        <w:t>central to understanding that any intervention today is</w:t>
      </w:r>
      <w:r w:rsidRPr="001464E4">
        <w:rPr>
          <w:rStyle w:val="Emphasis"/>
          <w:rFonts w:asciiTheme="minorHAnsi" w:hAnsiTheme="minorHAnsi" w:cstheme="minorHAnsi"/>
        </w:rPr>
        <w:t xml:space="preserve"> unavoidably </w:t>
      </w:r>
      <w:r w:rsidRPr="001464E4">
        <w:rPr>
          <w:rStyle w:val="Emphasis"/>
          <w:rFonts w:asciiTheme="minorHAnsi" w:hAnsiTheme="minorHAnsi" w:cstheme="minorHAnsi"/>
          <w:highlight w:val="yellow"/>
        </w:rPr>
        <w:t>linked to processes of imperial ruination</w:t>
      </w:r>
      <w:r w:rsidRPr="001464E4">
        <w:rPr>
          <w:rFonts w:asciiTheme="minorHAnsi" w:hAnsiTheme="minorHAnsi" w:cstheme="minorHAnsi"/>
        </w:rPr>
        <w:t>. Equally</w:t>
      </w:r>
      <w:r w:rsidRPr="001464E4">
        <w:rPr>
          <w:rStyle w:val="Heading3Char"/>
          <w:rFonts w:asciiTheme="minorHAnsi" w:hAnsiTheme="minorHAnsi" w:cstheme="minorHAnsi"/>
          <w:sz w:val="22"/>
          <w:szCs w:val="22"/>
        </w:rPr>
        <w:t xml:space="preserve">, </w:t>
      </w:r>
      <w:r w:rsidRPr="001464E4">
        <w:rPr>
          <w:rStyle w:val="Heading3Char"/>
          <w:rFonts w:asciiTheme="minorHAnsi" w:hAnsiTheme="minorHAnsi" w:cstheme="minorHAnsi"/>
          <w:sz w:val="22"/>
          <w:szCs w:val="22"/>
          <w:highlight w:val="yellow"/>
        </w:rPr>
        <w:t>we need to pay</w:t>
      </w:r>
      <w:r w:rsidRPr="001464E4">
        <w:rPr>
          <w:rStyle w:val="Heading3Char"/>
          <w:rFonts w:asciiTheme="minorHAnsi" w:hAnsiTheme="minorHAnsi" w:cstheme="minorHAnsi"/>
          <w:sz w:val="22"/>
          <w:szCs w:val="22"/>
        </w:rPr>
        <w:t xml:space="preserve"> </w:t>
      </w:r>
      <w:r w:rsidRPr="001464E4">
        <w:rPr>
          <w:rStyle w:val="Heading3Char"/>
          <w:rFonts w:asciiTheme="minorHAnsi" w:hAnsiTheme="minorHAnsi" w:cstheme="minorHAnsi"/>
          <w:sz w:val="22"/>
          <w:szCs w:val="22"/>
          <w:highlight w:val="yellow"/>
        </w:rPr>
        <w:t xml:space="preserve">attention to histories of nonhuman abundance and the </w:t>
      </w:r>
      <w:proofErr w:type="spellStart"/>
      <w:r w:rsidRPr="001464E4">
        <w:rPr>
          <w:rStyle w:val="Emphasis"/>
          <w:rFonts w:asciiTheme="minorHAnsi" w:hAnsiTheme="minorHAnsi" w:cstheme="minorHAnsi"/>
          <w:highlight w:val="yellow"/>
        </w:rPr>
        <w:t>violences</w:t>
      </w:r>
      <w:proofErr w:type="spellEnd"/>
      <w:r w:rsidRPr="001464E4">
        <w:rPr>
          <w:rFonts w:asciiTheme="minorHAnsi" w:hAnsiTheme="minorHAnsi" w:cstheme="minorHAnsi"/>
          <w:highlight w:val="yellow"/>
        </w:rPr>
        <w:t xml:space="preserve"> </w:t>
      </w:r>
      <w:r w:rsidRPr="001464E4">
        <w:rPr>
          <w:rStyle w:val="Heading3Char"/>
          <w:rFonts w:asciiTheme="minorHAnsi" w:hAnsiTheme="minorHAnsi" w:cstheme="minorHAnsi"/>
          <w:sz w:val="22"/>
          <w:szCs w:val="22"/>
          <w:highlight w:val="yellow"/>
        </w:rPr>
        <w:t xml:space="preserve">that led to their </w:t>
      </w:r>
      <w:r w:rsidRPr="001464E4">
        <w:rPr>
          <w:rStyle w:val="Emphasis"/>
          <w:rFonts w:asciiTheme="minorHAnsi" w:hAnsiTheme="minorHAnsi" w:cstheme="minorHAnsi"/>
          <w:highlight w:val="yellow"/>
        </w:rPr>
        <w:t>diminishment</w:t>
      </w:r>
      <w:r w:rsidRPr="001464E4">
        <w:rPr>
          <w:rFonts w:asciiTheme="minorHAnsi" w:hAnsiTheme="minorHAnsi" w:cstheme="minorHAnsi"/>
        </w:rPr>
        <w:t>. MacKinnon (2013) sees the past as a measure of possibility for what “may be again.” For MacKinnon, this is not a call for “some romantic return to a pre-human Eden.” Rather, he posits, “</w:t>
      </w:r>
      <w:r w:rsidRPr="001464E4">
        <w:rPr>
          <w:rStyle w:val="Heading3Char"/>
          <w:rFonts w:asciiTheme="minorHAnsi" w:hAnsiTheme="minorHAnsi" w:cstheme="minorHAnsi"/>
          <w:sz w:val="22"/>
          <w:szCs w:val="22"/>
        </w:rPr>
        <w:t>A story of loss is not always and only a lament; it can also be a measure of possibility. What once was may be again.”</w:t>
      </w:r>
      <w:r w:rsidRPr="001464E4">
        <w:rPr>
          <w:rFonts w:asciiTheme="minorHAnsi" w:hAnsiTheme="minorHAnsi" w:cstheme="minorHAnsi"/>
        </w:rPr>
        <w:t xml:space="preserve"> For MacKinnon, this means taking past abundance as a marker for what might be; looking back shows us what rich socioecological worlds looked like (as in </w:t>
      </w:r>
      <w:proofErr w:type="spellStart"/>
      <w:r w:rsidRPr="001464E4">
        <w:rPr>
          <w:rFonts w:asciiTheme="minorHAnsi" w:hAnsiTheme="minorHAnsi" w:cstheme="minorHAnsi"/>
        </w:rPr>
        <w:t>Denevan</w:t>
      </w:r>
      <w:proofErr w:type="spellEnd"/>
      <w:r w:rsidRPr="001464E4">
        <w:rPr>
          <w:rFonts w:asciiTheme="minorHAnsi" w:hAnsiTheme="minorHAnsi" w:cstheme="minorHAnsi"/>
        </w:rPr>
        <w:t xml:space="preserve"> 2001; Raffles 2002; Mann 2005). “Our systems are designed to promote more life,” says Leanne Simpson about her </w:t>
      </w:r>
      <w:proofErr w:type="spellStart"/>
      <w:r w:rsidRPr="001464E4">
        <w:rPr>
          <w:rFonts w:asciiTheme="minorHAnsi" w:hAnsiTheme="minorHAnsi" w:cstheme="minorHAnsi"/>
        </w:rPr>
        <w:t>Anishinaabeg</w:t>
      </w:r>
      <w:proofErr w:type="spellEnd"/>
      <w:r w:rsidRPr="001464E4">
        <w:rPr>
          <w:rFonts w:asciiTheme="minorHAnsi" w:hAnsiTheme="minorHAnsi" w:cstheme="minorHAnsi"/>
        </w:rPr>
        <w:t xml:space="preserve"> community (cited in Klein 2013). </w:t>
      </w:r>
      <w:r w:rsidRPr="001464E4">
        <w:rPr>
          <w:rStyle w:val="Heading3Char"/>
          <w:rFonts w:asciiTheme="minorHAnsi" w:hAnsiTheme="minorHAnsi" w:cstheme="minorHAnsi"/>
          <w:sz w:val="22"/>
          <w:szCs w:val="22"/>
        </w:rPr>
        <w:t xml:space="preserve">Working with the </w:t>
      </w:r>
      <w:proofErr w:type="spellStart"/>
      <w:r w:rsidRPr="001464E4">
        <w:rPr>
          <w:rStyle w:val="Heading3Char"/>
          <w:rFonts w:asciiTheme="minorHAnsi" w:hAnsiTheme="minorHAnsi" w:cstheme="minorHAnsi"/>
          <w:sz w:val="22"/>
          <w:szCs w:val="22"/>
        </w:rPr>
        <w:t>Anishinaabeg</w:t>
      </w:r>
      <w:proofErr w:type="spellEnd"/>
      <w:r w:rsidRPr="001464E4">
        <w:rPr>
          <w:rStyle w:val="Heading3Char"/>
          <w:rFonts w:asciiTheme="minorHAnsi" w:hAnsiTheme="minorHAnsi" w:cstheme="minorHAnsi"/>
          <w:sz w:val="22"/>
          <w:szCs w:val="22"/>
        </w:rPr>
        <w:t xml:space="preserve"> concept of</w:t>
      </w:r>
      <w:r w:rsidRPr="001464E4">
        <w:rPr>
          <w:rFonts w:asciiTheme="minorHAnsi" w:hAnsiTheme="minorHAnsi" w:cstheme="minorHAnsi"/>
        </w:rPr>
        <w:t xml:space="preserve"> </w:t>
      </w:r>
      <w:proofErr w:type="spellStart"/>
      <w:r w:rsidRPr="001464E4">
        <w:rPr>
          <w:rFonts w:asciiTheme="minorHAnsi" w:hAnsiTheme="minorHAnsi" w:cstheme="minorHAnsi"/>
        </w:rPr>
        <w:t>mino</w:t>
      </w:r>
      <w:proofErr w:type="spellEnd"/>
      <w:r w:rsidRPr="001464E4">
        <w:rPr>
          <w:rFonts w:asciiTheme="minorHAnsi" w:hAnsiTheme="minorHAnsi" w:cstheme="minorHAnsi"/>
        </w:rPr>
        <w:t xml:space="preserve"> </w:t>
      </w:r>
      <w:proofErr w:type="spellStart"/>
      <w:r w:rsidRPr="001464E4">
        <w:rPr>
          <w:rFonts w:asciiTheme="minorHAnsi" w:hAnsiTheme="minorHAnsi" w:cstheme="minorHAnsi"/>
        </w:rPr>
        <w:t>bimaadiziwin</w:t>
      </w:r>
      <w:proofErr w:type="spellEnd"/>
      <w:r w:rsidRPr="001464E4">
        <w:rPr>
          <w:rFonts w:asciiTheme="minorHAnsi" w:hAnsiTheme="minorHAnsi" w:cstheme="minorHAnsi"/>
        </w:rPr>
        <w:t>, variously translated as “the good life” and “</w:t>
      </w:r>
      <w:r w:rsidRPr="001464E4">
        <w:rPr>
          <w:rStyle w:val="Heading3Char"/>
          <w:rFonts w:asciiTheme="minorHAnsi" w:hAnsiTheme="minorHAnsi" w:cstheme="minorHAnsi"/>
          <w:sz w:val="22"/>
          <w:szCs w:val="22"/>
        </w:rPr>
        <w:t>continuous rebirth</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Simpson identifies an alternative to worlds that are enacted through utilitarianism and extraction. “</w:t>
      </w:r>
      <w:r w:rsidRPr="001464E4">
        <w:rPr>
          <w:rStyle w:val="Heading3Char"/>
          <w:rFonts w:asciiTheme="minorHAnsi" w:hAnsiTheme="minorHAnsi" w:cstheme="minorHAnsi"/>
          <w:sz w:val="22"/>
          <w:szCs w:val="22"/>
          <w:highlight w:val="yellow"/>
        </w:rPr>
        <w:t>The purpose of life</w:t>
      </w:r>
      <w:r w:rsidRPr="001464E4">
        <w:rPr>
          <w:rStyle w:val="Heading3Char"/>
          <w:rFonts w:asciiTheme="minorHAnsi" w:hAnsiTheme="minorHAnsi" w:cstheme="minorHAnsi"/>
          <w:sz w:val="22"/>
          <w:szCs w:val="22"/>
        </w:rPr>
        <w:t>,”</w:t>
      </w:r>
      <w:r w:rsidRPr="001464E4">
        <w:rPr>
          <w:rFonts w:asciiTheme="minorHAnsi" w:hAnsiTheme="minorHAnsi" w:cstheme="minorHAnsi"/>
        </w:rPr>
        <w:t xml:space="preserve"> she says, “</w:t>
      </w:r>
      <w:r w:rsidRPr="001464E4">
        <w:rPr>
          <w:rStyle w:val="Emphasis"/>
          <w:rFonts w:asciiTheme="minorHAnsi" w:hAnsiTheme="minorHAnsi" w:cstheme="minorHAnsi"/>
          <w:highlight w:val="yellow"/>
        </w:rPr>
        <w:t>is this continuous rebirth</w:t>
      </w:r>
      <w:r w:rsidRPr="001464E4">
        <w:rPr>
          <w:rFonts w:asciiTheme="minorHAnsi" w:hAnsiTheme="minorHAnsi" w:cstheme="minorHAnsi"/>
        </w:rPr>
        <w:t xml:space="preserve">, </w:t>
      </w:r>
      <w:r w:rsidRPr="001464E4">
        <w:rPr>
          <w:rStyle w:val="Emphasis"/>
          <w:rFonts w:asciiTheme="minorHAnsi" w:hAnsiTheme="minorHAnsi" w:cstheme="minorHAnsi"/>
          <w:highlight w:val="yellow"/>
        </w:rPr>
        <w:t>it's to promote more life</w:t>
      </w:r>
      <w:r w:rsidRPr="001464E4">
        <w:rPr>
          <w:rFonts w:asciiTheme="minorHAnsi" w:hAnsiTheme="minorHAnsi" w:cstheme="minorHAnsi"/>
        </w:rPr>
        <w:t xml:space="preserve">. In </w:t>
      </w:r>
      <w:proofErr w:type="spellStart"/>
      <w:r w:rsidRPr="001464E4">
        <w:rPr>
          <w:rFonts w:asciiTheme="minorHAnsi" w:hAnsiTheme="minorHAnsi" w:cstheme="minorHAnsi"/>
        </w:rPr>
        <w:t>Anishinaabeg</w:t>
      </w:r>
      <w:proofErr w:type="spellEnd"/>
      <w:r w:rsidRPr="001464E4">
        <w:rPr>
          <w:rFonts w:asciiTheme="minorHAnsi" w:hAnsiTheme="minorHAnsi" w:cstheme="minorHAnsi"/>
        </w:rPr>
        <w:t xml:space="preserve"> society, our economic systems, our education systems, our systems of governance, and our political systems were designed with that basic tenet at their core.” </w:t>
      </w:r>
      <w:r w:rsidRPr="001464E4">
        <w:rPr>
          <w:rStyle w:val="Heading3Char"/>
          <w:rFonts w:asciiTheme="minorHAnsi" w:hAnsiTheme="minorHAnsi" w:cstheme="minorHAnsi"/>
          <w:sz w:val="22"/>
          <w:szCs w:val="22"/>
        </w:rPr>
        <w:t>The concept of promoting life differs considerably from a core</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aspect of sustainability and earth systems science, which focuses on figuring out the limits</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to development or the extent to which ecosystems may be degraded before ecological function is impaired or beyond repair.</w:t>
      </w:r>
      <w:r w:rsidRPr="001464E4">
        <w:rPr>
          <w:rFonts w:asciiTheme="minorHAnsi" w:hAnsiTheme="minorHAnsi" w:cstheme="minorHAnsi"/>
        </w:rPr>
        <w:t xml:space="preserve"> As Simpson says, her community considers “how much you can give up to promote more life” (cited in Klein 2013; also Simpson 2011). </w:t>
      </w:r>
      <w:r w:rsidRPr="001464E4">
        <w:rPr>
          <w:rStyle w:val="Heading3Char"/>
          <w:rFonts w:asciiTheme="minorHAnsi" w:hAnsiTheme="minorHAnsi" w:cstheme="minorHAnsi"/>
          <w:sz w:val="22"/>
          <w:szCs w:val="22"/>
          <w:highlight w:val="yellow"/>
        </w:rPr>
        <w:t>We ally ourselves with such strategies</w:t>
      </w:r>
      <w:r w:rsidRPr="001464E4">
        <w:rPr>
          <w:rStyle w:val="Heading3Char"/>
          <w:rFonts w:asciiTheme="minorHAnsi" w:hAnsiTheme="minorHAnsi" w:cstheme="minorHAnsi"/>
          <w:sz w:val="22"/>
          <w:szCs w:val="22"/>
        </w:rPr>
        <w:t xml:space="preserve"> to produce abundance. </w:t>
      </w:r>
      <w:r w:rsidRPr="001464E4">
        <w:rPr>
          <w:rStyle w:val="Heading3Char"/>
          <w:rFonts w:asciiTheme="minorHAnsi" w:hAnsiTheme="minorHAnsi" w:cstheme="minorHAnsi"/>
          <w:sz w:val="22"/>
          <w:szCs w:val="22"/>
          <w:highlight w:val="yellow"/>
        </w:rPr>
        <w:t>For</w:t>
      </w:r>
      <w:r w:rsidRPr="001464E4">
        <w:rPr>
          <w:rStyle w:val="Heading3Char"/>
          <w:rFonts w:asciiTheme="minorHAnsi" w:hAnsiTheme="minorHAnsi" w:cstheme="minorHAnsi"/>
          <w:sz w:val="22"/>
          <w:szCs w:val="22"/>
        </w:rPr>
        <w:t xml:space="preserve"> </w:t>
      </w:r>
      <w:proofErr w:type="spellStart"/>
      <w:r w:rsidRPr="001464E4">
        <w:rPr>
          <w:rStyle w:val="Heading3Char"/>
          <w:rFonts w:asciiTheme="minorHAnsi" w:hAnsiTheme="minorHAnsi" w:cstheme="minorHAnsi"/>
          <w:sz w:val="22"/>
          <w:szCs w:val="22"/>
        </w:rPr>
        <w:t>Tewolde</w:t>
      </w:r>
      <w:proofErr w:type="spellEnd"/>
      <w:r w:rsidRPr="001464E4">
        <w:rPr>
          <w:rStyle w:val="Heading3Char"/>
          <w:rFonts w:asciiTheme="minorHAnsi" w:hAnsiTheme="minorHAnsi" w:cstheme="minorHAnsi"/>
          <w:sz w:val="22"/>
          <w:szCs w:val="22"/>
        </w:rPr>
        <w:t xml:space="preserve"> </w:t>
      </w:r>
      <w:proofErr w:type="spellStart"/>
      <w:r w:rsidRPr="001464E4">
        <w:rPr>
          <w:rStyle w:val="Heading3Char"/>
          <w:rFonts w:asciiTheme="minorHAnsi" w:hAnsiTheme="minorHAnsi" w:cstheme="minorHAnsi"/>
          <w:sz w:val="22"/>
          <w:szCs w:val="22"/>
        </w:rPr>
        <w:t>Egziabher</w:t>
      </w:r>
      <w:proofErr w:type="spellEnd"/>
      <w:r w:rsidRPr="001464E4">
        <w:rPr>
          <w:rFonts w:asciiTheme="minorHAnsi" w:hAnsiTheme="minorHAnsi" w:cstheme="minorHAnsi"/>
        </w:rPr>
        <w:t xml:space="preserve"> (2002), </w:t>
      </w:r>
      <w:r w:rsidRPr="001464E4">
        <w:rPr>
          <w:rStyle w:val="Heading3Char"/>
          <w:rFonts w:asciiTheme="minorHAnsi" w:hAnsiTheme="minorHAnsi" w:cstheme="minorHAnsi"/>
          <w:sz w:val="22"/>
          <w:szCs w:val="22"/>
          <w:highlight w:val="yellow"/>
        </w:rPr>
        <w:t>the tireless Ethiopian advocate for farmers’ rights and</w:t>
      </w:r>
      <w:r w:rsidRPr="001464E4">
        <w:rPr>
          <w:rStyle w:val="Heading3Char"/>
          <w:rFonts w:asciiTheme="minorHAnsi" w:hAnsiTheme="minorHAnsi" w:cstheme="minorHAnsi"/>
          <w:sz w:val="22"/>
          <w:szCs w:val="22"/>
        </w:rPr>
        <w:t xml:space="preserve"> agricultural diversity,</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supporting conditions to create and sustain biological diversity</w:t>
      </w:r>
      <w:r w:rsidRPr="001464E4">
        <w:rPr>
          <w:rFonts w:asciiTheme="minorHAnsi" w:hAnsiTheme="minorHAnsi" w:cstheme="minorHAnsi"/>
        </w:rPr>
        <w:t xml:space="preserve"> involves </w:t>
      </w:r>
      <w:r w:rsidRPr="001464E4">
        <w:rPr>
          <w:rStyle w:val="Heading3Char"/>
          <w:rFonts w:asciiTheme="minorHAnsi" w:hAnsiTheme="minorHAnsi" w:cstheme="minorHAnsi"/>
          <w:sz w:val="22"/>
          <w:szCs w:val="22"/>
          <w:highlight w:val="yellow"/>
        </w:rPr>
        <w:t>refusing</w:t>
      </w:r>
      <w:r w:rsidRPr="001464E4">
        <w:rPr>
          <w:rFonts w:asciiTheme="minorHAnsi" w:hAnsiTheme="minorHAnsi" w:cstheme="minorHAnsi"/>
        </w:rPr>
        <w:t xml:space="preserve"> </w:t>
      </w:r>
      <w:r w:rsidRPr="001464E4">
        <w:rPr>
          <w:rStyle w:val="Heading3Char"/>
          <w:rFonts w:asciiTheme="minorHAnsi" w:hAnsiTheme="minorHAnsi" w:cstheme="minorHAnsi"/>
          <w:sz w:val="22"/>
          <w:szCs w:val="22"/>
          <w:highlight w:val="yellow"/>
        </w:rPr>
        <w:t>capitalist processes of enclosure over land</w:t>
      </w:r>
      <w:r w:rsidRPr="001464E4">
        <w:rPr>
          <w:rFonts w:asciiTheme="minorHAnsi" w:hAnsiTheme="minorHAnsi" w:cstheme="minorHAnsi"/>
        </w:rPr>
        <w:t xml:space="preserve">, waters, and living things, including patents on life. </w:t>
      </w:r>
      <w:r w:rsidRPr="001464E4">
        <w:rPr>
          <w:rStyle w:val="Heading3Char"/>
          <w:rFonts w:asciiTheme="minorHAnsi" w:hAnsiTheme="minorHAnsi" w:cstheme="minorHAnsi"/>
          <w:sz w:val="22"/>
          <w:szCs w:val="22"/>
          <w:highlight w:val="yellow"/>
        </w:rPr>
        <w:t>We ally</w:t>
      </w:r>
      <w:r w:rsidRPr="001464E4">
        <w:rPr>
          <w:rStyle w:val="Heading3Char"/>
          <w:rFonts w:asciiTheme="minorHAnsi" w:hAnsiTheme="minorHAnsi" w:cstheme="minorHAnsi"/>
          <w:sz w:val="22"/>
          <w:szCs w:val="22"/>
        </w:rPr>
        <w:t xml:space="preserve"> </w:t>
      </w:r>
      <w:r w:rsidRPr="001464E4">
        <w:rPr>
          <w:rStyle w:val="Heading3Char"/>
          <w:rFonts w:asciiTheme="minorHAnsi" w:hAnsiTheme="minorHAnsi" w:cstheme="minorHAnsi"/>
          <w:sz w:val="22"/>
          <w:szCs w:val="22"/>
          <w:highlight w:val="yellow"/>
        </w:rPr>
        <w:t xml:space="preserve">with Via </w:t>
      </w:r>
      <w:proofErr w:type="spellStart"/>
      <w:r w:rsidRPr="001464E4">
        <w:rPr>
          <w:rStyle w:val="Heading3Char"/>
          <w:rFonts w:asciiTheme="minorHAnsi" w:hAnsiTheme="minorHAnsi" w:cstheme="minorHAnsi"/>
          <w:sz w:val="22"/>
          <w:szCs w:val="22"/>
          <w:highlight w:val="yellow"/>
        </w:rPr>
        <w:t>Campesina</w:t>
      </w:r>
      <w:proofErr w:type="spellEnd"/>
      <w:r w:rsidRPr="001464E4">
        <w:rPr>
          <w:rFonts w:asciiTheme="minorHAnsi" w:hAnsiTheme="minorHAnsi" w:cstheme="minorHAnsi"/>
        </w:rPr>
        <w:t xml:space="preserve"> (2008) </w:t>
      </w:r>
      <w:r w:rsidRPr="001464E4">
        <w:rPr>
          <w:rStyle w:val="Heading3Char"/>
          <w:rFonts w:asciiTheme="minorHAnsi" w:hAnsiTheme="minorHAnsi" w:cstheme="minorHAnsi"/>
          <w:sz w:val="22"/>
          <w:szCs w:val="22"/>
          <w:highlight w:val="yellow"/>
        </w:rPr>
        <w:t>and its</w:t>
      </w:r>
      <w:r w:rsidRPr="001464E4">
        <w:rPr>
          <w:rFonts w:asciiTheme="minorHAnsi" w:hAnsiTheme="minorHAnsi" w:cstheme="minorHAnsi"/>
        </w:rPr>
        <w:t xml:space="preserve"> more than </w:t>
      </w:r>
      <w:r w:rsidRPr="001464E4">
        <w:rPr>
          <w:rStyle w:val="Heading3Char"/>
          <w:rFonts w:asciiTheme="minorHAnsi" w:hAnsiTheme="minorHAnsi" w:cstheme="minorHAnsi"/>
          <w:sz w:val="22"/>
          <w:szCs w:val="22"/>
          <w:highlight w:val="yellow"/>
        </w:rPr>
        <w:t>200,000 members</w:t>
      </w:r>
      <w:r w:rsidRPr="001464E4">
        <w:rPr>
          <w:rStyle w:val="Heading3Char"/>
          <w:rFonts w:asciiTheme="minorHAnsi" w:hAnsiTheme="minorHAnsi" w:cstheme="minorHAnsi"/>
          <w:sz w:val="22"/>
          <w:szCs w:val="22"/>
        </w:rPr>
        <w:t xml:space="preserve"> throughout</w:t>
      </w:r>
      <w:r w:rsidRPr="001464E4">
        <w:rPr>
          <w:rFonts w:asciiTheme="minorHAnsi" w:hAnsiTheme="minorHAnsi" w:cstheme="minorHAnsi"/>
        </w:rPr>
        <w:t xml:space="preserve"> the globe in </w:t>
      </w:r>
      <w:r w:rsidRPr="001464E4">
        <w:rPr>
          <w:rStyle w:val="Heading3Char"/>
          <w:rFonts w:asciiTheme="minorHAnsi" w:hAnsiTheme="minorHAnsi" w:cstheme="minorHAnsi"/>
          <w:sz w:val="22"/>
          <w:szCs w:val="22"/>
          <w:highlight w:val="yellow"/>
        </w:rPr>
        <w:t>defending the “collective rights of peasant farmers</w:t>
      </w:r>
      <w:r w:rsidRPr="001464E4">
        <w:rPr>
          <w:rStyle w:val="Heading3Char"/>
          <w:rFonts w:asciiTheme="minorHAnsi" w:hAnsiTheme="minorHAnsi" w:cstheme="minorHAnsi"/>
          <w:sz w:val="22"/>
          <w:szCs w:val="22"/>
        </w:rPr>
        <w:t xml:space="preserve"> to access land” from</w:t>
      </w:r>
      <w:r w:rsidRPr="001464E4">
        <w:rPr>
          <w:rFonts w:asciiTheme="minorHAnsi" w:hAnsiTheme="minorHAnsi" w:cstheme="minorHAnsi"/>
        </w:rPr>
        <w:t xml:space="preserve"> those who appropriate land “for profit.” </w:t>
      </w:r>
      <w:r w:rsidRPr="001464E4">
        <w:rPr>
          <w:rStyle w:val="Heading3Char"/>
          <w:rFonts w:asciiTheme="minorHAnsi" w:hAnsiTheme="minorHAnsi" w:cstheme="minorHAnsi"/>
          <w:sz w:val="22"/>
          <w:szCs w:val="22"/>
          <w:highlight w:val="yellow"/>
        </w:rPr>
        <w:t>Peasant farmers</w:t>
      </w:r>
      <w:r w:rsidRPr="001464E4">
        <w:rPr>
          <w:rFonts w:asciiTheme="minorHAnsi" w:hAnsiTheme="minorHAnsi" w:cstheme="minorHAnsi"/>
        </w:rPr>
        <w:t xml:space="preserve"> affiliated with Via </w:t>
      </w:r>
      <w:proofErr w:type="spellStart"/>
      <w:r w:rsidRPr="001464E4">
        <w:rPr>
          <w:rFonts w:asciiTheme="minorHAnsi" w:hAnsiTheme="minorHAnsi" w:cstheme="minorHAnsi"/>
        </w:rPr>
        <w:t>Campesina</w:t>
      </w:r>
      <w:proofErr w:type="spellEnd"/>
      <w:r w:rsidRPr="001464E4">
        <w:rPr>
          <w:rFonts w:asciiTheme="minorHAnsi" w:hAnsiTheme="minorHAnsi" w:cstheme="minorHAnsi"/>
        </w:rPr>
        <w:t xml:space="preserve"> </w:t>
      </w:r>
      <w:r w:rsidRPr="001464E4">
        <w:rPr>
          <w:rStyle w:val="Heading3Char"/>
          <w:rFonts w:asciiTheme="minorHAnsi" w:hAnsiTheme="minorHAnsi" w:cstheme="minorHAnsi"/>
          <w:sz w:val="22"/>
          <w:szCs w:val="22"/>
          <w:highlight w:val="yellow"/>
        </w:rPr>
        <w:t>fight</w:t>
      </w:r>
      <w:r w:rsidRPr="001464E4">
        <w:rPr>
          <w:rFonts w:asciiTheme="minorHAnsi" w:hAnsiTheme="minorHAnsi" w:cstheme="minorHAnsi"/>
          <w:highlight w:val="yellow"/>
        </w:rPr>
        <w:t xml:space="preserve"> </w:t>
      </w:r>
      <w:r w:rsidRPr="001464E4">
        <w:rPr>
          <w:rStyle w:val="Heading3Char"/>
          <w:rFonts w:asciiTheme="minorHAnsi" w:hAnsiTheme="minorHAnsi" w:cstheme="minorHAnsi"/>
          <w:sz w:val="22"/>
          <w:szCs w:val="22"/>
          <w:highlight w:val="yellow"/>
        </w:rPr>
        <w:t>relentlessly</w:t>
      </w:r>
      <w:r w:rsidRPr="001464E4">
        <w:rPr>
          <w:rFonts w:asciiTheme="minorHAnsi" w:hAnsiTheme="minorHAnsi" w:cstheme="minorHAnsi"/>
        </w:rPr>
        <w:t xml:space="preserve"> against the status quo, against the World Trade Organization and other trade agreements that privilege corporate actors, </w:t>
      </w:r>
      <w:r w:rsidRPr="001464E4">
        <w:rPr>
          <w:rStyle w:val="Heading3Char"/>
          <w:rFonts w:asciiTheme="minorHAnsi" w:hAnsiTheme="minorHAnsi" w:cstheme="minorHAnsi"/>
          <w:sz w:val="22"/>
          <w:szCs w:val="22"/>
          <w:highlight w:val="yellow"/>
        </w:rPr>
        <w:t>against</w:t>
      </w:r>
      <w:r w:rsidRPr="001464E4">
        <w:rPr>
          <w:rFonts w:asciiTheme="minorHAnsi" w:hAnsiTheme="minorHAnsi" w:cstheme="minorHAnsi"/>
        </w:rPr>
        <w:t xml:space="preserve"> the governments who facilitate </w:t>
      </w:r>
      <w:r w:rsidRPr="001464E4">
        <w:rPr>
          <w:rStyle w:val="Heading3Char"/>
          <w:rFonts w:asciiTheme="minorHAnsi" w:hAnsiTheme="minorHAnsi" w:cstheme="minorHAnsi"/>
          <w:sz w:val="22"/>
          <w:szCs w:val="22"/>
          <w:highlight w:val="yellow"/>
        </w:rPr>
        <w:t>land grabs, and</w:t>
      </w:r>
      <w:r w:rsidRPr="001464E4">
        <w:rPr>
          <w:rStyle w:val="Heading3Char"/>
          <w:rFonts w:asciiTheme="minorHAnsi" w:hAnsiTheme="minorHAnsi" w:cstheme="minorHAnsi"/>
          <w:sz w:val="22"/>
          <w:szCs w:val="22"/>
        </w:rPr>
        <w:t xml:space="preserve"> </w:t>
      </w:r>
      <w:r w:rsidRPr="001464E4">
        <w:rPr>
          <w:rFonts w:asciiTheme="minorHAnsi" w:hAnsiTheme="minorHAnsi" w:cstheme="minorHAnsi"/>
        </w:rPr>
        <w:t xml:space="preserve">against </w:t>
      </w:r>
      <w:r w:rsidRPr="001464E4">
        <w:rPr>
          <w:rStyle w:val="Heading3Char"/>
          <w:rFonts w:asciiTheme="minorHAnsi" w:hAnsiTheme="minorHAnsi" w:cstheme="minorHAnsi"/>
          <w:sz w:val="22"/>
          <w:szCs w:val="22"/>
          <w:highlight w:val="yellow"/>
        </w:rPr>
        <w:t>corporate enclosures</w:t>
      </w:r>
      <w:r w:rsidRPr="001464E4">
        <w:rPr>
          <w:rStyle w:val="Heading3Char"/>
          <w:rFonts w:asciiTheme="minorHAnsi" w:hAnsiTheme="minorHAnsi" w:cstheme="minorHAnsi"/>
          <w:sz w:val="22"/>
          <w:szCs w:val="22"/>
        </w:rPr>
        <w:t xml:space="preserve">. </w:t>
      </w:r>
      <w:r w:rsidRPr="001464E4">
        <w:rPr>
          <w:rFonts w:asciiTheme="minorHAnsi" w:hAnsiTheme="minorHAnsi" w:cstheme="minorHAnsi"/>
        </w:rPr>
        <w:t xml:space="preserve">In so doing, they </w:t>
      </w:r>
      <w:r w:rsidRPr="001464E4">
        <w:rPr>
          <w:rStyle w:val="Heading3Char"/>
          <w:rFonts w:asciiTheme="minorHAnsi" w:hAnsiTheme="minorHAnsi" w:cstheme="minorHAnsi"/>
          <w:sz w:val="22"/>
          <w:szCs w:val="22"/>
        </w:rPr>
        <w:t xml:space="preserve">are </w:t>
      </w:r>
      <w:r w:rsidRPr="001464E4">
        <w:rPr>
          <w:rStyle w:val="Heading3Char"/>
          <w:rFonts w:asciiTheme="minorHAnsi" w:hAnsiTheme="minorHAnsi" w:cstheme="minorHAnsi"/>
          <w:sz w:val="22"/>
          <w:szCs w:val="22"/>
          <w:highlight w:val="yellow"/>
        </w:rPr>
        <w:t>creating</w:t>
      </w:r>
      <w:r w:rsidRPr="001464E4">
        <w:rPr>
          <w:rStyle w:val="Heading3Char"/>
          <w:rFonts w:asciiTheme="minorHAnsi" w:hAnsiTheme="minorHAnsi" w:cstheme="minorHAnsi"/>
          <w:sz w:val="22"/>
          <w:szCs w:val="22"/>
        </w:rPr>
        <w:t xml:space="preserve"> </w:t>
      </w:r>
      <w:r w:rsidRPr="001464E4">
        <w:rPr>
          <w:rStyle w:val="Heading3Char"/>
          <w:rFonts w:asciiTheme="minorHAnsi" w:hAnsiTheme="minorHAnsi" w:cstheme="minorHAnsi"/>
          <w:sz w:val="22"/>
          <w:szCs w:val="22"/>
          <w:highlight w:val="yellow"/>
        </w:rPr>
        <w:t>institutions and alliances</w:t>
      </w:r>
      <w:r w:rsidRPr="001464E4">
        <w:rPr>
          <w:rStyle w:val="Heading3Char"/>
          <w:rFonts w:asciiTheme="minorHAnsi" w:hAnsiTheme="minorHAnsi" w:cstheme="minorHAnsi"/>
          <w:sz w:val="22"/>
          <w:szCs w:val="22"/>
        </w:rPr>
        <w:t xml:space="preserve"> that go far </w:t>
      </w:r>
      <w:r w:rsidRPr="001464E4">
        <w:rPr>
          <w:rStyle w:val="Heading3Char"/>
          <w:rFonts w:asciiTheme="minorHAnsi" w:hAnsiTheme="minorHAnsi" w:cstheme="minorHAnsi"/>
          <w:sz w:val="22"/>
          <w:szCs w:val="22"/>
          <w:highlight w:val="yellow"/>
        </w:rPr>
        <w:t>beyond national borders</w:t>
      </w:r>
      <w:r w:rsidRPr="001464E4">
        <w:rPr>
          <w:rStyle w:val="Heading3Char"/>
          <w:rFonts w:asciiTheme="minorHAnsi" w:hAnsiTheme="minorHAnsi" w:cstheme="minorHAnsi"/>
          <w:sz w:val="22"/>
          <w:szCs w:val="22"/>
        </w:rPr>
        <w:t>,</w:t>
      </w:r>
      <w:r w:rsidRPr="001464E4">
        <w:rPr>
          <w:rFonts w:asciiTheme="minorHAnsi" w:hAnsiTheme="minorHAnsi" w:cstheme="minorHAnsi"/>
        </w:rPr>
        <w:t xml:space="preserve"> including the World Social Forum, farmer–farmer exchanges, and seed-saving networks. Strategy 2: Acting </w:t>
      </w:r>
      <w:proofErr w:type="spellStart"/>
      <w:r w:rsidRPr="001464E4">
        <w:rPr>
          <w:rFonts w:asciiTheme="minorHAnsi" w:hAnsiTheme="minorHAnsi" w:cstheme="minorHAnsi"/>
        </w:rPr>
        <w:t>Pluriversally</w:t>
      </w:r>
      <w:proofErr w:type="spellEnd"/>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Recognizing entanglement is not enough to undo colonial formations such as Nature.</w:t>
      </w:r>
      <w:r w:rsidRPr="001464E4">
        <w:rPr>
          <w:rFonts w:asciiTheme="minorHAnsi" w:hAnsiTheme="minorHAnsi" w:cstheme="minorHAnsi"/>
        </w:rPr>
        <w:t xml:space="preserve"> Hence, </w:t>
      </w:r>
      <w:r w:rsidRPr="001464E4">
        <w:rPr>
          <w:rStyle w:val="Heading3Char"/>
          <w:rFonts w:asciiTheme="minorHAnsi" w:hAnsiTheme="minorHAnsi" w:cstheme="minorHAnsi"/>
          <w:sz w:val="22"/>
          <w:szCs w:val="22"/>
          <w:highlight w:val="yellow"/>
        </w:rPr>
        <w:t xml:space="preserve">we ally with others </w:t>
      </w:r>
      <w:r w:rsidRPr="001464E4">
        <w:rPr>
          <w:rStyle w:val="Emphasis"/>
          <w:rFonts w:asciiTheme="minorHAnsi" w:hAnsiTheme="minorHAnsi" w:cstheme="minorHAnsi"/>
          <w:highlight w:val="yellow"/>
        </w:rPr>
        <w:t xml:space="preserve">fostering the capacity to act in </w:t>
      </w:r>
      <w:proofErr w:type="spellStart"/>
      <w:r w:rsidRPr="001464E4">
        <w:rPr>
          <w:rStyle w:val="Emphasis"/>
          <w:rFonts w:asciiTheme="minorHAnsi" w:hAnsiTheme="minorHAnsi" w:cstheme="minorHAnsi"/>
          <w:highlight w:val="yellow"/>
        </w:rPr>
        <w:t>pluriversal</w:t>
      </w:r>
      <w:proofErr w:type="spellEnd"/>
      <w:r w:rsidRPr="001464E4">
        <w:rPr>
          <w:rStyle w:val="Heading3Char"/>
          <w:rFonts w:asciiTheme="minorHAnsi" w:hAnsiTheme="minorHAnsi" w:cstheme="minorHAnsi"/>
          <w:sz w:val="22"/>
          <w:szCs w:val="22"/>
        </w:rPr>
        <w:t xml:space="preserve"> instead of universal</w:t>
      </w:r>
      <w:r w:rsidRPr="001464E4">
        <w:rPr>
          <w:rFonts w:asciiTheme="minorHAnsi" w:hAnsiTheme="minorHAnsi" w:cstheme="minorHAnsi"/>
        </w:rPr>
        <w:t xml:space="preserve"> </w:t>
      </w:r>
      <w:r w:rsidRPr="001464E4">
        <w:rPr>
          <w:rStyle w:val="Emphasis"/>
          <w:rFonts w:asciiTheme="minorHAnsi" w:hAnsiTheme="minorHAnsi" w:cstheme="minorHAnsi"/>
          <w:highlight w:val="yellow"/>
        </w:rPr>
        <w:t>ways</w:t>
      </w:r>
      <w:r w:rsidRPr="001464E4">
        <w:rPr>
          <w:rFonts w:asciiTheme="minorHAnsi" w:hAnsiTheme="minorHAnsi" w:cstheme="minorHAnsi"/>
        </w:rPr>
        <w:t xml:space="preserve"> (Blaser, de la Cadena, and Escobar 2014). The universe is enacted through the ontological assumption of reality or nature as singular, with different cultures offering distinct conceptions of this reality (Blaser 2013). This approach equates ontology with mental maps or culture and leaves intact the assumption that differing perspectives on the world can be understood through and reduced to Eurocentric categories. </w:t>
      </w:r>
      <w:r w:rsidRPr="001464E4">
        <w:rPr>
          <w:rStyle w:val="Heading3Char"/>
          <w:rFonts w:asciiTheme="minorHAnsi" w:hAnsiTheme="minorHAnsi" w:cstheme="minorHAnsi"/>
          <w:sz w:val="22"/>
          <w:szCs w:val="22"/>
        </w:rPr>
        <w:t>Building on</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Indigenous thought as well as some science studies scholarship,</w:t>
      </w:r>
      <w:r w:rsidRPr="001464E4">
        <w:rPr>
          <w:rFonts w:asciiTheme="minorHAnsi" w:hAnsiTheme="minorHAnsi" w:cstheme="minorHAnsi"/>
        </w:rPr>
        <w:t xml:space="preserve"> Blaser (2009, 2013) frames ontology in terms of practices and performances of worlding—of being, doing, and knowing; reality “is done and enacted rather than observed” (Mol 1999, 77). </w:t>
      </w:r>
      <w:r w:rsidRPr="001464E4">
        <w:rPr>
          <w:rStyle w:val="Heading3Char"/>
          <w:rFonts w:asciiTheme="minorHAnsi" w:hAnsiTheme="minorHAnsi" w:cstheme="minorHAnsi"/>
          <w:sz w:val="22"/>
          <w:szCs w:val="22"/>
        </w:rPr>
        <w:t>Worlding</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 xml:space="preserve">practices bring worlds into being; different stories enact different worlds that may be </w:t>
      </w:r>
      <w:proofErr w:type="spellStart"/>
      <w:r w:rsidRPr="001464E4">
        <w:rPr>
          <w:rStyle w:val="Heading3Char"/>
          <w:rFonts w:asciiTheme="minorHAnsi" w:hAnsiTheme="minorHAnsi" w:cstheme="minorHAnsi"/>
          <w:sz w:val="22"/>
          <w:szCs w:val="22"/>
        </w:rPr>
        <w:t>coemergent</w:t>
      </w:r>
      <w:proofErr w:type="spellEnd"/>
      <w:r w:rsidRPr="001464E4">
        <w:rPr>
          <w:rStyle w:val="Heading3Char"/>
          <w:rFonts w:asciiTheme="minorHAnsi" w:hAnsiTheme="minorHAnsi" w:cstheme="minorHAnsi"/>
          <w:sz w:val="22"/>
          <w:szCs w:val="22"/>
        </w:rPr>
        <w:t>, partially connected, or in conflict. Blaser</w:t>
      </w:r>
      <w:r w:rsidRPr="001464E4">
        <w:rPr>
          <w:rFonts w:asciiTheme="minorHAnsi" w:hAnsiTheme="minorHAnsi" w:cstheme="minorHAnsi"/>
        </w:rPr>
        <w:t xml:space="preserve"> (2013, 552) </w:t>
      </w:r>
      <w:r w:rsidRPr="001464E4">
        <w:rPr>
          <w:rStyle w:val="Heading3Char"/>
          <w:rFonts w:asciiTheme="minorHAnsi" w:hAnsiTheme="minorHAnsi" w:cstheme="minorHAnsi"/>
          <w:sz w:val="22"/>
          <w:szCs w:val="22"/>
        </w:rPr>
        <w:t xml:space="preserve">proposes the pluriverse as a “heuristic proposition,” a commitment to enacting ontological multiplicity, to shift us away from continuously performing the universe. If different stories perform different yet interconnected worlds, then worlding practices can be evaluated in terms of their effects; some </w:t>
      </w:r>
      <w:proofErr w:type="spellStart"/>
      <w:r w:rsidRPr="001464E4">
        <w:rPr>
          <w:rStyle w:val="Heading3Char"/>
          <w:rFonts w:asciiTheme="minorHAnsi" w:hAnsiTheme="minorHAnsi" w:cstheme="minorHAnsi"/>
          <w:sz w:val="22"/>
          <w:szCs w:val="22"/>
        </w:rPr>
        <w:t>worldings</w:t>
      </w:r>
      <w:proofErr w:type="spellEnd"/>
      <w:r w:rsidRPr="001464E4">
        <w:rPr>
          <w:rStyle w:val="Heading3Char"/>
          <w:rFonts w:asciiTheme="minorHAnsi" w:hAnsiTheme="minorHAnsi" w:cstheme="minorHAnsi"/>
          <w:sz w:val="22"/>
          <w:szCs w:val="22"/>
        </w:rPr>
        <w:t xml:space="preserve"> might be wrong in the sense that “they enact worlds</w:t>
      </w:r>
      <w:r w:rsidRPr="001464E4">
        <w:rPr>
          <w:rFonts w:asciiTheme="minorHAnsi" w:hAnsiTheme="minorHAnsi" w:cstheme="minorHAnsi"/>
        </w:rPr>
        <w:t xml:space="preserve"> (edifices) </w:t>
      </w:r>
      <w:r w:rsidRPr="001464E4">
        <w:rPr>
          <w:rStyle w:val="Heading3Char"/>
          <w:rFonts w:asciiTheme="minorHAnsi" w:hAnsiTheme="minorHAnsi" w:cstheme="minorHAnsi"/>
          <w:sz w:val="22"/>
          <w:szCs w:val="22"/>
        </w:rPr>
        <w:t>in which or with which we do not want to live, or that do not let us live—or lets some live and not others</w:t>
      </w:r>
      <w:r w:rsidRPr="001464E4">
        <w:rPr>
          <w:rFonts w:asciiTheme="minorHAnsi" w:hAnsiTheme="minorHAnsi" w:cstheme="minorHAnsi"/>
        </w:rPr>
        <w:t xml:space="preserve">” (Blaser, de la Cadena, and Escobar 2014). </w:t>
      </w:r>
      <w:r w:rsidRPr="001464E4">
        <w:rPr>
          <w:rStyle w:val="Heading3Char"/>
          <w:rFonts w:asciiTheme="minorHAnsi" w:hAnsiTheme="minorHAnsi" w:cstheme="minorHAnsi"/>
          <w:sz w:val="22"/>
          <w:szCs w:val="22"/>
          <w:highlight w:val="yellow"/>
        </w:rPr>
        <w:t>Creating abundant futures</w:t>
      </w:r>
      <w:r w:rsidRPr="001464E4">
        <w:rPr>
          <w:rFonts w:asciiTheme="minorHAnsi" w:hAnsiTheme="minorHAnsi" w:cstheme="minorHAnsi"/>
        </w:rPr>
        <w:t xml:space="preserve">, we believe, </w:t>
      </w:r>
      <w:r w:rsidRPr="001464E4">
        <w:rPr>
          <w:rStyle w:val="Heading3Char"/>
          <w:rFonts w:asciiTheme="minorHAnsi" w:hAnsiTheme="minorHAnsi" w:cstheme="minorHAnsi"/>
          <w:sz w:val="22"/>
          <w:szCs w:val="22"/>
          <w:highlight w:val="yellow"/>
        </w:rPr>
        <w:t>means</w:t>
      </w:r>
      <w:r w:rsidRPr="001464E4">
        <w:rPr>
          <w:rStyle w:val="Heading3Char"/>
          <w:rFonts w:asciiTheme="minorHAnsi" w:hAnsiTheme="minorHAnsi" w:cstheme="minorHAnsi"/>
          <w:sz w:val="22"/>
          <w:szCs w:val="22"/>
        </w:rPr>
        <w:t xml:space="preserve"> </w:t>
      </w:r>
      <w:r w:rsidRPr="001464E4">
        <w:rPr>
          <w:rStyle w:val="Heading3Char"/>
          <w:rFonts w:asciiTheme="minorHAnsi" w:hAnsiTheme="minorHAnsi" w:cstheme="minorHAnsi"/>
          <w:sz w:val="22"/>
          <w:szCs w:val="22"/>
          <w:highlight w:val="yellow"/>
        </w:rPr>
        <w:t>supporting already existing worlding practices</w:t>
      </w:r>
      <w:r w:rsidRPr="001464E4">
        <w:rPr>
          <w:rStyle w:val="Heading3Char"/>
          <w:rFonts w:asciiTheme="minorHAnsi" w:hAnsiTheme="minorHAnsi" w:cstheme="minorHAnsi"/>
          <w:sz w:val="22"/>
          <w:szCs w:val="22"/>
        </w:rPr>
        <w:t xml:space="preserve"> that enact worlds different from those produced by European imperialism and settler colonialism</w:t>
      </w:r>
      <w:r w:rsidRPr="001464E4">
        <w:rPr>
          <w:rFonts w:asciiTheme="minorHAnsi" w:hAnsiTheme="minorHAnsi" w:cstheme="minorHAnsi"/>
        </w:rPr>
        <w:t xml:space="preserve">. </w:t>
      </w:r>
      <w:r w:rsidRPr="001464E4">
        <w:rPr>
          <w:rStyle w:val="Heading3Char"/>
          <w:rFonts w:asciiTheme="minorHAnsi" w:hAnsiTheme="minorHAnsi" w:cstheme="minorHAnsi"/>
          <w:sz w:val="22"/>
          <w:szCs w:val="22"/>
          <w:highlight w:val="yellow"/>
        </w:rPr>
        <w:t>We ally</w:t>
      </w:r>
      <w:r w:rsidRPr="001464E4">
        <w:rPr>
          <w:rStyle w:val="Heading3Char"/>
          <w:rFonts w:asciiTheme="minorHAnsi" w:hAnsiTheme="minorHAnsi" w:cstheme="minorHAnsi"/>
          <w:sz w:val="22"/>
          <w:szCs w:val="22"/>
        </w:rPr>
        <w:t xml:space="preserve"> ourselves </w:t>
      </w:r>
      <w:r w:rsidRPr="001464E4">
        <w:rPr>
          <w:rStyle w:val="Heading3Char"/>
          <w:rFonts w:asciiTheme="minorHAnsi" w:hAnsiTheme="minorHAnsi" w:cstheme="minorHAnsi"/>
          <w:sz w:val="22"/>
          <w:szCs w:val="22"/>
          <w:highlight w:val="yellow"/>
        </w:rPr>
        <w:t xml:space="preserve">with </w:t>
      </w:r>
      <w:r w:rsidRPr="001464E4">
        <w:rPr>
          <w:rStyle w:val="Emphasis"/>
          <w:rFonts w:asciiTheme="minorHAnsi" w:hAnsiTheme="minorHAnsi" w:cstheme="minorHAnsi"/>
          <w:highlight w:val="yellow"/>
        </w:rPr>
        <w:t>Idle No More</w:t>
      </w:r>
      <w:r w:rsidRPr="001464E4">
        <w:rPr>
          <w:rFonts w:asciiTheme="minorHAnsi" w:hAnsiTheme="minorHAnsi" w:cstheme="minorHAnsi"/>
          <w:highlight w:val="yellow"/>
        </w:rPr>
        <w:t xml:space="preserve">, </w:t>
      </w:r>
      <w:r w:rsidRPr="001464E4">
        <w:rPr>
          <w:rStyle w:val="Heading3Char"/>
          <w:rFonts w:asciiTheme="minorHAnsi" w:hAnsiTheme="minorHAnsi" w:cstheme="minorHAnsi"/>
          <w:sz w:val="22"/>
          <w:szCs w:val="22"/>
          <w:highlight w:val="yellow"/>
        </w:rPr>
        <w:t xml:space="preserve">a Canada-wide Indigenous movement </w:t>
      </w:r>
      <w:r w:rsidRPr="001464E4">
        <w:rPr>
          <w:rStyle w:val="Heading3Char"/>
          <w:rFonts w:asciiTheme="minorHAnsi" w:hAnsiTheme="minorHAnsi" w:cstheme="minorHAnsi"/>
          <w:sz w:val="22"/>
          <w:szCs w:val="22"/>
        </w:rPr>
        <w:t>sparked by</w:t>
      </w:r>
      <w:r w:rsidRPr="001464E4">
        <w:rPr>
          <w:rFonts w:asciiTheme="minorHAnsi" w:hAnsiTheme="minorHAnsi" w:cstheme="minorHAnsi"/>
        </w:rPr>
        <w:t xml:space="preserve"> federal </w:t>
      </w:r>
      <w:r w:rsidRPr="001464E4">
        <w:rPr>
          <w:rStyle w:val="Heading3Char"/>
          <w:rFonts w:asciiTheme="minorHAnsi" w:hAnsiTheme="minorHAnsi" w:cstheme="minorHAnsi"/>
          <w:sz w:val="22"/>
          <w:szCs w:val="22"/>
        </w:rPr>
        <w:t>efforts</w:t>
      </w:r>
      <w:r w:rsidRPr="001464E4">
        <w:rPr>
          <w:rFonts w:asciiTheme="minorHAnsi" w:hAnsiTheme="minorHAnsi" w:cstheme="minorHAnsi"/>
        </w:rPr>
        <w:t xml:space="preserve"> in 2012 </w:t>
      </w:r>
      <w:r w:rsidRPr="001464E4">
        <w:rPr>
          <w:rStyle w:val="Heading3Char"/>
          <w:rFonts w:asciiTheme="minorHAnsi" w:hAnsiTheme="minorHAnsi" w:cstheme="minorHAnsi"/>
          <w:sz w:val="22"/>
          <w:szCs w:val="22"/>
        </w:rPr>
        <w:t>to enact legislative changes that weaken Indigenous sovereignty and environmental regulations</w:t>
      </w:r>
      <w:r w:rsidRPr="001464E4">
        <w:rPr>
          <w:rFonts w:asciiTheme="minorHAnsi" w:hAnsiTheme="minorHAnsi" w:cstheme="minorHAnsi"/>
        </w:rPr>
        <w:t xml:space="preserve">. Started by four women, </w:t>
      </w:r>
      <w:r w:rsidRPr="001464E4">
        <w:rPr>
          <w:rStyle w:val="Heading3Char"/>
          <w:rFonts w:asciiTheme="minorHAnsi" w:hAnsiTheme="minorHAnsi" w:cstheme="minorHAnsi"/>
          <w:sz w:val="22"/>
          <w:szCs w:val="22"/>
          <w:highlight w:val="yellow"/>
        </w:rPr>
        <w:t xml:space="preserve">the movement </w:t>
      </w:r>
      <w:r w:rsidRPr="001464E4">
        <w:rPr>
          <w:rStyle w:val="Emphasis"/>
          <w:rFonts w:asciiTheme="minorHAnsi" w:hAnsiTheme="minorHAnsi" w:cstheme="minorHAnsi"/>
          <w:highlight w:val="yellow"/>
        </w:rPr>
        <w:t>spread like wildfire</w:t>
      </w:r>
      <w:r w:rsidRPr="001464E4">
        <w:rPr>
          <w:rStyle w:val="Heading3Char"/>
          <w:rFonts w:asciiTheme="minorHAnsi" w:hAnsiTheme="minorHAnsi" w:cstheme="minorHAnsi"/>
          <w:sz w:val="22"/>
          <w:szCs w:val="22"/>
        </w:rPr>
        <w:t>,</w:t>
      </w:r>
      <w:r w:rsidRPr="001464E4">
        <w:rPr>
          <w:rFonts w:asciiTheme="minorHAnsi" w:hAnsiTheme="minorHAnsi" w:cstheme="minorHAnsi"/>
        </w:rPr>
        <w:t xml:space="preserve"> drawing national attention to ongoing Indigenous struggles, </w:t>
      </w:r>
      <w:r w:rsidRPr="001464E4">
        <w:rPr>
          <w:rStyle w:val="Emphasis"/>
          <w:rFonts w:asciiTheme="minorHAnsi" w:hAnsiTheme="minorHAnsi" w:cstheme="minorHAnsi"/>
          <w:highlight w:val="yellow"/>
        </w:rPr>
        <w:t>sparking</w:t>
      </w:r>
      <w:r w:rsidRPr="001464E4">
        <w:rPr>
          <w:rStyle w:val="Heading3Char"/>
          <w:rFonts w:asciiTheme="minorHAnsi" w:hAnsiTheme="minorHAnsi" w:cstheme="minorHAnsi"/>
          <w:sz w:val="22"/>
          <w:szCs w:val="22"/>
        </w:rPr>
        <w:t xml:space="preserve">, </w:t>
      </w:r>
      <w:r w:rsidRPr="001464E4">
        <w:rPr>
          <w:rStyle w:val="Emphasis"/>
          <w:rFonts w:asciiTheme="minorHAnsi" w:hAnsiTheme="minorHAnsi" w:cstheme="minorHAnsi"/>
        </w:rPr>
        <w:t>revitalizing</w:t>
      </w:r>
      <w:r w:rsidRPr="001464E4">
        <w:rPr>
          <w:rStyle w:val="Heading3Char"/>
          <w:rFonts w:asciiTheme="minorHAnsi" w:hAnsiTheme="minorHAnsi" w:cstheme="minorHAnsi"/>
          <w:sz w:val="22"/>
          <w:szCs w:val="22"/>
        </w:rPr>
        <w:t xml:space="preserve">, </w:t>
      </w:r>
      <w:r w:rsidRPr="001464E4">
        <w:rPr>
          <w:rStyle w:val="Heading3Char"/>
          <w:rFonts w:asciiTheme="minorHAnsi" w:hAnsiTheme="minorHAnsi" w:cstheme="minorHAnsi"/>
          <w:sz w:val="22"/>
          <w:szCs w:val="22"/>
          <w:highlight w:val="yellow"/>
        </w:rPr>
        <w:t xml:space="preserve">and </w:t>
      </w:r>
      <w:r w:rsidRPr="001464E4">
        <w:rPr>
          <w:rStyle w:val="Emphasis"/>
          <w:rFonts w:asciiTheme="minorHAnsi" w:hAnsiTheme="minorHAnsi" w:cstheme="minorHAnsi"/>
          <w:highlight w:val="yellow"/>
        </w:rPr>
        <w:t>supporting decolonizing efforts</w:t>
      </w:r>
      <w:r w:rsidRPr="001464E4">
        <w:rPr>
          <w:rStyle w:val="Heading3Char"/>
          <w:rFonts w:asciiTheme="minorHAnsi" w:hAnsiTheme="minorHAnsi" w:cstheme="minorHAnsi"/>
          <w:sz w:val="22"/>
          <w:szCs w:val="22"/>
        </w:rPr>
        <w:t xml:space="preserve"> in a multitude of communities</w:t>
      </w:r>
      <w:r w:rsidRPr="001464E4">
        <w:rPr>
          <w:rFonts w:asciiTheme="minorHAnsi" w:hAnsiTheme="minorHAnsi" w:cstheme="minorHAnsi"/>
        </w:rPr>
        <w:t xml:space="preserve">. Activists and authors Simpson (cited in Klein 2013) and Glen </w:t>
      </w:r>
      <w:proofErr w:type="spellStart"/>
      <w:r w:rsidRPr="001464E4">
        <w:rPr>
          <w:rFonts w:asciiTheme="minorHAnsi" w:hAnsiTheme="minorHAnsi" w:cstheme="minorHAnsi"/>
        </w:rPr>
        <w:t>Coulthard</w:t>
      </w:r>
      <w:proofErr w:type="spellEnd"/>
      <w:r w:rsidRPr="001464E4">
        <w:rPr>
          <w:rFonts w:asciiTheme="minorHAnsi" w:hAnsiTheme="minorHAnsi" w:cstheme="minorHAnsi"/>
        </w:rPr>
        <w:t xml:space="preserve"> (2013) articulate the movement's role in supporting a “resurgence of Indigenous political thought” in relation to governance models and “Indigenous political-economic alternatives.” </w:t>
      </w:r>
      <w:r w:rsidRPr="001464E4">
        <w:rPr>
          <w:rStyle w:val="Heading3Char"/>
          <w:rFonts w:asciiTheme="minorHAnsi" w:hAnsiTheme="minorHAnsi" w:cstheme="minorHAnsi"/>
          <w:sz w:val="22"/>
          <w:szCs w:val="22"/>
        </w:rPr>
        <w:t>We respond to Idle No More's invitation “to join in a peaceful revolution,</w:t>
      </w:r>
      <w:r w:rsidRPr="001464E4">
        <w:rPr>
          <w:rFonts w:asciiTheme="minorHAnsi" w:hAnsiTheme="minorHAnsi" w:cstheme="minorHAnsi"/>
        </w:rPr>
        <w:t xml:space="preserve"> to </w:t>
      </w:r>
      <w:proofErr w:type="spellStart"/>
      <w:r w:rsidRPr="001464E4">
        <w:rPr>
          <w:rFonts w:asciiTheme="minorHAnsi" w:hAnsiTheme="minorHAnsi" w:cstheme="minorHAnsi"/>
        </w:rPr>
        <w:t>honour</w:t>
      </w:r>
      <w:proofErr w:type="spellEnd"/>
      <w:r w:rsidRPr="001464E4">
        <w:rPr>
          <w:rFonts w:asciiTheme="minorHAnsi" w:hAnsiTheme="minorHAnsi" w:cstheme="minorHAnsi"/>
        </w:rPr>
        <w:t xml:space="preserve"> Indigenous sovereignty, </w:t>
      </w:r>
      <w:r w:rsidRPr="001464E4">
        <w:rPr>
          <w:rStyle w:val="Heading3Char"/>
          <w:rFonts w:asciiTheme="minorHAnsi" w:hAnsiTheme="minorHAnsi" w:cstheme="minorHAnsi"/>
          <w:sz w:val="22"/>
          <w:szCs w:val="22"/>
        </w:rPr>
        <w:t>and to protect the land and water” (</w:t>
      </w:r>
      <w:r w:rsidRPr="001464E4">
        <w:rPr>
          <w:rFonts w:asciiTheme="minorHAnsi" w:hAnsiTheme="minorHAnsi" w:cstheme="minorHAnsi"/>
        </w:rPr>
        <w:t xml:space="preserve">Idle No More n.d.). Enacting abundance means different ways of building relationships across vast differences, best described as solidarity or collective movement in support of conditions that enable differently situated people and other-than-humans to realize abundance, to build a world of many worlds. In thinking about how to move collectively, </w:t>
      </w:r>
      <w:r w:rsidRPr="001464E4">
        <w:rPr>
          <w:rStyle w:val="Heading3Char"/>
          <w:rFonts w:asciiTheme="minorHAnsi" w:hAnsiTheme="minorHAnsi" w:cstheme="minorHAnsi"/>
          <w:sz w:val="22"/>
          <w:szCs w:val="22"/>
          <w:highlight w:val="yellow"/>
        </w:rPr>
        <w:t>we take inspiration from the concept</w:t>
      </w:r>
      <w:r w:rsidRPr="001464E4">
        <w:rPr>
          <w:rStyle w:val="Heading3Char"/>
          <w:rFonts w:asciiTheme="minorHAnsi" w:hAnsiTheme="minorHAnsi" w:cstheme="minorHAnsi"/>
          <w:sz w:val="22"/>
          <w:szCs w:val="22"/>
        </w:rPr>
        <w:t xml:space="preserve"> of walking with </w:t>
      </w:r>
      <w:r w:rsidRPr="001464E4">
        <w:rPr>
          <w:rStyle w:val="Heading3Char"/>
          <w:rFonts w:asciiTheme="minorHAnsi" w:hAnsiTheme="minorHAnsi" w:cstheme="minorHAnsi"/>
          <w:sz w:val="22"/>
          <w:szCs w:val="22"/>
          <w:highlight w:val="yellow"/>
        </w:rPr>
        <w:t xml:space="preserve">put forth in the </w:t>
      </w:r>
      <w:r w:rsidRPr="001464E4">
        <w:rPr>
          <w:rStyle w:val="Emphasis"/>
          <w:rFonts w:asciiTheme="minorHAnsi" w:hAnsiTheme="minorHAnsi" w:cstheme="minorHAnsi"/>
          <w:highlight w:val="yellow"/>
        </w:rPr>
        <w:t>Zapatista</w:t>
      </w:r>
      <w:r w:rsidRPr="001464E4">
        <w:rPr>
          <w:rStyle w:val="Emphasis"/>
          <w:rFonts w:asciiTheme="minorHAnsi" w:hAnsiTheme="minorHAnsi" w:cstheme="minorHAnsi"/>
        </w:rPr>
        <w:t xml:space="preserve"> </w:t>
      </w:r>
      <w:r w:rsidRPr="001464E4">
        <w:rPr>
          <w:rStyle w:val="Emphasis"/>
          <w:rFonts w:asciiTheme="minorHAnsi" w:hAnsiTheme="minorHAnsi" w:cstheme="minorHAnsi"/>
          <w:highlight w:val="yellow"/>
        </w:rPr>
        <w:t>movement's</w:t>
      </w:r>
      <w:r w:rsidRPr="001464E4">
        <w:rPr>
          <w:rStyle w:val="Heading3Char"/>
          <w:rFonts w:asciiTheme="minorHAnsi" w:hAnsiTheme="minorHAnsi" w:cstheme="minorHAnsi"/>
          <w:sz w:val="22"/>
          <w:szCs w:val="22"/>
        </w:rPr>
        <w:t xml:space="preserve"> Sixth </w:t>
      </w:r>
      <w:r w:rsidRPr="001464E4">
        <w:rPr>
          <w:rStyle w:val="Heading3Char"/>
          <w:rFonts w:asciiTheme="minorHAnsi" w:hAnsiTheme="minorHAnsi" w:cstheme="minorHAnsi"/>
          <w:sz w:val="22"/>
          <w:szCs w:val="22"/>
          <w:highlight w:val="yellow"/>
        </w:rPr>
        <w:t>Declaration</w:t>
      </w:r>
      <w:r w:rsidRPr="001464E4">
        <w:rPr>
          <w:rStyle w:val="Heading3Char"/>
          <w:rFonts w:asciiTheme="minorHAnsi" w:hAnsiTheme="minorHAnsi" w:cstheme="minorHAnsi"/>
          <w:sz w:val="22"/>
          <w:szCs w:val="22"/>
        </w:rPr>
        <w:t xml:space="preserve"> of the Selva </w:t>
      </w:r>
      <w:proofErr w:type="spellStart"/>
      <w:r w:rsidRPr="001464E4">
        <w:rPr>
          <w:rStyle w:val="Heading3Char"/>
          <w:rFonts w:asciiTheme="minorHAnsi" w:hAnsiTheme="minorHAnsi" w:cstheme="minorHAnsi"/>
          <w:sz w:val="22"/>
          <w:szCs w:val="22"/>
        </w:rPr>
        <w:t>Lacandona</w:t>
      </w:r>
      <w:proofErr w:type="spellEnd"/>
      <w:r w:rsidRPr="001464E4">
        <w:rPr>
          <w:rStyle w:val="Heading3Char"/>
          <w:rFonts w:asciiTheme="minorHAnsi" w:hAnsiTheme="minorHAnsi" w:cstheme="minorHAnsi"/>
          <w:sz w:val="22"/>
          <w:szCs w:val="22"/>
        </w:rPr>
        <w:t xml:space="preserve"> </w:t>
      </w:r>
      <w:r w:rsidRPr="001464E4">
        <w:rPr>
          <w:rFonts w:asciiTheme="minorHAnsi" w:hAnsiTheme="minorHAnsi" w:cstheme="minorHAnsi"/>
        </w:rPr>
        <w:t xml:space="preserve">(Zapatista Army of National Liberation 2005). </w:t>
      </w:r>
      <w:r w:rsidRPr="001464E4">
        <w:rPr>
          <w:rStyle w:val="Heading3Char"/>
          <w:rFonts w:asciiTheme="minorHAnsi" w:hAnsiTheme="minorHAnsi" w:cstheme="minorHAnsi"/>
          <w:sz w:val="22"/>
          <w:szCs w:val="22"/>
        </w:rPr>
        <w:t xml:space="preserve">In this framing of </w:t>
      </w:r>
      <w:r w:rsidRPr="001464E4">
        <w:rPr>
          <w:rStyle w:val="Heading3Char"/>
          <w:rFonts w:asciiTheme="minorHAnsi" w:hAnsiTheme="minorHAnsi" w:cstheme="minorHAnsi"/>
          <w:sz w:val="22"/>
          <w:szCs w:val="22"/>
          <w:highlight w:val="yellow"/>
        </w:rPr>
        <w:t>solidarity</w:t>
      </w:r>
      <w:r w:rsidRPr="001464E4">
        <w:rPr>
          <w:rStyle w:val="Heading3Char"/>
          <w:rFonts w:asciiTheme="minorHAnsi" w:hAnsiTheme="minorHAnsi" w:cstheme="minorHAnsi"/>
          <w:sz w:val="22"/>
          <w:szCs w:val="22"/>
        </w:rPr>
        <w:t xml:space="preserve">, walking with </w:t>
      </w:r>
      <w:r w:rsidRPr="001464E4">
        <w:rPr>
          <w:rStyle w:val="Heading3Char"/>
          <w:rFonts w:asciiTheme="minorHAnsi" w:hAnsiTheme="minorHAnsi" w:cstheme="minorHAnsi"/>
          <w:sz w:val="22"/>
          <w:szCs w:val="22"/>
          <w:highlight w:val="yellow"/>
        </w:rPr>
        <w:t>implies</w:t>
      </w:r>
      <w:r w:rsidRPr="001464E4">
        <w:rPr>
          <w:rStyle w:val="Heading3Char"/>
          <w:rFonts w:asciiTheme="minorHAnsi" w:hAnsiTheme="minorHAnsi" w:cstheme="minorHAnsi"/>
          <w:sz w:val="22"/>
          <w:szCs w:val="22"/>
        </w:rPr>
        <w:t xml:space="preserve"> </w:t>
      </w:r>
      <w:r w:rsidRPr="001464E4">
        <w:rPr>
          <w:rStyle w:val="Emphasis"/>
          <w:rFonts w:asciiTheme="minorHAnsi" w:hAnsiTheme="minorHAnsi" w:cstheme="minorHAnsi"/>
          <w:highlight w:val="yellow"/>
        </w:rPr>
        <w:t>engaging in activism wherever</w:t>
      </w:r>
      <w:r w:rsidRPr="001464E4">
        <w:rPr>
          <w:rStyle w:val="Emphasis"/>
          <w:rFonts w:asciiTheme="minorHAnsi" w:hAnsiTheme="minorHAnsi" w:cstheme="minorHAnsi"/>
        </w:rPr>
        <w:t xml:space="preserve"> </w:t>
      </w:r>
      <w:r w:rsidRPr="001464E4">
        <w:rPr>
          <w:rStyle w:val="Emphasis"/>
          <w:rFonts w:asciiTheme="minorHAnsi" w:hAnsiTheme="minorHAnsi" w:cstheme="minorHAnsi"/>
          <w:highlight w:val="yellow"/>
        </w:rPr>
        <w:t>one lives</w:t>
      </w:r>
      <w:r w:rsidRPr="001464E4">
        <w:rPr>
          <w:rStyle w:val="Heading3Char"/>
          <w:rFonts w:asciiTheme="minorHAnsi" w:hAnsiTheme="minorHAnsi" w:cstheme="minorHAnsi"/>
          <w:sz w:val="22"/>
          <w:szCs w:val="22"/>
          <w:highlight w:val="yellow"/>
        </w:rPr>
        <w:t xml:space="preserve"> in support of a </w:t>
      </w:r>
      <w:r w:rsidRPr="001464E4">
        <w:rPr>
          <w:rStyle w:val="Emphasis"/>
          <w:rFonts w:asciiTheme="minorHAnsi" w:hAnsiTheme="minorHAnsi" w:cstheme="minorHAnsi"/>
          <w:highlight w:val="yellow"/>
        </w:rPr>
        <w:t>common struggle against neoliberalism</w:t>
      </w:r>
      <w:r w:rsidRPr="001464E4">
        <w:rPr>
          <w:rStyle w:val="Heading3Char"/>
          <w:rFonts w:asciiTheme="minorHAnsi" w:hAnsiTheme="minorHAnsi" w:cstheme="minorHAnsi"/>
          <w:sz w:val="22"/>
          <w:szCs w:val="22"/>
        </w:rPr>
        <w:t xml:space="preserve"> and for democracy, liberty, and justice.</w:t>
      </w:r>
      <w:r w:rsidRPr="001464E4">
        <w:rPr>
          <w:rFonts w:asciiTheme="minorHAnsi" w:hAnsiTheme="minorHAnsi" w:cstheme="minorHAnsi"/>
        </w:rPr>
        <w:t xml:space="preserve"> As such, </w:t>
      </w:r>
      <w:r w:rsidRPr="001464E4">
        <w:rPr>
          <w:rStyle w:val="Emphasis"/>
          <w:rFonts w:asciiTheme="minorHAnsi" w:hAnsiTheme="minorHAnsi" w:cstheme="minorHAnsi"/>
          <w:highlight w:val="yellow"/>
        </w:rPr>
        <w:t>solidarity supports autonomous forms</w:t>
      </w:r>
      <w:r w:rsidRPr="001464E4">
        <w:rPr>
          <w:rStyle w:val="Emphasis"/>
          <w:rFonts w:asciiTheme="minorHAnsi" w:hAnsiTheme="minorHAnsi" w:cstheme="minorHAnsi"/>
        </w:rPr>
        <w:t xml:space="preserve"> of </w:t>
      </w:r>
      <w:r w:rsidRPr="001464E4">
        <w:rPr>
          <w:rStyle w:val="Emphasis"/>
          <w:rFonts w:asciiTheme="minorHAnsi" w:hAnsiTheme="minorHAnsi" w:cstheme="minorHAnsi"/>
          <w:highlight w:val="yellow"/>
        </w:rPr>
        <w:t>worlding</w:t>
      </w:r>
      <w:r w:rsidRPr="001464E4">
        <w:rPr>
          <w:rFonts w:asciiTheme="minorHAnsi" w:hAnsiTheme="minorHAnsi" w:cstheme="minorHAnsi"/>
        </w:rPr>
        <w:t xml:space="preserve">. Strategy 3: Recognizing Animal Autonomy </w:t>
      </w:r>
      <w:r w:rsidRPr="001464E4">
        <w:rPr>
          <w:rStyle w:val="Heading3Char"/>
          <w:rFonts w:asciiTheme="minorHAnsi" w:hAnsiTheme="minorHAnsi" w:cstheme="minorHAnsi"/>
          <w:sz w:val="22"/>
          <w:szCs w:val="22"/>
        </w:rPr>
        <w:t>Recognizing multispecies entanglement is not a license to intensify human control</w:t>
      </w:r>
      <w:r w:rsidRPr="001464E4">
        <w:rPr>
          <w:rFonts w:asciiTheme="minorHAnsi" w:hAnsiTheme="minorHAnsi" w:cstheme="minorHAnsi"/>
        </w:rPr>
        <w:t xml:space="preserve"> over other-than-human life. </w:t>
      </w:r>
      <w:r w:rsidRPr="001464E4">
        <w:rPr>
          <w:rStyle w:val="Heading3Char"/>
          <w:rFonts w:asciiTheme="minorHAnsi" w:hAnsiTheme="minorHAnsi" w:cstheme="minorHAnsi"/>
          <w:sz w:val="22"/>
          <w:szCs w:val="22"/>
          <w:highlight w:val="yellow"/>
        </w:rPr>
        <w:t>Abundant futures include nonhuman animals</w:t>
      </w:r>
      <w:r w:rsidRPr="001464E4">
        <w:rPr>
          <w:rFonts w:asciiTheme="minorHAnsi" w:hAnsiTheme="minorHAnsi" w:cstheme="minorHAnsi"/>
        </w:rPr>
        <w:t xml:space="preserve">, not as resources or banks of natural capital that service humans </w:t>
      </w:r>
      <w:r w:rsidRPr="001464E4">
        <w:rPr>
          <w:rFonts w:asciiTheme="minorHAnsi" w:hAnsiTheme="minorHAnsi" w:cstheme="minorHAnsi"/>
          <w:highlight w:val="yellow"/>
        </w:rPr>
        <w:t xml:space="preserve">but </w:t>
      </w:r>
      <w:r w:rsidRPr="001464E4">
        <w:rPr>
          <w:rStyle w:val="Heading3Char"/>
          <w:rFonts w:asciiTheme="minorHAnsi" w:hAnsiTheme="minorHAnsi" w:cstheme="minorHAnsi"/>
          <w:sz w:val="22"/>
          <w:szCs w:val="22"/>
          <w:highlight w:val="yellow"/>
        </w:rPr>
        <w:t>as beings with their own</w:t>
      </w:r>
      <w:r w:rsidRPr="001464E4">
        <w:rPr>
          <w:rStyle w:val="Heading3Char"/>
          <w:rFonts w:asciiTheme="minorHAnsi" w:hAnsiTheme="minorHAnsi" w:cstheme="minorHAnsi"/>
          <w:sz w:val="22"/>
          <w:szCs w:val="22"/>
        </w:rPr>
        <w:t xml:space="preserve"> familial, social, and ecological </w:t>
      </w:r>
      <w:r w:rsidRPr="001464E4">
        <w:rPr>
          <w:rStyle w:val="Heading3Char"/>
          <w:rFonts w:asciiTheme="minorHAnsi" w:hAnsiTheme="minorHAnsi" w:cstheme="minorHAnsi"/>
          <w:sz w:val="22"/>
          <w:szCs w:val="22"/>
          <w:highlight w:val="yellow"/>
        </w:rPr>
        <w:t>networks</w:t>
      </w:r>
      <w:r w:rsidRPr="001464E4">
        <w:rPr>
          <w:rStyle w:val="Heading3Char"/>
          <w:rFonts w:asciiTheme="minorHAnsi" w:hAnsiTheme="minorHAnsi" w:cstheme="minorHAnsi"/>
          <w:sz w:val="22"/>
          <w:szCs w:val="22"/>
        </w:rPr>
        <w:t xml:space="preserve">, their own lookouts, </w:t>
      </w:r>
      <w:r w:rsidRPr="001464E4">
        <w:rPr>
          <w:rStyle w:val="Heading3Char"/>
          <w:rFonts w:asciiTheme="minorHAnsi" w:hAnsiTheme="minorHAnsi" w:cstheme="minorHAnsi"/>
          <w:sz w:val="22"/>
          <w:szCs w:val="22"/>
          <w:highlight w:val="yellow"/>
        </w:rPr>
        <w:t>agendas, and needs</w:t>
      </w:r>
      <w:r w:rsidRPr="001464E4">
        <w:rPr>
          <w:rFonts w:asciiTheme="minorHAnsi" w:hAnsiTheme="minorHAnsi" w:cstheme="minorHAnsi"/>
        </w:rPr>
        <w:t xml:space="preserve">. An abundant future is one </w:t>
      </w:r>
      <w:r w:rsidRPr="001464E4">
        <w:rPr>
          <w:rStyle w:val="Heading3Char"/>
          <w:rFonts w:asciiTheme="minorHAnsi" w:hAnsiTheme="minorHAnsi" w:cstheme="minorHAnsi"/>
          <w:sz w:val="22"/>
          <w:szCs w:val="22"/>
        </w:rPr>
        <w:t>in which other-than-humans have wild lives and live as “uncolonized others</w:t>
      </w:r>
      <w:r w:rsidRPr="001464E4">
        <w:rPr>
          <w:rFonts w:asciiTheme="minorHAnsi" w:hAnsiTheme="minorHAnsi" w:cstheme="minorHAnsi"/>
        </w:rPr>
        <w:t>” (</w:t>
      </w:r>
      <w:proofErr w:type="spellStart"/>
      <w:r w:rsidRPr="001464E4">
        <w:rPr>
          <w:rFonts w:asciiTheme="minorHAnsi" w:hAnsiTheme="minorHAnsi" w:cstheme="minorHAnsi"/>
        </w:rPr>
        <w:t>Plumwood</w:t>
      </w:r>
      <w:proofErr w:type="spellEnd"/>
      <w:r w:rsidRPr="001464E4">
        <w:rPr>
          <w:rFonts w:asciiTheme="minorHAnsi" w:hAnsiTheme="minorHAnsi" w:cstheme="minorHAnsi"/>
        </w:rPr>
        <w:t xml:space="preserve"> 1993). We follow Cronon, likely the most widely cited troubler of wilderness, who actually argues for retaining the idea of wildness. As Cronon (1995, 89) writes, “Honoring the wild” is a matter of “learning to remember and acknowledge the autonomy of the other.” </w:t>
      </w:r>
      <w:r w:rsidRPr="001464E4">
        <w:rPr>
          <w:rStyle w:val="Heading3Char"/>
          <w:rFonts w:asciiTheme="minorHAnsi" w:hAnsiTheme="minorHAnsi" w:cstheme="minorHAnsi"/>
          <w:sz w:val="22"/>
          <w:szCs w:val="22"/>
        </w:rPr>
        <w:t>Whereas wilderness refers to an impossible pure Nature</w:t>
      </w:r>
      <w:r w:rsidRPr="001464E4">
        <w:rPr>
          <w:rFonts w:asciiTheme="minorHAnsi" w:hAnsiTheme="minorHAnsi" w:cstheme="minorHAnsi"/>
        </w:rPr>
        <w:t xml:space="preserve">, </w:t>
      </w:r>
      <w:r w:rsidRPr="001464E4">
        <w:rPr>
          <w:rStyle w:val="Emphasis"/>
          <w:rFonts w:asciiTheme="minorHAnsi" w:hAnsiTheme="minorHAnsi" w:cstheme="minorHAnsi"/>
          <w:highlight w:val="yellow"/>
        </w:rPr>
        <w:t>wildness</w:t>
      </w:r>
      <w:r w:rsidRPr="001464E4">
        <w:rPr>
          <w:rFonts w:asciiTheme="minorHAnsi" w:hAnsiTheme="minorHAnsi" w:cstheme="minorHAnsi"/>
          <w:highlight w:val="yellow"/>
        </w:rPr>
        <w:t xml:space="preserve"> </w:t>
      </w:r>
      <w:r w:rsidRPr="001464E4">
        <w:rPr>
          <w:rStyle w:val="Heading3Char"/>
          <w:rFonts w:asciiTheme="minorHAnsi" w:hAnsiTheme="minorHAnsi" w:cstheme="minorHAnsi"/>
          <w:sz w:val="22"/>
          <w:szCs w:val="22"/>
          <w:highlight w:val="yellow"/>
        </w:rPr>
        <w:t>refers to the autonomy</w:t>
      </w:r>
      <w:r w:rsidRPr="001464E4">
        <w:rPr>
          <w:rStyle w:val="Heading3Char"/>
          <w:rFonts w:asciiTheme="minorHAnsi" w:hAnsiTheme="minorHAnsi" w:cstheme="minorHAnsi"/>
          <w:sz w:val="22"/>
          <w:szCs w:val="22"/>
        </w:rPr>
        <w:t xml:space="preserve">, otherness, and </w:t>
      </w:r>
      <w:r w:rsidRPr="001464E4">
        <w:rPr>
          <w:rStyle w:val="Heading3Char"/>
          <w:rFonts w:asciiTheme="minorHAnsi" w:hAnsiTheme="minorHAnsi" w:cstheme="minorHAnsi"/>
          <w:sz w:val="22"/>
          <w:szCs w:val="22"/>
          <w:highlight w:val="yellow"/>
        </w:rPr>
        <w:t>sentience of animals</w:t>
      </w:r>
      <w:r w:rsidRPr="001464E4">
        <w:rPr>
          <w:rFonts w:asciiTheme="minorHAnsi" w:hAnsiTheme="minorHAnsi" w:cstheme="minorHAnsi"/>
        </w:rPr>
        <w:t xml:space="preserve"> (</w:t>
      </w:r>
      <w:proofErr w:type="spellStart"/>
      <w:r w:rsidRPr="001464E4">
        <w:rPr>
          <w:rFonts w:asciiTheme="minorHAnsi" w:hAnsiTheme="minorHAnsi" w:cstheme="minorHAnsi"/>
        </w:rPr>
        <w:t>Plumwood</w:t>
      </w:r>
      <w:proofErr w:type="spellEnd"/>
      <w:r w:rsidRPr="001464E4">
        <w:rPr>
          <w:rFonts w:asciiTheme="minorHAnsi" w:hAnsiTheme="minorHAnsi" w:cstheme="minorHAnsi"/>
        </w:rPr>
        <w:t xml:space="preserve"> 1993; Collard 2014). By autonomy we mean the fullest expression of animal life, including capacity for movement, for social and familial association, and for work and play. </w:t>
      </w:r>
      <w:r w:rsidRPr="001464E4">
        <w:rPr>
          <w:rStyle w:val="Heading3Char"/>
          <w:rFonts w:asciiTheme="minorHAnsi" w:hAnsiTheme="minorHAnsi" w:cstheme="minorHAnsi"/>
          <w:sz w:val="22"/>
          <w:szCs w:val="22"/>
        </w:rPr>
        <w:t>These capacities have been profoundly diminished with the confinement, control, and managerialism that have come to characterize humans’ relationships with the wider world in humanist colonial and capitalist regimes</w:t>
      </w:r>
      <w:r w:rsidRPr="001464E4">
        <w:rPr>
          <w:rFonts w:asciiTheme="minorHAnsi" w:hAnsiTheme="minorHAnsi" w:cstheme="minorHAnsi"/>
        </w:rPr>
        <w:t xml:space="preserve">. In particular, animals’ spatial and bodily enclosure (in public zoos and aquariums, laboratories, and factory farms) impedes their autonomy and abundance. </w:t>
      </w:r>
      <w:r w:rsidRPr="001464E4">
        <w:rPr>
          <w:rStyle w:val="Heading3Char"/>
          <w:rFonts w:asciiTheme="minorHAnsi" w:hAnsiTheme="minorHAnsi" w:cstheme="minorHAnsi"/>
          <w:sz w:val="22"/>
          <w:szCs w:val="22"/>
        </w:rPr>
        <w:t>Of course, an autonomous life is never a discrete life.</w:t>
      </w:r>
      <w:r w:rsidRPr="001464E4">
        <w:rPr>
          <w:rFonts w:asciiTheme="minorHAnsi" w:hAnsiTheme="minorHAnsi" w:cstheme="minorHAnsi"/>
        </w:rPr>
        <w:t xml:space="preserve"> Whether enclosed or not, animals are always inescapably part of </w:t>
      </w:r>
      <w:proofErr w:type="spellStart"/>
      <w:r w:rsidRPr="001464E4">
        <w:rPr>
          <w:rFonts w:asciiTheme="minorHAnsi" w:hAnsiTheme="minorHAnsi" w:cstheme="minorHAnsi"/>
        </w:rPr>
        <w:t>socionatural</w:t>
      </w:r>
      <w:proofErr w:type="spellEnd"/>
      <w:r w:rsidRPr="001464E4">
        <w:rPr>
          <w:rFonts w:asciiTheme="minorHAnsi" w:hAnsiTheme="minorHAnsi" w:cstheme="minorHAnsi"/>
        </w:rPr>
        <w:t xml:space="preserve"> </w:t>
      </w:r>
      <w:r w:rsidRPr="001464E4">
        <w:rPr>
          <w:rFonts w:asciiTheme="minorHAnsi" w:hAnsiTheme="minorHAnsi" w:cstheme="minorHAnsi"/>
          <w:highlight w:val="yellow"/>
        </w:rPr>
        <w:t>networks</w:t>
      </w:r>
      <w:r w:rsidRPr="001464E4">
        <w:rPr>
          <w:rFonts w:asciiTheme="minorHAnsi" w:hAnsiTheme="minorHAnsi" w:cstheme="minorHAnsi"/>
        </w:rPr>
        <w:t xml:space="preserve"> (as are we). So what is the difference between these networks? </w:t>
      </w:r>
      <w:r w:rsidRPr="001464E4">
        <w:rPr>
          <w:rStyle w:val="Heading3Char"/>
          <w:rFonts w:asciiTheme="minorHAnsi" w:hAnsiTheme="minorHAnsi" w:cstheme="minorHAnsi"/>
          <w:sz w:val="22"/>
          <w:szCs w:val="22"/>
          <w:highlight w:val="yellow"/>
        </w:rPr>
        <w:t>The wild one offers</w:t>
      </w:r>
      <w:r w:rsidRPr="001464E4">
        <w:rPr>
          <w:rFonts w:asciiTheme="minorHAnsi" w:hAnsiTheme="minorHAnsi" w:cstheme="minorHAnsi"/>
        </w:rPr>
        <w:t>—within limits—</w:t>
      </w:r>
      <w:r w:rsidRPr="001464E4">
        <w:rPr>
          <w:rStyle w:val="Emphasis"/>
          <w:rFonts w:asciiTheme="minorHAnsi" w:hAnsiTheme="minorHAnsi" w:cstheme="minorHAnsi"/>
        </w:rPr>
        <w:t>openness</w:t>
      </w:r>
      <w:r w:rsidRPr="001464E4">
        <w:rPr>
          <w:rFonts w:asciiTheme="minorHAnsi" w:hAnsiTheme="minorHAnsi" w:cstheme="minorHAnsi"/>
        </w:rPr>
        <w:t xml:space="preserve">, </w:t>
      </w:r>
      <w:r w:rsidRPr="001464E4">
        <w:rPr>
          <w:rStyle w:val="Emphasis"/>
          <w:rFonts w:asciiTheme="minorHAnsi" w:hAnsiTheme="minorHAnsi" w:cstheme="minorHAnsi"/>
          <w:highlight w:val="yellow"/>
        </w:rPr>
        <w:t>possibility</w:t>
      </w:r>
      <w:r w:rsidRPr="001464E4">
        <w:rPr>
          <w:rFonts w:asciiTheme="minorHAnsi" w:hAnsiTheme="minorHAnsi" w:cstheme="minorHAnsi"/>
        </w:rPr>
        <w:t xml:space="preserve">, a degree of choice, and self-determination. </w:t>
      </w:r>
      <w:r w:rsidRPr="001464E4">
        <w:rPr>
          <w:rStyle w:val="Heading3Char"/>
          <w:rFonts w:asciiTheme="minorHAnsi" w:hAnsiTheme="minorHAnsi" w:cstheme="minorHAnsi"/>
          <w:sz w:val="22"/>
          <w:szCs w:val="22"/>
        </w:rPr>
        <w:t>The enclosed one is controlled, cramped,</w:t>
      </w:r>
      <w:r w:rsidRPr="001464E4">
        <w:rPr>
          <w:rFonts w:asciiTheme="minorHAnsi" w:hAnsiTheme="minorHAnsi" w:cstheme="minorHAnsi"/>
        </w:rPr>
        <w:t xml:space="preserve"> contained, </w:t>
      </w:r>
      <w:r w:rsidRPr="001464E4">
        <w:rPr>
          <w:rStyle w:val="Heading3Char"/>
          <w:rFonts w:asciiTheme="minorHAnsi" w:hAnsiTheme="minorHAnsi" w:cstheme="minorHAnsi"/>
          <w:sz w:val="22"/>
          <w:szCs w:val="22"/>
        </w:rPr>
        <w:t>and enclosed</w:t>
      </w:r>
      <w:r w:rsidRPr="001464E4">
        <w:rPr>
          <w:rFonts w:asciiTheme="minorHAnsi" w:hAnsiTheme="minorHAnsi" w:cstheme="minorHAnsi"/>
        </w:rPr>
        <w:t xml:space="preserve">. But neither do wildness or animal autonomy mean no human intervention; in a world that has always been far too entangled to permit “stepping outside,” wildness and autonomy are relational. We </w:t>
      </w:r>
      <w:r w:rsidRPr="001464E4">
        <w:rPr>
          <w:rStyle w:val="Heading3Char"/>
          <w:rFonts w:asciiTheme="minorHAnsi" w:hAnsiTheme="minorHAnsi" w:cstheme="minorHAnsi"/>
          <w:sz w:val="22"/>
          <w:szCs w:val="22"/>
        </w:rPr>
        <w:t xml:space="preserve">are not advocating a return to conservation's old misanthropy but an orientation in which </w:t>
      </w:r>
      <w:r w:rsidRPr="001464E4">
        <w:rPr>
          <w:rStyle w:val="Emphasis"/>
          <w:rFonts w:asciiTheme="minorHAnsi" w:hAnsiTheme="minorHAnsi" w:cstheme="minorHAnsi"/>
          <w:highlight w:val="yellow"/>
        </w:rPr>
        <w:t>wildness is understood relationally</w:t>
      </w:r>
      <w:r w:rsidRPr="001464E4">
        <w:rPr>
          <w:rFonts w:asciiTheme="minorHAnsi" w:hAnsiTheme="minorHAnsi" w:cstheme="minorHAnsi"/>
        </w:rPr>
        <w:t xml:space="preserve">, not as the absence of humans but as interrelations within which animals have autonomy. </w:t>
      </w:r>
      <w:r w:rsidRPr="001464E4">
        <w:rPr>
          <w:rStyle w:val="Heading3Char"/>
          <w:rFonts w:asciiTheme="minorHAnsi" w:hAnsiTheme="minorHAnsi" w:cstheme="minorHAnsi"/>
          <w:sz w:val="22"/>
          <w:szCs w:val="22"/>
        </w:rPr>
        <w:t>The</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 xml:space="preserve">degree to which an animal is wild thus has little to do with its proximities to humans and everything to do with the conditions of living, such as spatial </w:t>
      </w:r>
      <w:r w:rsidRPr="001464E4">
        <w:rPr>
          <w:rFonts w:asciiTheme="minorHAnsi" w:hAnsiTheme="minorHAnsi" w:cstheme="minorHAnsi"/>
        </w:rPr>
        <w:t xml:space="preserve">(can the animal come and go), </w:t>
      </w:r>
      <w:r w:rsidRPr="001464E4">
        <w:rPr>
          <w:rStyle w:val="Heading3Char"/>
          <w:rFonts w:asciiTheme="minorHAnsi" w:hAnsiTheme="minorHAnsi" w:cstheme="minorHAnsi"/>
          <w:sz w:val="22"/>
          <w:szCs w:val="22"/>
        </w:rPr>
        <w:t>subjective</w:t>
      </w:r>
      <w:r w:rsidRPr="001464E4">
        <w:rPr>
          <w:rFonts w:asciiTheme="minorHAnsi" w:hAnsiTheme="minorHAnsi" w:cstheme="minorHAnsi"/>
        </w:rPr>
        <w:t xml:space="preserve"> (can the animal express itself), </w:t>
      </w:r>
      <w:r w:rsidRPr="001464E4">
        <w:rPr>
          <w:rStyle w:val="Heading3Char"/>
          <w:rFonts w:asciiTheme="minorHAnsi" w:hAnsiTheme="minorHAnsi" w:cstheme="minorHAnsi"/>
          <w:sz w:val="22"/>
          <w:szCs w:val="22"/>
        </w:rPr>
        <w:t>energetic</w:t>
      </w:r>
      <w:r w:rsidRPr="001464E4">
        <w:rPr>
          <w:rFonts w:asciiTheme="minorHAnsi" w:hAnsiTheme="minorHAnsi" w:cstheme="minorHAnsi"/>
        </w:rPr>
        <w:t xml:space="preserve"> (can the animal work for itself), </w:t>
      </w:r>
      <w:r w:rsidRPr="001464E4">
        <w:rPr>
          <w:rStyle w:val="Heading3Char"/>
          <w:rFonts w:asciiTheme="minorHAnsi" w:hAnsiTheme="minorHAnsi" w:cstheme="minorHAnsi"/>
          <w:sz w:val="22"/>
          <w:szCs w:val="22"/>
        </w:rPr>
        <w:t>and</w:t>
      </w:r>
      <w:r w:rsidRPr="001464E4">
        <w:rPr>
          <w:rFonts w:asciiTheme="minorHAnsi" w:hAnsiTheme="minorHAnsi" w:cstheme="minorHAnsi"/>
        </w:rPr>
        <w:t xml:space="preserve"> </w:t>
      </w:r>
      <w:r w:rsidRPr="001464E4">
        <w:rPr>
          <w:rStyle w:val="Heading3Char"/>
          <w:rFonts w:asciiTheme="minorHAnsi" w:hAnsiTheme="minorHAnsi" w:cstheme="minorHAnsi"/>
          <w:sz w:val="22"/>
          <w:szCs w:val="22"/>
        </w:rPr>
        <w:t>social</w:t>
      </w:r>
      <w:r w:rsidRPr="001464E4">
        <w:rPr>
          <w:rFonts w:asciiTheme="minorHAnsi" w:hAnsiTheme="minorHAnsi" w:cstheme="minorHAnsi"/>
        </w:rPr>
        <w:t xml:space="preserve"> (can the animal form social networks). These are conditions of possibility, of potential, not forced states of being. We ally ourselves with the few conservationists who make the well-being of individual animals a priority (Paquet and </w:t>
      </w:r>
      <w:proofErr w:type="spellStart"/>
      <w:r w:rsidRPr="001464E4">
        <w:rPr>
          <w:rFonts w:asciiTheme="minorHAnsi" w:hAnsiTheme="minorHAnsi" w:cstheme="minorHAnsi"/>
        </w:rPr>
        <w:t>Darimont</w:t>
      </w:r>
      <w:proofErr w:type="spellEnd"/>
      <w:r w:rsidRPr="001464E4">
        <w:rPr>
          <w:rFonts w:asciiTheme="minorHAnsi" w:hAnsiTheme="minorHAnsi" w:cstheme="minorHAnsi"/>
        </w:rPr>
        <w:t xml:space="preserve"> 2010) and with efforts such as the recent campaign by </w:t>
      </w:r>
      <w:proofErr w:type="spellStart"/>
      <w:r w:rsidRPr="001464E4">
        <w:rPr>
          <w:rFonts w:asciiTheme="minorHAnsi" w:hAnsiTheme="minorHAnsi" w:cstheme="minorHAnsi"/>
        </w:rPr>
        <w:t>Zoocheck</w:t>
      </w:r>
      <w:proofErr w:type="spellEnd"/>
      <w:r w:rsidRPr="001464E4">
        <w:rPr>
          <w:rFonts w:asciiTheme="minorHAnsi" w:hAnsiTheme="minorHAnsi" w:cstheme="minorHAnsi"/>
        </w:rPr>
        <w:t xml:space="preserve"> and other Toronto and international organizations that led to the transfer of three elephants from the Toronto Zoo to a wildlife sanctuary in California. Part of a wider movement to end elephant captivity, the release of these three elephants is a sign of growing recognition of the effects of captivity on such social creatures. </w:t>
      </w:r>
      <w:r w:rsidRPr="001464E4">
        <w:rPr>
          <w:rStyle w:val="Heading3Char"/>
          <w:rFonts w:asciiTheme="minorHAnsi" w:hAnsiTheme="minorHAnsi" w:cstheme="minorHAnsi"/>
          <w:sz w:val="22"/>
          <w:szCs w:val="22"/>
          <w:highlight w:val="yellow"/>
        </w:rPr>
        <w:t>Orienting toward abundant futures</w:t>
      </w:r>
      <w:r w:rsidRPr="001464E4">
        <w:rPr>
          <w:rStyle w:val="Heading3Char"/>
          <w:rFonts w:asciiTheme="minorHAnsi" w:hAnsiTheme="minorHAnsi" w:cstheme="minorHAnsi"/>
          <w:sz w:val="22"/>
          <w:szCs w:val="22"/>
        </w:rPr>
        <w:t xml:space="preserve"> </w:t>
      </w:r>
      <w:r w:rsidRPr="001464E4">
        <w:rPr>
          <w:rStyle w:val="Heading3Char"/>
          <w:rFonts w:asciiTheme="minorHAnsi" w:hAnsiTheme="minorHAnsi" w:cstheme="minorHAnsi"/>
          <w:sz w:val="22"/>
          <w:szCs w:val="22"/>
          <w:highlight w:val="yellow"/>
        </w:rPr>
        <w:t>requires walking with multiple forms of resistance to colonial</w:t>
      </w:r>
      <w:r w:rsidRPr="001464E4">
        <w:rPr>
          <w:rStyle w:val="Heading3Char"/>
          <w:rFonts w:asciiTheme="minorHAnsi" w:hAnsiTheme="minorHAnsi" w:cstheme="minorHAnsi"/>
          <w:sz w:val="22"/>
          <w:szCs w:val="22"/>
        </w:rPr>
        <w:t xml:space="preserve"> and capitalist </w:t>
      </w:r>
      <w:r w:rsidRPr="001464E4">
        <w:rPr>
          <w:rStyle w:val="Heading3Char"/>
          <w:rFonts w:asciiTheme="minorHAnsi" w:hAnsiTheme="minorHAnsi" w:cstheme="minorHAnsi"/>
          <w:sz w:val="22"/>
          <w:szCs w:val="22"/>
          <w:highlight w:val="yellow"/>
        </w:rPr>
        <w:t>logics</w:t>
      </w:r>
      <w:r w:rsidRPr="001464E4">
        <w:rPr>
          <w:rStyle w:val="Heading3Char"/>
          <w:rFonts w:asciiTheme="minorHAnsi" w:hAnsiTheme="minorHAnsi" w:cstheme="minorHAnsi"/>
          <w:sz w:val="22"/>
          <w:szCs w:val="22"/>
        </w:rPr>
        <w:t xml:space="preserve"> and practices of extraction and assimilation. Decolonization is our guide in this process</w:t>
      </w:r>
      <w:r w:rsidRPr="001464E4">
        <w:rPr>
          <w:rFonts w:asciiTheme="minorHAnsi" w:hAnsiTheme="minorHAnsi" w:cstheme="minorHAnsi"/>
        </w:rPr>
        <w:t xml:space="preserve">. A profoundly unsettling process, </w:t>
      </w:r>
      <w:r w:rsidRPr="001464E4">
        <w:rPr>
          <w:rStyle w:val="Heading3Char"/>
          <w:rFonts w:asciiTheme="minorHAnsi" w:hAnsiTheme="minorHAnsi" w:cstheme="minorHAnsi"/>
          <w:sz w:val="22"/>
          <w:szCs w:val="22"/>
          <w:highlight w:val="yellow"/>
        </w:rPr>
        <w:t>decolonization “sets out to change the order of the world</w:t>
      </w:r>
      <w:r w:rsidRPr="001464E4">
        <w:rPr>
          <w:rStyle w:val="Heading3Char"/>
          <w:rFonts w:asciiTheme="minorHAnsi" w:hAnsiTheme="minorHAnsi" w:cstheme="minorHAnsi"/>
          <w:sz w:val="22"/>
          <w:szCs w:val="22"/>
        </w:rPr>
        <w:t>,”</w:t>
      </w:r>
      <w:r w:rsidRPr="001464E4">
        <w:rPr>
          <w:rFonts w:asciiTheme="minorHAnsi" w:hAnsiTheme="minorHAnsi" w:cstheme="minorHAnsi"/>
        </w:rPr>
        <w:t xml:space="preserve"> as Fanon (1963, 36) suggested fifty years ago. As the organizations, movements, and people discussed here show, </w:t>
      </w:r>
      <w:proofErr w:type="spellStart"/>
      <w:r w:rsidRPr="001464E4">
        <w:rPr>
          <w:rStyle w:val="Heading3Char"/>
          <w:rFonts w:asciiTheme="minorHAnsi" w:hAnsiTheme="minorHAnsi" w:cstheme="minorHAnsi"/>
          <w:sz w:val="22"/>
          <w:szCs w:val="22"/>
          <w:highlight w:val="yellow"/>
        </w:rPr>
        <w:t>unsettlings</w:t>
      </w:r>
      <w:proofErr w:type="spellEnd"/>
      <w:r w:rsidRPr="001464E4">
        <w:rPr>
          <w:rStyle w:val="Heading3Char"/>
          <w:rFonts w:asciiTheme="minorHAnsi" w:hAnsiTheme="minorHAnsi" w:cstheme="minorHAnsi"/>
          <w:sz w:val="22"/>
          <w:szCs w:val="22"/>
          <w:highlight w:val="yellow"/>
        </w:rPr>
        <w:t xml:space="preserve"> are already taking place, </w:t>
      </w:r>
      <w:proofErr w:type="spellStart"/>
      <w:r w:rsidRPr="001464E4">
        <w:rPr>
          <w:rStyle w:val="Emphasis"/>
          <w:rFonts w:asciiTheme="minorHAnsi" w:hAnsiTheme="minorHAnsi" w:cstheme="minorHAnsi"/>
          <w:highlight w:val="yellow"/>
        </w:rPr>
        <w:t>pluriversally</w:t>
      </w:r>
      <w:proofErr w:type="spellEnd"/>
      <w:r w:rsidRPr="001464E4">
        <w:rPr>
          <w:rStyle w:val="Heading3Char"/>
          <w:rFonts w:asciiTheme="minorHAnsi" w:hAnsiTheme="minorHAnsi" w:cstheme="minorHAnsi"/>
          <w:sz w:val="22"/>
          <w:szCs w:val="22"/>
        </w:rPr>
        <w:t>.</w:t>
      </w:r>
      <w:r w:rsidRPr="001464E4">
        <w:rPr>
          <w:rFonts w:asciiTheme="minorHAnsi" w:hAnsiTheme="minorHAnsi" w:cstheme="minorHAnsi"/>
        </w:rPr>
        <w:t xml:space="preserve"> Although never perfect, </w:t>
      </w:r>
      <w:r w:rsidRPr="001464E4">
        <w:rPr>
          <w:rStyle w:val="Heading3Char"/>
          <w:rFonts w:asciiTheme="minorHAnsi" w:hAnsiTheme="minorHAnsi" w:cstheme="minorHAnsi"/>
          <w:sz w:val="22"/>
          <w:szCs w:val="22"/>
        </w:rPr>
        <w:t xml:space="preserve">they are </w:t>
      </w:r>
      <w:r w:rsidRPr="001464E4">
        <w:rPr>
          <w:rStyle w:val="Heading3Char"/>
          <w:rFonts w:asciiTheme="minorHAnsi" w:hAnsiTheme="minorHAnsi" w:cstheme="minorHAnsi"/>
          <w:sz w:val="22"/>
          <w:szCs w:val="22"/>
          <w:highlight w:val="yellow"/>
        </w:rPr>
        <w:t xml:space="preserve">our best chance for </w:t>
      </w:r>
      <w:r w:rsidRPr="001464E4">
        <w:rPr>
          <w:rStyle w:val="Emphasis"/>
          <w:rFonts w:asciiTheme="minorHAnsi" w:hAnsiTheme="minorHAnsi" w:cstheme="minorHAnsi"/>
          <w:highlight w:val="yellow"/>
        </w:rPr>
        <w:t>abundant socioecological futures</w:t>
      </w:r>
      <w:r w:rsidRPr="001464E4">
        <w:rPr>
          <w:rStyle w:val="Emphasis"/>
          <w:rFonts w:asciiTheme="minorHAnsi" w:hAnsiTheme="minorHAnsi" w:cstheme="minorHAnsi"/>
        </w:rPr>
        <w:t>.</w:t>
      </w:r>
    </w:p>
    <w:p w14:paraId="2E916A7D" w14:textId="53FA5891" w:rsidR="00867A90" w:rsidRDefault="00867A90" w:rsidP="00867A90">
      <w:pPr>
        <w:pStyle w:val="Heading2"/>
      </w:pPr>
      <w:r>
        <w:t>OFF</w:t>
      </w:r>
    </w:p>
    <w:p w14:paraId="4624A491" w14:textId="3D28F2B8" w:rsidR="00867A90" w:rsidRPr="00867A90" w:rsidRDefault="00867A90" w:rsidP="00867A90">
      <w:pPr>
        <w:pStyle w:val="Heading3"/>
      </w:pPr>
      <w:r>
        <w:t>NC</w:t>
      </w:r>
    </w:p>
    <w:p w14:paraId="6D25B274" w14:textId="77777777" w:rsidR="00867A90" w:rsidRDefault="00867A90" w:rsidP="00867A90">
      <w:pPr>
        <w:pStyle w:val="Heading4"/>
      </w:pPr>
      <w:r>
        <w:t>Pharmaceutical innovation is accelerating now – new medicines are substantially better than existing treatments.</w:t>
      </w:r>
    </w:p>
    <w:p w14:paraId="5A3C0B4B" w14:textId="77777777" w:rsidR="00867A90" w:rsidRPr="004531FB" w:rsidRDefault="00867A90" w:rsidP="00867A90">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4C8A1F87" w14:textId="77777777" w:rsidR="00867A90" w:rsidRPr="004531FB" w:rsidRDefault="00867A90" w:rsidP="00867A90">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69E84B5E" w14:textId="77777777" w:rsidR="00867A90" w:rsidRPr="004531FB" w:rsidRDefault="00867A90" w:rsidP="00867A90">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0FA04060" w14:textId="77777777" w:rsidR="00867A90" w:rsidRPr="004531FB" w:rsidRDefault="00867A90" w:rsidP="00867A90">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11D25395" w14:textId="77777777" w:rsidR="00867A90" w:rsidRPr="004531FB" w:rsidRDefault="00867A90" w:rsidP="00867A90">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4CDD3127" w14:textId="77777777" w:rsidR="00867A90" w:rsidRPr="004531FB" w:rsidRDefault="00867A90" w:rsidP="00867A90">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5CB37D95" w14:textId="77777777" w:rsidR="00867A90" w:rsidRPr="00AB1385" w:rsidRDefault="00867A90" w:rsidP="00867A90"/>
    <w:p w14:paraId="6CE5A3DA" w14:textId="77777777" w:rsidR="00867A90" w:rsidRDefault="00867A90" w:rsidP="00867A90">
      <w:pPr>
        <w:pStyle w:val="Heading4"/>
      </w:pPr>
      <w:r>
        <w:t>The biopharmaceutical industry is uniquely reliant on IP protections – undermining them would kill innovation by making an already expensive process completely unfeasible.</w:t>
      </w:r>
    </w:p>
    <w:p w14:paraId="40CBE386" w14:textId="77777777" w:rsidR="00867A90" w:rsidRPr="00BE4941" w:rsidRDefault="00867A90" w:rsidP="00867A90">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68E452EF" w14:textId="77777777" w:rsidR="00867A90" w:rsidRPr="00381E8C" w:rsidRDefault="00867A90" w:rsidP="00867A90">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1A4E9110" w14:textId="77777777" w:rsidR="00867A90" w:rsidRPr="00381E8C" w:rsidRDefault="00867A90" w:rsidP="00867A90">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531FDE6A" w14:textId="77777777" w:rsidR="00867A90" w:rsidRPr="00381E8C" w:rsidRDefault="00867A90" w:rsidP="00867A90">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08A46CEA" w14:textId="77777777" w:rsidR="00867A90" w:rsidRPr="00381E8C" w:rsidRDefault="00867A90" w:rsidP="00867A90">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26F30FC5" w14:textId="77777777" w:rsidR="00867A90" w:rsidRPr="00381E8C" w:rsidRDefault="00867A90" w:rsidP="00867A90">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55B0CC56" w14:textId="77777777" w:rsidR="00867A90" w:rsidRPr="00381E8C" w:rsidRDefault="00867A90" w:rsidP="00867A90">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7A9BDBED" w14:textId="77777777" w:rsidR="00867A90" w:rsidRDefault="00867A90" w:rsidP="00867A90"/>
    <w:p w14:paraId="48510763" w14:textId="77777777" w:rsidR="00867A90" w:rsidRPr="00BB372E" w:rsidRDefault="00867A90" w:rsidP="00867A90">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67953735" w14:textId="77777777" w:rsidR="00867A90" w:rsidRPr="00BB372E" w:rsidRDefault="00867A90" w:rsidP="00867A90">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6273C8B7" w14:textId="77777777" w:rsidR="00867A90" w:rsidRPr="00BB372E" w:rsidRDefault="00867A90" w:rsidP="00867A90">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0EE7F3DE" w14:textId="77777777" w:rsidR="00867A90" w:rsidRDefault="00867A90" w:rsidP="00867A90">
      <w:pPr>
        <w:rPr>
          <w:rFonts w:eastAsia="Cambria"/>
          <w:sz w:val="16"/>
        </w:rPr>
      </w:pPr>
    </w:p>
    <w:p w14:paraId="738347E3" w14:textId="77777777" w:rsidR="00867A90" w:rsidRDefault="00867A90" w:rsidP="00867A90">
      <w:pPr>
        <w:pStyle w:val="Heading4"/>
      </w:pPr>
      <w:r>
        <w:t>Bioterrorism and future pandemics cause extinction.</w:t>
      </w:r>
    </w:p>
    <w:p w14:paraId="0E69D12B" w14:textId="77777777" w:rsidR="00867A90" w:rsidRPr="00CA2687" w:rsidRDefault="00867A90" w:rsidP="00867A90">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0C8A2249" w14:textId="77777777" w:rsidR="00867A90" w:rsidRPr="00AB1385" w:rsidRDefault="00867A90" w:rsidP="00867A90">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2A51FED2" w14:textId="77777777" w:rsidR="00867A90" w:rsidRPr="00AB1385" w:rsidRDefault="00867A90" w:rsidP="00867A90">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26A98FE3" w14:textId="77777777" w:rsidR="00867A90" w:rsidRPr="00AB1385" w:rsidRDefault="00867A90" w:rsidP="00867A90">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5201C9E3" w14:textId="77777777" w:rsidR="00867A90" w:rsidRPr="00AB1385" w:rsidRDefault="00867A90" w:rsidP="00867A90">
      <w:pPr>
        <w:rPr>
          <w:sz w:val="16"/>
        </w:rPr>
      </w:pPr>
      <w:r w:rsidRPr="00AB1385">
        <w:rPr>
          <w:sz w:val="16"/>
        </w:rPr>
        <w:t>The Need to Rethink Likelihood</w:t>
      </w:r>
    </w:p>
    <w:p w14:paraId="29AADBD0" w14:textId="77777777" w:rsidR="00867A90" w:rsidRPr="00AB1385" w:rsidRDefault="00867A90" w:rsidP="00867A90">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1ABF85F1" w14:textId="77777777" w:rsidR="00867A90" w:rsidRPr="00AB1385" w:rsidRDefault="00867A90" w:rsidP="00867A90">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40823E0D" w14:textId="77777777" w:rsidR="00867A90" w:rsidRPr="00AB1385" w:rsidRDefault="00867A90" w:rsidP="00867A90">
      <w:pPr>
        <w:rPr>
          <w:sz w:val="16"/>
        </w:rPr>
      </w:pPr>
      <w:r w:rsidRPr="00AB1385">
        <w:rPr>
          <w:sz w:val="16"/>
        </w:rPr>
        <w:t>In the August 2020 issue of this publication, scientists at the U.S. Military Academy at West Point warned that:</w:t>
      </w:r>
    </w:p>
    <w:p w14:paraId="5F9347D8" w14:textId="77777777" w:rsidR="00867A90" w:rsidRPr="00AB1385" w:rsidRDefault="00867A90" w:rsidP="00867A90">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3038227B" w14:textId="77777777" w:rsidR="00867A90" w:rsidRPr="00AB1385" w:rsidRDefault="00867A90" w:rsidP="00867A90">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748F8992" w14:textId="77777777" w:rsidR="00867A90" w:rsidRPr="00AB1385" w:rsidRDefault="00867A90" w:rsidP="00867A90">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r w:rsidRPr="00AB1385">
        <w:rPr>
          <w:sz w:val="16"/>
        </w:rPr>
        <w:t>years.g</w:t>
      </w:r>
      <w:proofErr w:type="spell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6F2F16B9" w14:textId="16CAF544" w:rsidR="00867A90" w:rsidRPr="001464E4" w:rsidRDefault="00867A90" w:rsidP="00867A90">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762EED1B" w14:textId="05B29C6C" w:rsidR="00867A90" w:rsidRDefault="00867A90" w:rsidP="00867A90">
      <w:pPr>
        <w:pStyle w:val="Heading2"/>
      </w:pPr>
      <w:r>
        <w:t>Case</w:t>
      </w:r>
    </w:p>
    <w:p w14:paraId="3027924F" w14:textId="1C70D145" w:rsidR="00867A90" w:rsidRPr="00867A90" w:rsidRDefault="001464E4" w:rsidP="00867A90">
      <w:pPr>
        <w:pStyle w:val="Heading3"/>
      </w:pPr>
      <w:r>
        <w:t>NC – Top</w:t>
      </w:r>
    </w:p>
    <w:p w14:paraId="59DF14D4" w14:textId="77777777" w:rsidR="00867A90" w:rsidRPr="00937E87" w:rsidRDefault="00867A90" w:rsidP="00867A90">
      <w:pPr>
        <w:pStyle w:val="Heading4"/>
      </w:pPr>
      <w:r>
        <w:t xml:space="preserve">the claim that </w:t>
      </w:r>
      <w:r>
        <w:rPr>
          <w:u w:val="single"/>
        </w:rPr>
        <w:t>thought</w:t>
      </w:r>
      <w:r>
        <w:t xml:space="preserve"> and </w:t>
      </w:r>
      <w:r>
        <w:rPr>
          <w:u w:val="single"/>
        </w:rPr>
        <w:t>relationality</w:t>
      </w:r>
      <w:r>
        <w:t xml:space="preserve"> is over-coded by signification is a </w:t>
      </w:r>
      <w:r>
        <w:rPr>
          <w:u w:val="single"/>
        </w:rPr>
        <w:t>linguistic relic</w:t>
      </w:r>
      <w:r>
        <w:t xml:space="preserve"> entirely refuted by modern social science </w:t>
      </w:r>
    </w:p>
    <w:p w14:paraId="5E2EDC1C" w14:textId="77777777" w:rsidR="00867A90" w:rsidRPr="00DE51CC" w:rsidRDefault="00867A90" w:rsidP="00867A90">
      <w:r w:rsidRPr="007173AB">
        <w:rPr>
          <w:rStyle w:val="Style13ptBold"/>
        </w:rPr>
        <w:t>Pullum 18</w:t>
      </w:r>
      <w:r>
        <w:t xml:space="preserve"> [Geoffrey K. Pullum is Professor of general Linguistics in the School of Philosophy, Psychology, and Language at the University of Edinburgh. “Linguistics: Why it Matters.” Page 55-57]</w:t>
      </w:r>
    </w:p>
    <w:p w14:paraId="46BF08DF" w14:textId="77777777" w:rsidR="00867A90" w:rsidRDefault="00867A90" w:rsidP="00867A90">
      <w:r w:rsidRPr="0026795E">
        <w:rPr>
          <w:rStyle w:val="StyleUnderline"/>
          <w:highlight w:val="cyan"/>
        </w:rPr>
        <w:t>The</w:t>
      </w:r>
      <w:r>
        <w:t xml:space="preserve"> </w:t>
      </w:r>
      <w:r w:rsidRPr="00937E87">
        <w:rPr>
          <w:rStyle w:val="Emphasis"/>
        </w:rPr>
        <w:t xml:space="preserve">largely </w:t>
      </w:r>
      <w:r w:rsidRPr="0026795E">
        <w:rPr>
          <w:rStyle w:val="Emphasis"/>
          <w:highlight w:val="cyan"/>
        </w:rPr>
        <w:t>false tale</w:t>
      </w:r>
      <w:r w:rsidRPr="0026795E">
        <w:rPr>
          <w:highlight w:val="cyan"/>
        </w:rPr>
        <w:t xml:space="preserve"> </w:t>
      </w:r>
      <w:r w:rsidRPr="0026795E">
        <w:rPr>
          <w:rStyle w:val="StyleUnderline"/>
          <w:highlight w:val="cyan"/>
        </w:rPr>
        <w:t>of</w:t>
      </w:r>
      <w:r w:rsidRPr="00937E87">
        <w:rPr>
          <w:rStyle w:val="StyleUnderline"/>
        </w:rPr>
        <w:t xml:space="preserve"> the many words for snow in </w:t>
      </w:r>
      <w:proofErr w:type="spellStart"/>
      <w:r w:rsidRPr="00937E87">
        <w:rPr>
          <w:rStyle w:val="StyleUnderline"/>
        </w:rPr>
        <w:t>Eskimoan</w:t>
      </w:r>
      <w:proofErr w:type="spellEnd"/>
      <w:r w:rsidRPr="00937E87">
        <w:rPr>
          <w:rStyle w:val="StyleUnderline"/>
        </w:rPr>
        <w:t xml:space="preserve"> languages often plays a role in</w:t>
      </w:r>
      <w:r>
        <w:t xml:space="preserve"> discussions of what is commonly called </w:t>
      </w:r>
      <w:r w:rsidRPr="0026795E">
        <w:rPr>
          <w:rStyle w:val="StyleUnderline"/>
          <w:highlight w:val="cyan"/>
        </w:rPr>
        <w:t>the</w:t>
      </w:r>
      <w:r w:rsidRPr="0026795E">
        <w:rPr>
          <w:highlight w:val="cyan"/>
        </w:rPr>
        <w:t xml:space="preserve"> </w:t>
      </w:r>
      <w:r w:rsidRPr="0026795E">
        <w:rPr>
          <w:rStyle w:val="Emphasis"/>
          <w:highlight w:val="cyan"/>
        </w:rPr>
        <w:t>Sapir-Whorf Hypothesis</w:t>
      </w:r>
      <w:r>
        <w:t xml:space="preserve">. It’s supposed to be a hypothesis </w:t>
      </w:r>
      <w:r w:rsidRPr="00937E87">
        <w:rPr>
          <w:rStyle w:val="StyleUnderline"/>
        </w:rPr>
        <w:t xml:space="preserve">about </w:t>
      </w:r>
      <w:r w:rsidRPr="0026795E">
        <w:rPr>
          <w:rStyle w:val="StyleUnderline"/>
          <w:highlight w:val="cyan"/>
        </w:rPr>
        <w:t xml:space="preserve">how language </w:t>
      </w:r>
      <w:r w:rsidRPr="0026795E">
        <w:rPr>
          <w:rStyle w:val="Emphasis"/>
          <w:highlight w:val="cyan"/>
        </w:rPr>
        <w:t>shapes</w:t>
      </w:r>
      <w:r w:rsidRPr="0026795E">
        <w:rPr>
          <w:highlight w:val="cyan"/>
        </w:rPr>
        <w:t xml:space="preserve"> </w:t>
      </w:r>
      <w:r w:rsidRPr="0026795E">
        <w:rPr>
          <w:rStyle w:val="StyleUnderline"/>
          <w:highlight w:val="cyan"/>
        </w:rPr>
        <w:t>or</w:t>
      </w:r>
      <w:r w:rsidRPr="0026795E">
        <w:rPr>
          <w:highlight w:val="cyan"/>
        </w:rPr>
        <w:t xml:space="preserve"> </w:t>
      </w:r>
      <w:r w:rsidRPr="0026795E">
        <w:rPr>
          <w:rStyle w:val="Emphasis"/>
          <w:highlight w:val="cyan"/>
        </w:rPr>
        <w:t>determines thought</w:t>
      </w:r>
      <w:r w:rsidRPr="00937E87">
        <w:rPr>
          <w:rStyle w:val="Emphasis"/>
        </w:rPr>
        <w:t>,</w:t>
      </w:r>
      <w:r>
        <w:t xml:space="preserve"> </w:t>
      </w:r>
      <w:r w:rsidRPr="00937E87">
        <w:rPr>
          <w:rStyle w:val="StyleUnderline"/>
        </w:rPr>
        <w:t>but</w:t>
      </w:r>
      <w:r>
        <w:t xml:space="preserve"> </w:t>
      </w:r>
      <w:r w:rsidRPr="0026795E">
        <w:rPr>
          <w:rStyle w:val="Emphasis"/>
          <w:highlight w:val="cyan"/>
        </w:rPr>
        <w:t>it isn’t really a hypothesis</w:t>
      </w:r>
      <w:r w:rsidRPr="00937E87">
        <w:rPr>
          <w:rStyle w:val="Emphasis"/>
        </w:rPr>
        <w:t xml:space="preserve"> at all. </w:t>
      </w:r>
      <w:r>
        <w:t xml:space="preserve">It’ a vaguely defined cluster of very different claims. </w:t>
      </w:r>
    </w:p>
    <w:p w14:paraId="29C41FAA" w14:textId="77777777" w:rsidR="00867A90" w:rsidRDefault="00867A90" w:rsidP="00867A90">
      <w:r>
        <w:t xml:space="preserve">Some </w:t>
      </w:r>
      <w:r w:rsidRPr="00937E87">
        <w:rPr>
          <w:rStyle w:val="StyleUnderline"/>
        </w:rPr>
        <w:t xml:space="preserve">variants appear </w:t>
      </w:r>
      <w:r w:rsidRPr="0026795E">
        <w:rPr>
          <w:rStyle w:val="StyleUnderline"/>
          <w:highlight w:val="cyan"/>
        </w:rPr>
        <w:t>to suggest</w:t>
      </w:r>
      <w:r w:rsidRPr="00937E87">
        <w:rPr>
          <w:rStyle w:val="StyleUnderline"/>
        </w:rPr>
        <w:t xml:space="preserve"> that </w:t>
      </w:r>
      <w:r w:rsidRPr="0026795E">
        <w:rPr>
          <w:rStyle w:val="StyleUnderline"/>
          <w:highlight w:val="cyan"/>
        </w:rPr>
        <w:t>the way you think</w:t>
      </w:r>
      <w:r w:rsidRPr="00937E87">
        <w:rPr>
          <w:rStyle w:val="StyleUnderline"/>
        </w:rPr>
        <w:t xml:space="preserve"> about the world </w:t>
      </w:r>
      <w:r w:rsidRPr="0026795E">
        <w:rPr>
          <w:rStyle w:val="StyleUnderline"/>
          <w:highlight w:val="cyan"/>
        </w:rPr>
        <w:t>is</w:t>
      </w:r>
      <w:r w:rsidRPr="0026795E">
        <w:rPr>
          <w:highlight w:val="cyan"/>
        </w:rPr>
        <w:t xml:space="preserve"> </w:t>
      </w:r>
      <w:r w:rsidRPr="0026795E">
        <w:rPr>
          <w:rStyle w:val="Emphasis"/>
          <w:highlight w:val="cyan"/>
        </w:rPr>
        <w:t>entirely determined by</w:t>
      </w:r>
      <w:r w:rsidRPr="00937E87">
        <w:rPr>
          <w:rStyle w:val="Emphasis"/>
        </w:rPr>
        <w:t xml:space="preserve"> your </w:t>
      </w:r>
      <w:r w:rsidRPr="0026795E">
        <w:rPr>
          <w:rStyle w:val="Emphasis"/>
          <w:highlight w:val="cyan"/>
        </w:rPr>
        <w:t>language</w:t>
      </w:r>
      <w:r>
        <w:t xml:space="preserve">: a person who speaks a different language cannot think the same thoughts, and doesn’t really even see the same world. </w:t>
      </w:r>
      <w:r w:rsidRPr="00937E87">
        <w:rPr>
          <w:rStyle w:val="StyleUnderline"/>
        </w:rPr>
        <w:t xml:space="preserve">Such an idea </w:t>
      </w:r>
      <w:r w:rsidRPr="0026795E">
        <w:rPr>
          <w:rStyle w:val="StyleUnderline"/>
          <w:highlight w:val="cyan"/>
        </w:rPr>
        <w:t>might seem fascinating</w:t>
      </w:r>
      <w:r>
        <w:t xml:space="preserve"> at first. </w:t>
      </w:r>
      <w:r w:rsidRPr="00937E87">
        <w:rPr>
          <w:rStyle w:val="StyleUnderline"/>
        </w:rPr>
        <w:t xml:space="preserve">But on closer inspection </w:t>
      </w:r>
      <w:r w:rsidRPr="0026795E">
        <w:rPr>
          <w:rStyle w:val="StyleUnderline"/>
          <w:highlight w:val="cyan"/>
        </w:rPr>
        <w:t xml:space="preserve">it loses </w:t>
      </w:r>
      <w:r w:rsidRPr="0026795E">
        <w:rPr>
          <w:rStyle w:val="Emphasis"/>
          <w:highlight w:val="cyan"/>
        </w:rPr>
        <w:t>any claim</w:t>
      </w:r>
      <w:r w:rsidRPr="0026795E">
        <w:rPr>
          <w:rStyle w:val="StyleUnderline"/>
          <w:highlight w:val="cyan"/>
        </w:rPr>
        <w:t xml:space="preserve"> to be a</w:t>
      </w:r>
      <w:r w:rsidRPr="0026795E">
        <w:rPr>
          <w:highlight w:val="cyan"/>
        </w:rPr>
        <w:t xml:space="preserve"> </w:t>
      </w:r>
      <w:r w:rsidRPr="0026795E">
        <w:rPr>
          <w:rStyle w:val="Emphasis"/>
          <w:highlight w:val="cyan"/>
        </w:rPr>
        <w:t>scientific thesis</w:t>
      </w:r>
      <w:r w:rsidRPr="0026795E">
        <w:rPr>
          <w:highlight w:val="cyan"/>
        </w:rPr>
        <w:t>.</w:t>
      </w:r>
      <w:r>
        <w:t xml:space="preserve"> </w:t>
      </w:r>
    </w:p>
    <w:p w14:paraId="63FF8FA0" w14:textId="77777777" w:rsidR="00867A90" w:rsidRDefault="00867A90" w:rsidP="00867A90">
      <w:r>
        <w:t xml:space="preserve">It has this curious property: </w:t>
      </w:r>
      <w:r w:rsidRPr="0026795E">
        <w:rPr>
          <w:rStyle w:val="Emphasis"/>
          <w:highlight w:val="cyan"/>
        </w:rPr>
        <w:t>if it were true</w:t>
      </w:r>
      <w:r w:rsidRPr="0026795E">
        <w:rPr>
          <w:highlight w:val="cyan"/>
        </w:rPr>
        <w:t xml:space="preserve">, </w:t>
      </w:r>
      <w:r w:rsidRPr="0026795E">
        <w:rPr>
          <w:rStyle w:val="StyleUnderline"/>
          <w:highlight w:val="cyan"/>
        </w:rPr>
        <w:t xml:space="preserve">its truth could </w:t>
      </w:r>
      <w:r w:rsidRPr="0026795E">
        <w:rPr>
          <w:rStyle w:val="Emphasis"/>
          <w:highlight w:val="cyan"/>
        </w:rPr>
        <w:t>never be explained</w:t>
      </w:r>
      <w:r w:rsidRPr="00937E87">
        <w:rPr>
          <w:rStyle w:val="StyleUnderline"/>
        </w:rPr>
        <w:t xml:space="preserve"> to the people </w:t>
      </w:r>
      <w:r w:rsidRPr="00937E87">
        <w:rPr>
          <w:rStyle w:val="Emphasis"/>
        </w:rPr>
        <w:t>it was true of</w:t>
      </w:r>
      <w:r>
        <w:t xml:space="preserve">. For example, </w:t>
      </w:r>
      <w:r w:rsidRPr="0026795E">
        <w:rPr>
          <w:rStyle w:val="StyleUnderline"/>
          <w:highlight w:val="cyan"/>
        </w:rPr>
        <w:t xml:space="preserve">if my language gave me a concept that you </w:t>
      </w:r>
      <w:r w:rsidRPr="0026795E">
        <w:rPr>
          <w:rStyle w:val="Emphasis"/>
          <w:highlight w:val="cyan"/>
        </w:rPr>
        <w:t>couldn’t grasp</w:t>
      </w:r>
      <w:r>
        <w:t xml:space="preserve"> </w:t>
      </w:r>
      <w:r w:rsidRPr="00937E87">
        <w:rPr>
          <w:rStyle w:val="StyleUnderline"/>
        </w:rPr>
        <w:t xml:space="preserve">because your </w:t>
      </w:r>
      <w:r w:rsidRPr="00937E87">
        <w:rPr>
          <w:rStyle w:val="Emphasis"/>
        </w:rPr>
        <w:t>language didn’t equip you with that concept</w:t>
      </w:r>
      <w:r w:rsidRPr="0026795E">
        <w:rPr>
          <w:highlight w:val="cyan"/>
        </w:rPr>
        <w:t xml:space="preserve">, </w:t>
      </w:r>
      <w:r w:rsidRPr="0026795E">
        <w:rPr>
          <w:rStyle w:val="StyleUnderline"/>
          <w:highlight w:val="cyan"/>
        </w:rPr>
        <w:t>I could never convince you that this was so</w:t>
      </w:r>
      <w:r>
        <w:t xml:space="preserve">, because you could never see what I meant. The key thing I would have to get across to you would involve a concept </w:t>
      </w:r>
      <w:proofErr w:type="spellStart"/>
      <w:r>
        <w:t>hat</w:t>
      </w:r>
      <w:proofErr w:type="spellEnd"/>
      <w:r>
        <w:t xml:space="preserve"> you just don’t have and cannot form. </w:t>
      </w:r>
    </w:p>
    <w:p w14:paraId="5E35E948" w14:textId="77777777" w:rsidR="00867A90" w:rsidRDefault="00867A90" w:rsidP="00867A90">
      <w:r w:rsidRPr="0026795E">
        <w:rPr>
          <w:rStyle w:val="StyleUnderline"/>
          <w:highlight w:val="cyan"/>
        </w:rPr>
        <w:t>That makes</w:t>
      </w:r>
      <w:r w:rsidRPr="0026795E">
        <w:rPr>
          <w:highlight w:val="cyan"/>
        </w:rPr>
        <w:t xml:space="preserve"> </w:t>
      </w:r>
      <w:r w:rsidRPr="0026795E">
        <w:rPr>
          <w:rStyle w:val="Emphasis"/>
          <w:highlight w:val="cyan"/>
        </w:rPr>
        <w:t>global claims</w:t>
      </w:r>
      <w:r>
        <w:t xml:space="preserve"> </w:t>
      </w:r>
      <w:r w:rsidRPr="00937E87">
        <w:rPr>
          <w:rStyle w:val="StyleUnderline"/>
        </w:rPr>
        <w:t>of this</w:t>
      </w:r>
      <w:r>
        <w:t xml:space="preserve"> sort (claims </w:t>
      </w:r>
      <w:r w:rsidRPr="00937E87">
        <w:rPr>
          <w:rStyle w:val="StyleUnderline"/>
        </w:rPr>
        <w:t xml:space="preserve">about our </w:t>
      </w:r>
      <w:r w:rsidRPr="00937E87">
        <w:rPr>
          <w:rStyle w:val="Emphasis"/>
        </w:rPr>
        <w:t>language defining our world</w:t>
      </w:r>
      <w:r>
        <w:t xml:space="preserve">) </w:t>
      </w:r>
      <w:r w:rsidRPr="0026795E">
        <w:rPr>
          <w:rStyle w:val="StyleUnderline"/>
          <w:highlight w:val="cyan"/>
        </w:rPr>
        <w:t xml:space="preserve">untestable </w:t>
      </w:r>
      <w:r w:rsidRPr="0026795E">
        <w:rPr>
          <w:rStyle w:val="Emphasis"/>
          <w:highlight w:val="cyan"/>
        </w:rPr>
        <w:t>even in principle</w:t>
      </w:r>
      <w:r>
        <w:t xml:space="preserve">. </w:t>
      </w:r>
      <w:r w:rsidRPr="0026795E">
        <w:rPr>
          <w:rStyle w:val="Emphasis"/>
          <w:highlight w:val="cyan"/>
        </w:rPr>
        <w:t>It’s not a scientific hypothesis</w:t>
      </w:r>
      <w:r w:rsidRPr="0026795E">
        <w:rPr>
          <w:highlight w:val="cyan"/>
        </w:rPr>
        <w:t xml:space="preserve">; </w:t>
      </w:r>
      <w:r w:rsidRPr="0026795E">
        <w:rPr>
          <w:rStyle w:val="StyleUnderline"/>
          <w:highlight w:val="cyan"/>
        </w:rPr>
        <w:t>it’s a</w:t>
      </w:r>
      <w:r w:rsidRPr="00937E87">
        <w:rPr>
          <w:rStyle w:val="StyleUnderline"/>
        </w:rPr>
        <w:t xml:space="preserve"> rather </w:t>
      </w:r>
      <w:r w:rsidRPr="0026795E">
        <w:rPr>
          <w:rStyle w:val="StyleUnderline"/>
          <w:highlight w:val="cyan"/>
        </w:rPr>
        <w:t>strange</w:t>
      </w:r>
      <w:r w:rsidRPr="00937E87">
        <w:rPr>
          <w:rStyle w:val="StyleUnderline"/>
        </w:rPr>
        <w:t xml:space="preserve"> (and</w:t>
      </w:r>
      <w:r>
        <w:t xml:space="preserve"> in my view </w:t>
      </w:r>
      <w:r w:rsidRPr="0026795E">
        <w:rPr>
          <w:rStyle w:val="Emphasis"/>
          <w:highlight w:val="cyan"/>
        </w:rPr>
        <w:t>implausible) metaphysical claim</w:t>
      </w:r>
      <w:r>
        <w:t xml:space="preserve"> </w:t>
      </w:r>
      <w:r w:rsidRPr="00937E87">
        <w:rPr>
          <w:rStyle w:val="StyleUnderline"/>
        </w:rPr>
        <w:t xml:space="preserve">that no </w:t>
      </w:r>
      <w:r w:rsidRPr="0026795E">
        <w:rPr>
          <w:rStyle w:val="StyleUnderline"/>
          <w:highlight w:val="cyan"/>
        </w:rPr>
        <w:t xml:space="preserve">one can ever </w:t>
      </w:r>
      <w:r w:rsidRPr="0026795E">
        <w:rPr>
          <w:rStyle w:val="Emphasis"/>
          <w:highlight w:val="cyan"/>
        </w:rPr>
        <w:t>confirm</w:t>
      </w:r>
      <w:r w:rsidRPr="0026795E">
        <w:rPr>
          <w:rStyle w:val="StyleUnderline"/>
          <w:highlight w:val="cyan"/>
        </w:rPr>
        <w:t xml:space="preserve"> or </w:t>
      </w:r>
      <w:r w:rsidRPr="0026795E">
        <w:rPr>
          <w:rStyle w:val="Emphasis"/>
          <w:highlight w:val="cyan"/>
        </w:rPr>
        <w:t>refute</w:t>
      </w:r>
      <w:r w:rsidRPr="00937E87">
        <w:rPr>
          <w:rStyle w:val="StyleUnderline"/>
        </w:rPr>
        <w:t>.</w:t>
      </w:r>
      <w:r>
        <w:t xml:space="preserve"> </w:t>
      </w:r>
      <w:r w:rsidRPr="0026795E">
        <w:rPr>
          <w:rStyle w:val="StyleUnderline"/>
          <w:highlight w:val="cyan"/>
        </w:rPr>
        <w:t>That is</w:t>
      </w:r>
      <w:r w:rsidRPr="00937E87">
        <w:rPr>
          <w:rStyle w:val="StyleUnderline"/>
        </w:rPr>
        <w:t xml:space="preserve"> part of </w:t>
      </w:r>
      <w:r w:rsidRPr="0026795E">
        <w:rPr>
          <w:rStyle w:val="StyleUnderline"/>
          <w:highlight w:val="cyan"/>
        </w:rPr>
        <w:t xml:space="preserve">why linguists are </w:t>
      </w:r>
      <w:r w:rsidRPr="0026795E">
        <w:rPr>
          <w:rStyle w:val="Emphasis"/>
          <w:highlight w:val="cyan"/>
        </w:rPr>
        <w:t>so much less intrigued</w:t>
      </w:r>
      <w:r w:rsidRPr="00937E87">
        <w:rPr>
          <w:rStyle w:val="StyleUnderline"/>
        </w:rPr>
        <w:t xml:space="preserve"> by global </w:t>
      </w:r>
      <w:r w:rsidRPr="00937E87">
        <w:rPr>
          <w:rStyle w:val="Emphasis"/>
        </w:rPr>
        <w:t>Sapir-Whorf-style claims</w:t>
      </w:r>
      <w:r>
        <w:t xml:space="preserve"> than </w:t>
      </w:r>
      <w:proofErr w:type="spellStart"/>
      <w:r>
        <w:t>nonlinguists</w:t>
      </w:r>
      <w:proofErr w:type="spellEnd"/>
      <w:r>
        <w:t xml:space="preserve">. </w:t>
      </w:r>
    </w:p>
    <w:p w14:paraId="5543482C" w14:textId="77777777" w:rsidR="00867A90" w:rsidRDefault="00867A90" w:rsidP="00867A90">
      <w:r w:rsidRPr="0026795E">
        <w:rPr>
          <w:rStyle w:val="StyleUnderline"/>
          <w:highlight w:val="cyan"/>
        </w:rPr>
        <w:t xml:space="preserve">There are </w:t>
      </w:r>
      <w:r w:rsidRPr="0026795E">
        <w:rPr>
          <w:rStyle w:val="Emphasis"/>
          <w:highlight w:val="cyan"/>
        </w:rPr>
        <w:t>testable claims</w:t>
      </w:r>
      <w:r>
        <w:t xml:space="preserve"> </w:t>
      </w:r>
      <w:r w:rsidRPr="00937E87">
        <w:rPr>
          <w:rStyle w:val="StyleUnderline"/>
        </w:rPr>
        <w:t>about how language shapes thinking,</w:t>
      </w:r>
      <w:r>
        <w:t xml:space="preserve"> however. </w:t>
      </w:r>
      <w:r w:rsidRPr="0026795E">
        <w:rPr>
          <w:rStyle w:val="StyleUnderline"/>
          <w:highlight w:val="cyan"/>
        </w:rPr>
        <w:t xml:space="preserve">They are </w:t>
      </w:r>
      <w:r w:rsidRPr="0026795E">
        <w:rPr>
          <w:rStyle w:val="Emphasis"/>
          <w:highlight w:val="cyan"/>
        </w:rPr>
        <w:t>much more modest</w:t>
      </w:r>
      <w:r>
        <w:t xml:space="preserve">, </w:t>
      </w:r>
      <w:r w:rsidRPr="00937E87">
        <w:rPr>
          <w:rStyle w:val="StyleUnderline"/>
        </w:rPr>
        <w:t>and generally involve tasks that involve speaking as well as thinking</w:t>
      </w:r>
      <w:r>
        <w:t xml:space="preserve">. For example, it has been shown that when someone has to sort a set of presented objects into their different </w:t>
      </w:r>
      <w:proofErr w:type="spellStart"/>
      <w:r>
        <w:t>colour</w:t>
      </w:r>
      <w:proofErr w:type="spellEnd"/>
      <w:r>
        <w:t xml:space="preserve"> categories, they can distinguish one shade of </w:t>
      </w:r>
      <w:proofErr w:type="spellStart"/>
      <w:r>
        <w:t>colour</w:t>
      </w:r>
      <w:proofErr w:type="spellEnd"/>
      <w:r>
        <w:t xml:space="preserve"> from another somewhat faster if their language has distinct words for those two shades. </w:t>
      </w:r>
    </w:p>
    <w:p w14:paraId="113491BC" w14:textId="02B4A7CC" w:rsidR="00867A90" w:rsidRDefault="00867A90" w:rsidP="00867A90">
      <w:pPr>
        <w:rPr>
          <w:rStyle w:val="StyleUnderline"/>
        </w:rPr>
      </w:pPr>
      <w:r>
        <w:t xml:space="preserve">But this only says that </w:t>
      </w:r>
      <w:r w:rsidRPr="0026795E">
        <w:rPr>
          <w:rStyle w:val="StyleUnderline"/>
        </w:rPr>
        <w:t xml:space="preserve">if you have </w:t>
      </w:r>
      <w:r w:rsidRPr="0026795E">
        <w:rPr>
          <w:rStyle w:val="Emphasis"/>
        </w:rPr>
        <w:t>lifelong experience</w:t>
      </w:r>
      <w:r>
        <w:t xml:space="preserve"> </w:t>
      </w:r>
      <w:r w:rsidRPr="00937E87">
        <w:rPr>
          <w:rStyle w:val="StyleUnderline"/>
        </w:rPr>
        <w:t xml:space="preserve">with a language that uses a certain distinction as the crucial meaning difference between a pair of words, that may enhance the rapidity of your response to the distinction. </w:t>
      </w:r>
      <w:r w:rsidRPr="0026795E">
        <w:rPr>
          <w:rStyle w:val="StyleUnderline"/>
          <w:highlight w:val="cyan"/>
        </w:rPr>
        <w:t>It says</w:t>
      </w:r>
      <w:r w:rsidRPr="0026795E">
        <w:rPr>
          <w:highlight w:val="cyan"/>
        </w:rPr>
        <w:t xml:space="preserve"> </w:t>
      </w:r>
      <w:r w:rsidRPr="0026795E">
        <w:rPr>
          <w:rStyle w:val="Emphasis"/>
          <w:highlight w:val="cyan"/>
        </w:rPr>
        <w:t>nothing</w:t>
      </w:r>
      <w:r w:rsidRPr="0026795E">
        <w:rPr>
          <w:highlight w:val="cyan"/>
        </w:rPr>
        <w:t xml:space="preserve"> </w:t>
      </w:r>
      <w:r w:rsidRPr="0026795E">
        <w:rPr>
          <w:rStyle w:val="StyleUnderline"/>
          <w:highlight w:val="cyan"/>
        </w:rPr>
        <w:t xml:space="preserve">about </w:t>
      </w:r>
      <w:proofErr w:type="spellStart"/>
      <w:r w:rsidRPr="0026795E">
        <w:rPr>
          <w:rStyle w:val="StyleUnderline"/>
          <w:highlight w:val="cyan"/>
        </w:rPr>
        <w:t>your</w:t>
      </w:r>
      <w:proofErr w:type="spellEnd"/>
      <w:r w:rsidRPr="0026795E">
        <w:rPr>
          <w:rStyle w:val="StyleUnderline"/>
          <w:highlight w:val="cyan"/>
        </w:rPr>
        <w:t xml:space="preserve"> </w:t>
      </w:r>
      <w:r w:rsidRPr="0026795E">
        <w:rPr>
          <w:rStyle w:val="Emphasis"/>
          <w:highlight w:val="cyan"/>
        </w:rPr>
        <w:t>not being able to see the difference</w:t>
      </w:r>
      <w:r>
        <w:t xml:space="preserve"> </w:t>
      </w:r>
      <w:r w:rsidRPr="00937E87">
        <w:rPr>
          <w:rStyle w:val="StyleUnderline"/>
        </w:rPr>
        <w:t xml:space="preserve">between a pair of </w:t>
      </w:r>
      <w:proofErr w:type="spellStart"/>
      <w:r w:rsidRPr="00937E87">
        <w:rPr>
          <w:rStyle w:val="StyleUnderline"/>
        </w:rPr>
        <w:t>colours</w:t>
      </w:r>
      <w:proofErr w:type="spellEnd"/>
      <w:r w:rsidRPr="00937E87">
        <w:rPr>
          <w:rStyle w:val="StyleUnderline"/>
        </w:rPr>
        <w:t xml:space="preserve"> that share the same word. </w:t>
      </w:r>
    </w:p>
    <w:p w14:paraId="6795DBE7" w14:textId="77777777" w:rsidR="00C015B8" w:rsidRPr="00937E87" w:rsidRDefault="00C015B8" w:rsidP="00867A90">
      <w:pPr>
        <w:rPr>
          <w:rStyle w:val="StyleUnderline"/>
        </w:rPr>
      </w:pPr>
    </w:p>
    <w:p w14:paraId="3CE489D8" w14:textId="5AE5224F" w:rsidR="001464E4" w:rsidRDefault="001464E4" w:rsidP="001464E4">
      <w:pPr>
        <w:pStyle w:val="Heading3"/>
      </w:pPr>
      <w:r>
        <w:t>AT: ROTB</w:t>
      </w:r>
    </w:p>
    <w:p w14:paraId="26890075" w14:textId="77777777" w:rsidR="001464E4" w:rsidRDefault="001464E4" w:rsidP="001464E4">
      <w:pPr>
        <w:pStyle w:val="Heading4"/>
      </w:pPr>
      <w:r w:rsidRPr="00A25C18">
        <w:t xml:space="preserve">No Arbitrary roles of the </w:t>
      </w:r>
      <w:r>
        <w:t>judge or ballot –</w:t>
      </w:r>
      <w:r w:rsidRPr="00A25C18">
        <w:t xml:space="preserve"> the judge should vote for the side that produces the best material consequences. Anything else moots </w:t>
      </w:r>
      <w:r>
        <w:t>the NC</w:t>
      </w:r>
      <w:r w:rsidRPr="00A25C18">
        <w:t xml:space="preserve"> and lets the </w:t>
      </w:r>
      <w:proofErr w:type="spellStart"/>
      <w:r>
        <w:t>aff</w:t>
      </w:r>
      <w:proofErr w:type="spellEnd"/>
      <w:r w:rsidRPr="00A25C18">
        <w:t xml:space="preserve"> choose a self-serving starting point for discussion. </w:t>
      </w:r>
    </w:p>
    <w:p w14:paraId="105AA17B" w14:textId="47A2D5F0" w:rsidR="001464E4" w:rsidRDefault="00C015B8" w:rsidP="00C015B8">
      <w:pPr>
        <w:pStyle w:val="Heading3"/>
      </w:pPr>
      <w:r>
        <w:t>NC – Presumption</w:t>
      </w:r>
    </w:p>
    <w:p w14:paraId="4CF62F07" w14:textId="77777777" w:rsidR="00C015B8" w:rsidRDefault="00C015B8" w:rsidP="00C015B8">
      <w:pPr>
        <w:pStyle w:val="Analytic"/>
      </w:pPr>
      <w:r>
        <w:t>Our presumption argument is a double bind:</w:t>
      </w:r>
    </w:p>
    <w:p w14:paraId="1B770D64" w14:textId="77777777" w:rsidR="00C015B8" w:rsidRDefault="00C015B8" w:rsidP="00C015B8">
      <w:pPr>
        <w:pStyle w:val="Analytic"/>
      </w:pPr>
      <w:r>
        <w:t>1. Either they are NOT a change from the status quo and therefore not inherent, or</w:t>
      </w:r>
    </w:p>
    <w:p w14:paraId="414973BE" w14:textId="77777777" w:rsidR="00C015B8" w:rsidRDefault="00C015B8" w:rsidP="00C015B8">
      <w:pPr>
        <w:pStyle w:val="Analytic"/>
      </w:pPr>
      <w:r>
        <w:t xml:space="preserve">2. they ARE a departure from the status quo, but the </w:t>
      </w:r>
      <w:proofErr w:type="spellStart"/>
      <w:r>
        <w:t>aff</w:t>
      </w:r>
      <w:proofErr w:type="spellEnd"/>
      <w:r>
        <w:t xml:space="preserve"> is TOO SMALL to solve the impacts of the 1AC.</w:t>
      </w:r>
    </w:p>
    <w:p w14:paraId="4633D4AD" w14:textId="31FAA834" w:rsidR="00C015B8" w:rsidRDefault="00C015B8" w:rsidP="00C015B8">
      <w:pPr>
        <w:pStyle w:val="Heading3"/>
      </w:pPr>
      <w:r>
        <w:t>NC – Webb</w:t>
      </w:r>
    </w:p>
    <w:p w14:paraId="5AEA5F69" w14:textId="2496AD56" w:rsidR="00C015B8" w:rsidRPr="00DF58F1" w:rsidRDefault="00C015B8" w:rsidP="00C015B8">
      <w:pPr>
        <w:pStyle w:val="Heading4"/>
      </w:pPr>
      <w:r>
        <w:t>Imagining</w:t>
      </w:r>
      <w:r>
        <w:t xml:space="preserve"> that </w:t>
      </w:r>
      <w:r>
        <w:rPr>
          <w:u w:val="single"/>
        </w:rPr>
        <w:t>symbolic</w:t>
      </w:r>
      <w:r>
        <w:t xml:space="preserve"> and </w:t>
      </w:r>
      <w:r>
        <w:rPr>
          <w:u w:val="single"/>
        </w:rPr>
        <w:t>representational disruptions</w:t>
      </w:r>
      <w:r>
        <w:t xml:space="preserve"> in </w:t>
      </w:r>
      <w:r>
        <w:rPr>
          <w:u w:val="single"/>
        </w:rPr>
        <w:t>benign</w:t>
      </w:r>
      <w:r>
        <w:t xml:space="preserve"> academic spaces implicate </w:t>
      </w:r>
      <w:r>
        <w:rPr>
          <w:u w:val="single"/>
        </w:rPr>
        <w:t>material violence</w:t>
      </w:r>
      <w:r>
        <w:t xml:space="preserve"> buys off </w:t>
      </w:r>
      <w:r>
        <w:rPr>
          <w:u w:val="single"/>
        </w:rPr>
        <w:t>material tactics</w:t>
      </w:r>
      <w:r>
        <w:t xml:space="preserve"> for resistance </w:t>
      </w:r>
    </w:p>
    <w:p w14:paraId="6C5B1828" w14:textId="77777777" w:rsidR="00C015B8" w:rsidRDefault="00C015B8" w:rsidP="00C015B8">
      <w:r w:rsidRPr="00BD3760">
        <w:rPr>
          <w:rStyle w:val="Style13ptBold"/>
        </w:rPr>
        <w:t>Webb, 18</w:t>
      </w:r>
      <w:r>
        <w:t xml:space="preserve">—Senior Lecturer in Education at the University of Sheffield (Darren, “Bolt-holes and breathing spaces in the system: On forms of academic resistance (or, can the university be a site of utopian possibility?),” Review of Education, Pedagogy, and Cultural Studies, 40:2, 96-118, </w:t>
      </w:r>
      <w:proofErr w:type="spellStart"/>
      <w:r>
        <w:t>dml</w:t>
      </w:r>
      <w:proofErr w:type="spellEnd"/>
      <w:r>
        <w:t>)</w:t>
      </w:r>
    </w:p>
    <w:p w14:paraId="7DBAAEA3" w14:textId="77777777" w:rsidR="00C015B8" w:rsidRPr="00FB1E1E" w:rsidRDefault="00C015B8" w:rsidP="00C015B8">
      <w:pPr>
        <w:rPr>
          <w:sz w:val="16"/>
        </w:rPr>
      </w:pPr>
      <w:r w:rsidRPr="00FC4DF1">
        <w:rPr>
          <w:rStyle w:val="StyleUnderline"/>
          <w:highlight w:val="yellow"/>
        </w:rPr>
        <w:t xml:space="preserve">It is </w:t>
      </w:r>
      <w:r w:rsidRPr="00FC4DF1">
        <w:rPr>
          <w:rStyle w:val="Emphasis"/>
          <w:highlight w:val="yellow"/>
        </w:rPr>
        <w:t>easy to be seduced</w:t>
      </w:r>
      <w:r w:rsidRPr="00FC4DF1">
        <w:rPr>
          <w:rStyle w:val="StyleUnderline"/>
          <w:highlight w:val="yellow"/>
        </w:rPr>
        <w:t xml:space="preserve"> by the</w:t>
      </w:r>
      <w:r w:rsidRPr="00583068">
        <w:rPr>
          <w:rStyle w:val="StyleUnderline"/>
        </w:rPr>
        <w:t xml:space="preserve"> language of the </w:t>
      </w:r>
      <w:proofErr w:type="spellStart"/>
      <w:r w:rsidRPr="00FC4DF1">
        <w:rPr>
          <w:rStyle w:val="StyleUnderline"/>
          <w:highlight w:val="yellow"/>
        </w:rPr>
        <w:t>undercommons</w:t>
      </w:r>
      <w:proofErr w:type="spellEnd"/>
      <w:r w:rsidRPr="00583068">
        <w:rPr>
          <w:rStyle w:val="StyleUnderline"/>
        </w:rPr>
        <w:t xml:space="preserve">. </w:t>
      </w:r>
      <w:r w:rsidRPr="00FC4DF1">
        <w:rPr>
          <w:rStyle w:val="Emphasis"/>
          <w:highlight w:val="yellow"/>
        </w:rPr>
        <w:t>Embodying</w:t>
      </w:r>
      <w:r w:rsidRPr="00583068">
        <w:rPr>
          <w:rStyle w:val="StyleUnderline"/>
        </w:rPr>
        <w:t xml:space="preserve"> and </w:t>
      </w:r>
      <w:r w:rsidRPr="00BD3760">
        <w:rPr>
          <w:rStyle w:val="Emphasis"/>
        </w:rPr>
        <w:t xml:space="preserve">enacting </w:t>
      </w:r>
      <w:r w:rsidRPr="00FC4DF1">
        <w:rPr>
          <w:rStyle w:val="Emphasis"/>
          <w:highlight w:val="yellow"/>
        </w:rPr>
        <w:t>it</w:t>
      </w:r>
      <w:r w:rsidRPr="00FC4DF1">
        <w:rPr>
          <w:rStyle w:val="StyleUnderline"/>
          <w:highlight w:val="yellow"/>
        </w:rPr>
        <w:t>,</w:t>
      </w:r>
      <w:r w:rsidRPr="00583068">
        <w:rPr>
          <w:rStyle w:val="StyleUnderline"/>
        </w:rPr>
        <w:t xml:space="preserve"> however, </w:t>
      </w:r>
      <w:r w:rsidRPr="00FC4DF1">
        <w:rPr>
          <w:rStyle w:val="StyleUnderline"/>
          <w:highlight w:val="yellow"/>
        </w:rPr>
        <w:t xml:space="preserve">is </w:t>
      </w:r>
      <w:r w:rsidRPr="00FC4DF1">
        <w:rPr>
          <w:rStyle w:val="Emphasis"/>
          <w:highlight w:val="yellow"/>
        </w:rPr>
        <w:t>difficult</w:t>
      </w:r>
      <w:r w:rsidRPr="00BD3760">
        <w:rPr>
          <w:rStyle w:val="Emphasis"/>
        </w:rPr>
        <w:t xml:space="preserve"> indeed</w:t>
      </w:r>
      <w:r w:rsidRPr="00583068">
        <w:rPr>
          <w:rStyle w:val="StyleUnderline"/>
        </w:rPr>
        <w:t xml:space="preserve">. </w:t>
      </w:r>
      <w:r w:rsidRPr="00FC4DF1">
        <w:rPr>
          <w:rStyle w:val="StyleUnderline"/>
          <w:highlight w:val="yellow"/>
        </w:rPr>
        <w:t>Being within and against the university</w:t>
      </w:r>
      <w:r w:rsidRPr="00583068">
        <w:rPr>
          <w:rStyle w:val="StyleUnderline"/>
        </w:rPr>
        <w:t xml:space="preserve">, refusing the call to order through insolent obstructive unprofessionalism, </w:t>
      </w:r>
      <w:r w:rsidRPr="00FC4DF1">
        <w:rPr>
          <w:rStyle w:val="StyleUnderline"/>
          <w:highlight w:val="yellow"/>
        </w:rPr>
        <w:t>is</w:t>
      </w:r>
      <w:r w:rsidRPr="00583068">
        <w:rPr>
          <w:rStyle w:val="StyleUnderline"/>
        </w:rPr>
        <w:t xml:space="preserve"> </w:t>
      </w:r>
      <w:r w:rsidRPr="00BD3760">
        <w:rPr>
          <w:rStyle w:val="Emphasis"/>
        </w:rPr>
        <w:t xml:space="preserve">almost </w:t>
      </w:r>
      <w:r w:rsidRPr="00FC4DF1">
        <w:rPr>
          <w:rStyle w:val="Emphasis"/>
          <w:highlight w:val="yellow"/>
        </w:rPr>
        <w:t>impossible to sustain</w:t>
      </w:r>
      <w:r w:rsidRPr="00FC4DF1">
        <w:rPr>
          <w:sz w:val="16"/>
          <w:highlight w:val="yellow"/>
        </w:rPr>
        <w:t>.</w:t>
      </w:r>
      <w:r w:rsidRPr="00FB1E1E">
        <w:rPr>
          <w:sz w:val="16"/>
        </w:rPr>
        <w:t xml:space="preserve"> Halberstam (2009, 45) describes the </w:t>
      </w:r>
      <w:proofErr w:type="spellStart"/>
      <w:r w:rsidRPr="00FB1E1E">
        <w:rPr>
          <w:sz w:val="16"/>
        </w:rPr>
        <w:t>undercommons</w:t>
      </w:r>
      <w:proofErr w:type="spellEnd"/>
      <w:r w:rsidRPr="00FB1E1E">
        <w:rPr>
          <w:sz w:val="16"/>
        </w:rPr>
        <w:t xml:space="preserve"> as “a marooned community of outcast thinkers who refuse, resist, and renege on the demands of rigor, excellence, and productivity.” </w:t>
      </w:r>
      <w:r w:rsidRPr="00FC4DF1">
        <w:rPr>
          <w:rStyle w:val="StyleUnderline"/>
          <w:highlight w:val="yellow"/>
        </w:rPr>
        <w:t xml:space="preserve">A </w:t>
      </w:r>
      <w:r w:rsidRPr="00FC4DF1">
        <w:rPr>
          <w:rStyle w:val="Emphasis"/>
          <w:highlight w:val="yellow"/>
        </w:rPr>
        <w:t>romantic</w:t>
      </w:r>
      <w:r w:rsidRPr="00583068">
        <w:rPr>
          <w:rStyle w:val="StyleUnderline"/>
        </w:rPr>
        <w:t xml:space="preserve"> and </w:t>
      </w:r>
      <w:r w:rsidRPr="00BD3760">
        <w:rPr>
          <w:rStyle w:val="Emphasis"/>
        </w:rPr>
        <w:t xml:space="preserve">appealing </w:t>
      </w:r>
      <w:r w:rsidRPr="00FC4DF1">
        <w:rPr>
          <w:rStyle w:val="Emphasis"/>
          <w:highlight w:val="yellow"/>
        </w:rPr>
        <w:t>notion</w:t>
      </w:r>
      <w:r w:rsidRPr="00BD3760">
        <w:rPr>
          <w:rStyle w:val="Emphasis"/>
        </w:rPr>
        <w:t xml:space="preserve"> for sure</w:t>
      </w:r>
      <w:r w:rsidRPr="00583068">
        <w:rPr>
          <w:rStyle w:val="StyleUnderline"/>
        </w:rPr>
        <w:t xml:space="preserve"> </w:t>
      </w:r>
      <w:r w:rsidRPr="00FC4DF1">
        <w:rPr>
          <w:rStyle w:val="StyleUnderline"/>
          <w:highlight w:val="yellow"/>
        </w:rPr>
        <w:t>but refusing</w:t>
      </w:r>
      <w:r w:rsidRPr="00583068">
        <w:rPr>
          <w:rStyle w:val="StyleUnderline"/>
        </w:rPr>
        <w:t xml:space="preserve"> and reneging on “the university of </w:t>
      </w:r>
      <w:r w:rsidRPr="00FC4DF1">
        <w:rPr>
          <w:rStyle w:val="StyleUnderline"/>
          <w:highlight w:val="yellow"/>
        </w:rPr>
        <w:t xml:space="preserve">excellence” will </w:t>
      </w:r>
      <w:r w:rsidRPr="00FC4DF1">
        <w:rPr>
          <w:rStyle w:val="Emphasis"/>
          <w:highlight w:val="yellow"/>
        </w:rPr>
        <w:t>cost you your job</w:t>
      </w:r>
      <w:r w:rsidRPr="00FB1E1E">
        <w:rPr>
          <w:sz w:val="16"/>
        </w:rPr>
        <w:t>.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w:t>
      </w:r>
    </w:p>
    <w:p w14:paraId="7DCAAA02" w14:textId="77777777" w:rsidR="00C015B8" w:rsidRPr="00FB1E1E" w:rsidRDefault="00C015B8" w:rsidP="00C015B8">
      <w:pPr>
        <w:rPr>
          <w:sz w:val="16"/>
        </w:rPr>
      </w:pPr>
      <w:r w:rsidRPr="00FB1E1E">
        <w:rPr>
          <w:sz w:val="16"/>
        </w:rPr>
        <w:t xml:space="preserve">Being with and for the maroon community is difficult too. First of all, </w:t>
      </w:r>
      <w:r w:rsidRPr="00583068">
        <w:rPr>
          <w:rStyle w:val="StyleUnderline"/>
        </w:rPr>
        <w:t xml:space="preserve">“Where and how can we find/see the </w:t>
      </w:r>
      <w:proofErr w:type="spellStart"/>
      <w:r w:rsidRPr="00583068">
        <w:rPr>
          <w:rStyle w:val="StyleUnderline"/>
        </w:rPr>
        <w:t>Undercommons</w:t>
      </w:r>
      <w:proofErr w:type="spellEnd"/>
      <w:r w:rsidRPr="00583068">
        <w:rPr>
          <w:rStyle w:val="StyleUnderline"/>
        </w:rPr>
        <w:t xml:space="preserve"> at work?”</w:t>
      </w:r>
      <w:r w:rsidRPr="00FB1E1E">
        <w:rPr>
          <w:sz w:val="16"/>
        </w:rPr>
        <w:t xml:space="preserve"> (</w:t>
      </w:r>
      <w:proofErr w:type="spellStart"/>
      <w:r w:rsidRPr="00FB1E1E">
        <w:rPr>
          <w:sz w:val="16"/>
        </w:rPr>
        <w:t>Ĉiĉigoj</w:t>
      </w:r>
      <w:proofErr w:type="spellEnd"/>
      <w:r w:rsidRPr="00FB1E1E">
        <w:rPr>
          <w:sz w:val="16"/>
        </w:rPr>
        <w:t xml:space="preserve">, </w:t>
      </w:r>
      <w:proofErr w:type="spellStart"/>
      <w:r w:rsidRPr="00FB1E1E">
        <w:rPr>
          <w:sz w:val="16"/>
        </w:rPr>
        <w:t>Apostolou-Hölscher</w:t>
      </w:r>
      <w:proofErr w:type="spellEnd"/>
      <w:r w:rsidRPr="00FB1E1E">
        <w:rPr>
          <w:sz w:val="16"/>
        </w:rPr>
        <w:t xml:space="preserve">, and </w:t>
      </w:r>
      <w:proofErr w:type="spellStart"/>
      <w:r w:rsidRPr="00FB1E1E">
        <w:rPr>
          <w:sz w:val="16"/>
        </w:rPr>
        <w:t>Rusham</w:t>
      </w:r>
      <w:proofErr w:type="spellEnd"/>
      <w:r w:rsidRPr="00FB1E1E">
        <w:rPr>
          <w:sz w:val="16"/>
        </w:rPr>
        <w:t xml:space="preserve"> 2015, 265). </w:t>
      </w:r>
      <w:r w:rsidRPr="00583068">
        <w:rPr>
          <w:rStyle w:val="StyleUnderline"/>
        </w:rPr>
        <w:t>Where and how can one find those liminal spaces of sabotage and subversion, and how does one occupy them</w:t>
      </w:r>
      <w:r w:rsidRPr="00FB1E1E">
        <w:rPr>
          <w:sz w:val="16"/>
        </w:rPr>
        <w:t xml:space="preserve"> in a spirit of </w:t>
      </w:r>
      <w:proofErr w:type="spellStart"/>
      <w:r w:rsidRPr="00FB1E1E">
        <w:rPr>
          <w:sz w:val="16"/>
        </w:rPr>
        <w:t>hapticality</w:t>
      </w:r>
      <w:proofErr w:type="spellEnd"/>
      <w:r w:rsidRPr="00FB1E1E">
        <w:rPr>
          <w:sz w:val="16"/>
        </w:rPr>
        <w:t xml:space="preserve">, study, and militant arrhythmia that brings the utopic underground to the surface of the fierce and urgent now? </w:t>
      </w:r>
      <w:r w:rsidRPr="00583068">
        <w:rPr>
          <w:rStyle w:val="StyleUnderline"/>
        </w:rPr>
        <w:t xml:space="preserve">Beautiful language, but </w:t>
      </w:r>
      <w:r w:rsidRPr="00FC4DF1">
        <w:rPr>
          <w:rStyle w:val="Emphasis"/>
          <w:highlight w:val="yellow"/>
        </w:rPr>
        <w:t>how does one live it</w:t>
      </w:r>
      <w:r w:rsidRPr="00583068">
        <w:rPr>
          <w:rStyle w:val="StyleUnderline"/>
        </w:rPr>
        <w:t>? Networks do, of course, exist</w:t>
      </w:r>
      <w:r w:rsidRPr="00FB1E1E">
        <w:rPr>
          <w:sz w:val="16"/>
        </w:rPr>
        <w:t xml:space="preserve">—the </w:t>
      </w:r>
      <w:proofErr w:type="spellStart"/>
      <w:r w:rsidRPr="00FB1E1E">
        <w:rPr>
          <w:sz w:val="16"/>
        </w:rPr>
        <w:t>Undercommoning</w:t>
      </w:r>
      <w:proofErr w:type="spellEnd"/>
      <w:r w:rsidRPr="00FB1E1E">
        <w:rPr>
          <w:sz w:val="16"/>
        </w:rPr>
        <w:t xml:space="preserve"> Collective, the Edu-Factory Collective, the International Network for Alternative Academia, to name but a few. </w:t>
      </w:r>
      <w:r w:rsidRPr="00583068">
        <w:rPr>
          <w:rStyle w:val="StyleUnderline"/>
        </w:rPr>
        <w:t xml:space="preserve">These are promising spaces for bringing together and harboring the maroons and the fugitives. But </w:t>
      </w:r>
      <w:r w:rsidRPr="00FC4DF1">
        <w:rPr>
          <w:rStyle w:val="StyleUnderline"/>
          <w:highlight w:val="yellow"/>
        </w:rPr>
        <w:t>networks are</w:t>
      </w:r>
      <w:r w:rsidRPr="00583068">
        <w:rPr>
          <w:rStyle w:val="StyleUnderline"/>
        </w:rPr>
        <w:t xml:space="preserve"> </w:t>
      </w:r>
      <w:r w:rsidRPr="00BD3760">
        <w:rPr>
          <w:rStyle w:val="Emphasis"/>
        </w:rPr>
        <w:t xml:space="preserve">typically </w:t>
      </w:r>
      <w:r w:rsidRPr="00FC4DF1">
        <w:rPr>
          <w:rStyle w:val="Emphasis"/>
          <w:highlight w:val="yellow"/>
        </w:rPr>
        <w:t>short-lived</w:t>
      </w:r>
      <w:r w:rsidRPr="00583068">
        <w:rPr>
          <w:rStyle w:val="StyleUnderline"/>
        </w:rPr>
        <w:t>, and</w:t>
      </w:r>
      <w:r w:rsidRPr="00FB1E1E">
        <w:rPr>
          <w:sz w:val="16"/>
        </w:rPr>
        <w:t>—as Harney and Moten warned—</w:t>
      </w:r>
      <w:r w:rsidRPr="00583068">
        <w:rPr>
          <w:rStyle w:val="StyleUnderline"/>
        </w:rPr>
        <w:t xml:space="preserve">there is a danger of </w:t>
      </w:r>
      <w:r w:rsidRPr="00BD3760">
        <w:rPr>
          <w:rStyle w:val="Emphasis"/>
        </w:rPr>
        <w:t>institutionalization</w:t>
      </w:r>
      <w:r w:rsidRPr="00583068">
        <w:rPr>
          <w:rStyle w:val="StyleUnderline"/>
        </w:rPr>
        <w:t xml:space="preserve">, of </w:t>
      </w:r>
      <w:r w:rsidRPr="00BD3760">
        <w:rPr>
          <w:rStyle w:val="Emphasis"/>
        </w:rPr>
        <w:t>taking institutional practices with you</w:t>
      </w:r>
      <w:r w:rsidRPr="00583068">
        <w:rPr>
          <w:rStyle w:val="StyleUnderline"/>
        </w:rPr>
        <w:t xml:space="preserve"> into alternative spaces “because we’ve </w:t>
      </w:r>
      <w:r w:rsidRPr="00BD3760">
        <w:rPr>
          <w:rStyle w:val="Emphasis"/>
        </w:rPr>
        <w:t>been inside so much</w:t>
      </w:r>
      <w:r w:rsidRPr="00583068">
        <w:rPr>
          <w:rStyle w:val="StyleUnderline"/>
        </w:rPr>
        <w:t>”</w:t>
      </w:r>
      <w:r w:rsidRPr="00FB1E1E">
        <w:rPr>
          <w:sz w:val="16"/>
        </w:rPr>
        <w:t xml:space="preserve"> (Harney and Moten 2013, 148). </w:t>
      </w:r>
      <w:r w:rsidRPr="00583068">
        <w:rPr>
          <w:rStyle w:val="StyleUnderline"/>
        </w:rPr>
        <w:t xml:space="preserve">And so, </w:t>
      </w:r>
      <w:r w:rsidRPr="00BD3760">
        <w:rPr>
          <w:rStyle w:val="Emphasis"/>
        </w:rPr>
        <w:t>predictably</w:t>
      </w:r>
      <w:r w:rsidRPr="00583068">
        <w:rPr>
          <w:rStyle w:val="StyleUnderline"/>
        </w:rPr>
        <w:t xml:space="preserve">, </w:t>
      </w:r>
      <w:r w:rsidRPr="00FC4DF1">
        <w:rPr>
          <w:rStyle w:val="StyleUnderline"/>
          <w:highlight w:val="yellow"/>
        </w:rPr>
        <w:t>meetings</w:t>
      </w:r>
      <w:r w:rsidRPr="00583068">
        <w:rPr>
          <w:rStyle w:val="StyleUnderline"/>
        </w:rPr>
        <w:t xml:space="preserve"> of the fugitives come </w:t>
      </w:r>
      <w:r w:rsidRPr="00FC4DF1">
        <w:rPr>
          <w:rStyle w:val="StyleUnderline"/>
          <w:highlight w:val="yellow"/>
        </w:rPr>
        <w:t xml:space="preserve">with </w:t>
      </w:r>
      <w:r w:rsidRPr="00FC4DF1">
        <w:rPr>
          <w:rStyle w:val="Emphasis"/>
          <w:highlight w:val="yellow"/>
        </w:rPr>
        <w:t>structure</w:t>
      </w:r>
      <w:r w:rsidRPr="00FC4DF1">
        <w:rPr>
          <w:rStyle w:val="StyleUnderline"/>
          <w:highlight w:val="yellow"/>
        </w:rPr>
        <w:t xml:space="preserve">, </w:t>
      </w:r>
      <w:r w:rsidRPr="00FC4DF1">
        <w:rPr>
          <w:rStyle w:val="Emphasis"/>
          <w:highlight w:val="yellow"/>
        </w:rPr>
        <w:t>order</w:t>
      </w:r>
      <w:r w:rsidRPr="00FB1E1E">
        <w:rPr>
          <w:sz w:val="16"/>
        </w:rPr>
        <w:t xml:space="preserve">, an official agenda, and circulated minutes. The outcasts convene in conventional academic conferences, with parallel sessions, panels of papers, lunch breaks, wine and nibbles (e.g., Edu-Factory 2012). </w:t>
      </w:r>
      <w:r w:rsidRPr="00583068">
        <w:rPr>
          <w:rStyle w:val="StyleUnderline"/>
        </w:rPr>
        <w:t xml:space="preserve">These spaces </w:t>
      </w:r>
      <w:r w:rsidRPr="00FC4DF1">
        <w:rPr>
          <w:rStyle w:val="StyleUnderline"/>
          <w:highlight w:val="yellow"/>
        </w:rPr>
        <w:t xml:space="preserve">offer </w:t>
      </w:r>
      <w:r w:rsidRPr="00FC4DF1">
        <w:rPr>
          <w:rStyle w:val="Emphasis"/>
          <w:highlight w:val="yellow"/>
        </w:rPr>
        <w:t>time out</w:t>
      </w:r>
      <w:r w:rsidRPr="00583068">
        <w:rPr>
          <w:rStyle w:val="StyleUnderline"/>
        </w:rPr>
        <w:t xml:space="preserve">, </w:t>
      </w:r>
      <w:r w:rsidRPr="00BD3760">
        <w:rPr>
          <w:rStyle w:val="Emphasis"/>
        </w:rPr>
        <w:t>welcome respite</w:t>
      </w:r>
      <w:r w:rsidRPr="00FB1E1E">
        <w:rPr>
          <w:sz w:val="16"/>
        </w:rPr>
        <w:t xml:space="preserve">, a breathing space, a trip abroad, </w:t>
      </w:r>
      <w:r w:rsidRPr="00FC4DF1">
        <w:rPr>
          <w:rStyle w:val="StyleUnderline"/>
          <w:highlight w:val="yellow"/>
        </w:rPr>
        <w:t xml:space="preserve">and then one </w:t>
      </w:r>
      <w:r w:rsidRPr="00FC4DF1">
        <w:rPr>
          <w:rStyle w:val="Emphasis"/>
          <w:highlight w:val="yellow"/>
        </w:rPr>
        <w:t>returns to work</w:t>
      </w:r>
      <w:r w:rsidRPr="00FC4DF1">
        <w:rPr>
          <w:sz w:val="16"/>
          <w:highlight w:val="yellow"/>
        </w:rPr>
        <w:t>.</w:t>
      </w:r>
      <w:r w:rsidRPr="00FB1E1E">
        <w:rPr>
          <w:sz w:val="16"/>
        </w:rPr>
        <w:t xml:space="preserve"> </w:t>
      </w:r>
    </w:p>
    <w:p w14:paraId="62E9063C" w14:textId="77777777" w:rsidR="00C015B8" w:rsidRPr="00FC4DF1" w:rsidRDefault="00C015B8" w:rsidP="00C015B8">
      <w:pPr>
        <w:rPr>
          <w:sz w:val="16"/>
          <w:highlight w:val="yellow"/>
        </w:rPr>
      </w:pPr>
      <w:r w:rsidRPr="00583068">
        <w:rPr>
          <w:rStyle w:val="StyleUnderline"/>
        </w:rPr>
        <w:t xml:space="preserve">If </w:t>
      </w:r>
      <w:proofErr w:type="spellStart"/>
      <w:r w:rsidRPr="00583068">
        <w:rPr>
          <w:rStyle w:val="StyleUnderline"/>
        </w:rPr>
        <w:t>hapticality</w:t>
      </w:r>
      <w:proofErr w:type="spellEnd"/>
      <w:r w:rsidRPr="00583068">
        <w:rPr>
          <w:rStyle w:val="StyleUnderline"/>
        </w:rPr>
        <w:t xml:space="preserve">, the touch of the </w:t>
      </w:r>
      <w:proofErr w:type="spellStart"/>
      <w:r w:rsidRPr="00583068">
        <w:rPr>
          <w:rStyle w:val="StyleUnderline"/>
        </w:rPr>
        <w:t>undercommons</w:t>
      </w:r>
      <w:proofErr w:type="spellEnd"/>
      <w:r w:rsidRPr="00583068">
        <w:rPr>
          <w:rStyle w:val="StyleUnderline"/>
        </w:rPr>
        <w:t xml:space="preserve">, is “a </w:t>
      </w:r>
      <w:r w:rsidRPr="00BD3760">
        <w:rPr>
          <w:rStyle w:val="Emphasis"/>
        </w:rPr>
        <w:t>visceral register of experience</w:t>
      </w:r>
      <w:r w:rsidRPr="00FB1E1E">
        <w:rPr>
          <w:sz w:val="16"/>
        </w:rPr>
        <w:t xml:space="preserve"> … the feel that what is to come is here” (Bradley 2014, 129–130), </w:t>
      </w:r>
      <w:r w:rsidRPr="00583068">
        <w:rPr>
          <w:rStyle w:val="StyleUnderline"/>
        </w:rPr>
        <w:t xml:space="preserve">then this seems </w:t>
      </w:r>
      <w:r w:rsidRPr="00BD3760">
        <w:rPr>
          <w:rStyle w:val="Emphasis"/>
        </w:rPr>
        <w:t>elusive</w:t>
      </w:r>
      <w:r w:rsidRPr="00FB1E1E">
        <w:rPr>
          <w:sz w:val="16"/>
        </w:rPr>
        <w:t xml:space="preserve">. It is hard to detect a sense of the utopic </w:t>
      </w:r>
      <w:proofErr w:type="spellStart"/>
      <w:r w:rsidRPr="00FB1E1E">
        <w:rPr>
          <w:sz w:val="16"/>
        </w:rPr>
        <w:t>undercommons</w:t>
      </w:r>
      <w:proofErr w:type="spellEnd"/>
      <w:r w:rsidRPr="00FB1E1E">
        <w:rPr>
          <w:sz w:val="16"/>
        </w:rPr>
        <w:t xml:space="preserve"> rising to the surface of the corporate-imperial university. </w:t>
      </w:r>
      <w:r w:rsidRPr="00583068">
        <w:rPr>
          <w:rStyle w:val="StyleUnderline"/>
        </w:rPr>
        <w:t>Moten describes the call to disorder and to study as a way to “excavate new aesthetic, political, and economic dispositions”</w:t>
      </w:r>
      <w:r w:rsidRPr="00FB1E1E">
        <w:rPr>
          <w:sz w:val="16"/>
        </w:rPr>
        <w:t xml:space="preserve"> (Moten 2008, 1745). </w:t>
      </w:r>
      <w:r w:rsidRPr="00583068">
        <w:rPr>
          <w:rStyle w:val="StyleUnderline"/>
        </w:rPr>
        <w:t xml:space="preserve">But </w:t>
      </w:r>
      <w:r w:rsidRPr="00FC4DF1">
        <w:rPr>
          <w:rStyle w:val="StyleUnderline"/>
          <w:highlight w:val="yellow"/>
        </w:rPr>
        <w:t>this notion</w:t>
      </w:r>
      <w:r w:rsidRPr="00583068">
        <w:rPr>
          <w:rStyle w:val="StyleUnderline"/>
        </w:rPr>
        <w:t xml:space="preserve"> of excavating </w:t>
      </w:r>
      <w:r w:rsidRPr="00FC4DF1">
        <w:rPr>
          <w:rStyle w:val="StyleUnderline"/>
          <w:highlight w:val="yellow"/>
        </w:rPr>
        <w:t xml:space="preserve">is </w:t>
      </w:r>
      <w:r w:rsidRPr="00FC4DF1">
        <w:rPr>
          <w:rStyle w:val="Emphasis"/>
          <w:highlight w:val="yellow"/>
        </w:rPr>
        <w:t>highly problematic</w:t>
      </w:r>
      <w:r w:rsidRPr="00583068">
        <w:rPr>
          <w:rStyle w:val="StyleUnderline"/>
        </w:rPr>
        <w:t>. It is common within the discourse of “everyday utopianism”</w:t>
      </w:r>
      <w:r w:rsidRPr="00FB1E1E">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xml:space="preserve">: excavating repressed desires, submerged longings, suppressed histories, untapped possibilities. But </w:t>
      </w:r>
      <w:r w:rsidRPr="00FC4DF1">
        <w:rPr>
          <w:rStyle w:val="StyleUnderline"/>
          <w:highlight w:val="yellow"/>
        </w:rPr>
        <w:t xml:space="preserve">the </w:t>
      </w:r>
      <w:r w:rsidRPr="00FC4DF1">
        <w:rPr>
          <w:rStyle w:val="Emphasis"/>
          <w:highlight w:val="yellow"/>
        </w:rPr>
        <w:t>fundamental questions of where to dig</w:t>
      </w:r>
      <w:r w:rsidRPr="00FC4DF1">
        <w:rPr>
          <w:rStyle w:val="StyleUnderline"/>
          <w:highlight w:val="yellow"/>
        </w:rPr>
        <w:t xml:space="preserve"> and </w:t>
      </w:r>
      <w:r w:rsidRPr="00FC4DF1">
        <w:rPr>
          <w:rStyle w:val="Emphasis"/>
          <w:highlight w:val="yellow"/>
        </w:rPr>
        <w:t>how to identify</w:t>
      </w:r>
      <w:r w:rsidRPr="00FC4DF1">
        <w:rPr>
          <w:rStyle w:val="StyleUnderline"/>
          <w:highlight w:val="yellow"/>
        </w:rPr>
        <w:t xml:space="preserve"> a utopian “find” are </w:t>
      </w:r>
      <w:r w:rsidRPr="00FC4DF1">
        <w:rPr>
          <w:rStyle w:val="Emphasis"/>
          <w:highlight w:val="yellow"/>
        </w:rPr>
        <w:t>never adequately addressed</w:t>
      </w:r>
      <w:r w:rsidRPr="00FB1E1E">
        <w:rPr>
          <w:sz w:val="16"/>
        </w:rPr>
        <w:t xml:space="preserve"> (see Webb 2017). </w:t>
      </w:r>
      <w:r w:rsidRPr="00583068">
        <w:rPr>
          <w:rStyle w:val="StyleUnderline"/>
        </w:rPr>
        <w:t>Gardiner defines utopia as “a series of forces, tendencies and possibilities that are immanent in the here and now, in the pragmatic activities of everyday life”</w:t>
      </w:r>
      <w:r w:rsidRPr="00FB1E1E">
        <w:rPr>
          <w:sz w:val="16"/>
        </w:rPr>
        <w:t xml:space="preserve"> (2006, 2). </w:t>
      </w:r>
      <w:r w:rsidRPr="00583068">
        <w:rPr>
          <w:rStyle w:val="StyleUnderline"/>
        </w:rPr>
        <w:t xml:space="preserve">But how are these forces, tendencies and possibilities to be </w:t>
      </w:r>
      <w:r w:rsidRPr="00BD3760">
        <w:rPr>
          <w:rStyle w:val="Emphasis"/>
        </w:rPr>
        <w:t>identified</w:t>
      </w:r>
      <w:r w:rsidRPr="00583068">
        <w:rPr>
          <w:rStyle w:val="StyleUnderline"/>
        </w:rPr>
        <w:t xml:space="preserve"> and </w:t>
      </w:r>
      <w:r w:rsidRPr="00BD3760">
        <w:rPr>
          <w:rStyle w:val="Emphasis"/>
        </w:rPr>
        <w:t>recovered</w:t>
      </w:r>
      <w:r w:rsidRPr="00583068">
        <w:rPr>
          <w:rStyle w:val="StyleUnderline"/>
        </w:rPr>
        <w:t>?</w:t>
      </w:r>
      <w:r w:rsidRPr="00FB1E1E">
        <w:rPr>
          <w:sz w:val="16"/>
        </w:rPr>
        <w:t xml:space="preserve"> </w:t>
      </w:r>
      <w:r w:rsidRPr="00583068">
        <w:rPr>
          <w:rStyle w:val="StyleUnderline"/>
        </w:rPr>
        <w:t xml:space="preserve">For Harney and Moten, it is through </w:t>
      </w:r>
      <w:r w:rsidRPr="00FC4DF1">
        <w:rPr>
          <w:rStyle w:val="Emphasis"/>
          <w:highlight w:val="yellow"/>
        </w:rPr>
        <w:t>study</w:t>
      </w:r>
      <w:r w:rsidRPr="00583068">
        <w:rPr>
          <w:rStyle w:val="StyleUnderline"/>
        </w:rPr>
        <w:t xml:space="preserve">, </w:t>
      </w:r>
      <w:proofErr w:type="spellStart"/>
      <w:r w:rsidRPr="00BD3760">
        <w:rPr>
          <w:rStyle w:val="Emphasis"/>
        </w:rPr>
        <w:t>hapticality</w:t>
      </w:r>
      <w:proofErr w:type="spellEnd"/>
      <w:r w:rsidRPr="00583068">
        <w:rPr>
          <w:rStyle w:val="StyleUnderline"/>
        </w:rPr>
        <w:t xml:space="preserve"> </w:t>
      </w:r>
      <w:r w:rsidRPr="00FC4DF1">
        <w:rPr>
          <w:rStyle w:val="StyleUnderline"/>
          <w:highlight w:val="yellow"/>
        </w:rPr>
        <w:t>and</w:t>
      </w:r>
      <w:r w:rsidRPr="00583068">
        <w:rPr>
          <w:rStyle w:val="StyleUnderline"/>
        </w:rPr>
        <w:t xml:space="preserve"> </w:t>
      </w:r>
      <w:r w:rsidRPr="00FC4DF1">
        <w:rPr>
          <w:rStyle w:val="Emphasis"/>
          <w:highlight w:val="yellow"/>
        </w:rPr>
        <w:t>militant arrhythmia</w:t>
      </w:r>
      <w:r w:rsidRPr="00583068">
        <w:rPr>
          <w:rStyle w:val="StyleUnderline"/>
        </w:rPr>
        <w:t xml:space="preserve">. These </w:t>
      </w:r>
      <w:r w:rsidRPr="00FC4DF1">
        <w:rPr>
          <w:rStyle w:val="StyleUnderline"/>
          <w:highlight w:val="yellow"/>
        </w:rPr>
        <w:t xml:space="preserve">are </w:t>
      </w:r>
      <w:proofErr w:type="spellStart"/>
      <w:r w:rsidRPr="00FC4DF1">
        <w:rPr>
          <w:rStyle w:val="Emphasis"/>
          <w:highlight w:val="yellow"/>
        </w:rPr>
        <w:t>slippy</w:t>
      </w:r>
      <w:proofErr w:type="spellEnd"/>
      <w:r w:rsidRPr="00FC4DF1">
        <w:rPr>
          <w:rStyle w:val="Emphasis"/>
          <w:highlight w:val="yellow"/>
        </w:rPr>
        <w:t xml:space="preserve"> concepts</w:t>
      </w:r>
      <w:r w:rsidRPr="00583068">
        <w:rPr>
          <w:rStyle w:val="StyleUnderline"/>
        </w:rPr>
        <w:t xml:space="preserve">, however, </w:t>
      </w:r>
      <w:r w:rsidRPr="00FC4DF1">
        <w:rPr>
          <w:rStyle w:val="Emphasis"/>
          <w:highlight w:val="yellow"/>
        </w:rPr>
        <w:t>evading concrete material referents</w:t>
      </w:r>
      <w:r w:rsidRPr="00FC4DF1">
        <w:rPr>
          <w:sz w:val="16"/>
          <w:highlight w:val="yellow"/>
        </w:rPr>
        <w:t xml:space="preserve">. </w:t>
      </w:r>
    </w:p>
    <w:p w14:paraId="20A12136" w14:textId="77777777" w:rsidR="00C015B8" w:rsidRPr="00583068" w:rsidRDefault="00C015B8" w:rsidP="00C015B8">
      <w:pPr>
        <w:rPr>
          <w:rStyle w:val="StyleUnderline"/>
        </w:rPr>
      </w:pPr>
      <w:r w:rsidRPr="00FB1E1E">
        <w:rPr>
          <w:sz w:val="16"/>
        </w:rPr>
        <w:t xml:space="preserve">What is it to inhabit the </w:t>
      </w:r>
      <w:proofErr w:type="spellStart"/>
      <w:r w:rsidRPr="00FB1E1E">
        <w:rPr>
          <w:sz w:val="16"/>
        </w:rPr>
        <w:t>undercommons</w:t>
      </w:r>
      <w:proofErr w:type="spellEnd"/>
      <w:r w:rsidRPr="00FB1E1E">
        <w:rPr>
          <w:sz w:val="16"/>
        </w:rPr>
        <w:t xml:space="preserve">? Those who have written of their experiences refer to “small acts of </w:t>
      </w:r>
      <w:proofErr w:type="spellStart"/>
      <w:r w:rsidRPr="00FB1E1E">
        <w:rPr>
          <w:sz w:val="16"/>
        </w:rPr>
        <w:t>marronage</w:t>
      </w:r>
      <w:proofErr w:type="spellEnd"/>
      <w:r w:rsidRPr="00FB1E1E">
        <w:rPr>
          <w:sz w:val="16"/>
        </w:rPr>
        <w:t xml:space="preserve">” such as poaching resources and redeploying them in ways at odds with the university’s designs and demands (Reddy 2016, 7), or exploiting funding streams “to form cracks in the institution that enable the Others to invade the university” (Smith, Dyke, and Hermes 2013, 150). For </w:t>
      </w:r>
      <w:proofErr w:type="spellStart"/>
      <w:r w:rsidRPr="00FB1E1E">
        <w:rPr>
          <w:sz w:val="16"/>
        </w:rPr>
        <w:t>Adusei-Poku</w:t>
      </w:r>
      <w:proofErr w:type="spellEnd"/>
      <w:r w:rsidRPr="00FB1E1E">
        <w:rPr>
          <w:sz w:val="16"/>
        </w:rPr>
        <w:t xml:space="preserve"> (2015), the </w:t>
      </w:r>
      <w:proofErr w:type="spellStart"/>
      <w:r w:rsidRPr="00FB1E1E">
        <w:rPr>
          <w:sz w:val="16"/>
        </w:rPr>
        <w:t>undercommons</w:t>
      </w:r>
      <w:proofErr w:type="spellEnd"/>
      <w:r w:rsidRPr="00FB1E1E">
        <w:rPr>
          <w:sz w:val="16"/>
        </w:rPr>
        <w:t xml:space="preserve"> is a space of refuge which is all about survival (2015, 4–5). We who feel homeless in the university are forced into refuge. We gather together to survive. </w:t>
      </w:r>
      <w:r w:rsidRPr="00583068">
        <w:rPr>
          <w:rStyle w:val="StyleUnderline"/>
        </w:rPr>
        <w:t xml:space="preserve">We may </w:t>
      </w:r>
      <w:r w:rsidRPr="00BD3760">
        <w:rPr>
          <w:rStyle w:val="Emphasis"/>
        </w:rPr>
        <w:t xml:space="preserve">gain satisfaction from small acts of </w:t>
      </w:r>
      <w:proofErr w:type="spellStart"/>
      <w:r w:rsidRPr="00BD3760">
        <w:rPr>
          <w:rStyle w:val="Emphasis"/>
        </w:rPr>
        <w:t>marronage</w:t>
      </w:r>
      <w:proofErr w:type="spellEnd"/>
      <w:r w:rsidRPr="00583068">
        <w:rPr>
          <w:rStyle w:val="StyleUnderline"/>
        </w:rPr>
        <w:t>, but this is less about bringing the utopic common underground to the surface as it is a form of “</w:t>
      </w:r>
      <w:r w:rsidRPr="00BD3760">
        <w:rPr>
          <w:rStyle w:val="Emphasis"/>
        </w:rPr>
        <w:t>radical escapism</w:t>
      </w:r>
      <w:r w:rsidRPr="00583068">
        <w:rPr>
          <w:rStyle w:val="StyleUnderline"/>
        </w:rPr>
        <w:t>”</w:t>
      </w:r>
      <w:r w:rsidRPr="00FB1E1E">
        <w:rPr>
          <w:sz w:val="16"/>
        </w:rPr>
        <w:t xml:space="preserve"> (</w:t>
      </w:r>
      <w:proofErr w:type="spellStart"/>
      <w:r w:rsidRPr="00FB1E1E">
        <w:rPr>
          <w:sz w:val="16"/>
        </w:rPr>
        <w:t>Adusei-Poku</w:t>
      </w:r>
      <w:proofErr w:type="spellEnd"/>
      <w:r w:rsidRPr="00FB1E1E">
        <w:rPr>
          <w:sz w:val="16"/>
        </w:rPr>
        <w:t xml:space="preserve"> 2015, 4). </w:t>
      </w:r>
      <w:proofErr w:type="spellStart"/>
      <w:r w:rsidRPr="00FB1E1E">
        <w:rPr>
          <w:sz w:val="16"/>
        </w:rPr>
        <w:t>Benveniste</w:t>
      </w:r>
      <w:proofErr w:type="spellEnd"/>
      <w:r w:rsidRPr="00FB1E1E">
        <w:rPr>
          <w:sz w:val="16"/>
        </w:rPr>
        <w:t xml:space="preserve"> (2015, v) tells us that: “The </w:t>
      </w:r>
      <w:proofErr w:type="spellStart"/>
      <w:r w:rsidRPr="00FB1E1E">
        <w:rPr>
          <w:sz w:val="16"/>
        </w:rPr>
        <w:t>undercommons</w:t>
      </w:r>
      <w:proofErr w:type="spellEnd"/>
      <w:r w:rsidRPr="00FB1E1E">
        <w:rPr>
          <w:sz w:val="16"/>
        </w:rPr>
        <w:t xml:space="preserve"> has no set location and no return address. There is no map for entering and no guide for staying. The only condition is a living appetite. Listen to its hunger for difference.” </w:t>
      </w:r>
      <w:r w:rsidRPr="00FC4DF1">
        <w:rPr>
          <w:rStyle w:val="StyleUnderline"/>
          <w:highlight w:val="yellow"/>
        </w:rPr>
        <w:t xml:space="preserve">We need </w:t>
      </w:r>
      <w:r w:rsidRPr="00FC4DF1">
        <w:rPr>
          <w:rStyle w:val="Emphasis"/>
          <w:highlight w:val="yellow"/>
        </w:rPr>
        <w:t>more than poetry</w:t>
      </w:r>
      <w:r w:rsidRPr="00FB1E1E">
        <w:rPr>
          <w:sz w:val="16"/>
        </w:rPr>
        <w:t xml:space="preserve">, however. </w:t>
      </w:r>
      <w:r w:rsidRPr="00583068">
        <w:rPr>
          <w:rStyle w:val="StyleUnderline"/>
        </w:rPr>
        <w:t>And we need more than a series of minor acts of resistance</w:t>
      </w:r>
      <w:r w:rsidRPr="00FB1E1E">
        <w:rPr>
          <w:sz w:val="16"/>
        </w:rPr>
        <w:t xml:space="preserve">. As Srnicek and Williams rightly emphasize, </w:t>
      </w:r>
      <w:r w:rsidRPr="00557665">
        <w:rPr>
          <w:rStyle w:val="StyleUnderline"/>
        </w:rPr>
        <w:t xml:space="preserve">resistance is a </w:t>
      </w:r>
      <w:r w:rsidRPr="00557665">
        <w:rPr>
          <w:rStyle w:val="Emphasis"/>
        </w:rPr>
        <w:t>defensive</w:t>
      </w:r>
      <w:r w:rsidRPr="00557665">
        <w:rPr>
          <w:rStyle w:val="StyleUnderline"/>
        </w:rPr>
        <w:t xml:space="preserve">, </w:t>
      </w:r>
      <w:r w:rsidRPr="00557665">
        <w:rPr>
          <w:rStyle w:val="Emphasis"/>
        </w:rPr>
        <w:t>reactive gesture</w:t>
      </w:r>
      <w:r w:rsidRPr="00557665">
        <w:rPr>
          <w:rStyle w:val="StyleUnderline"/>
        </w:rPr>
        <w:t xml:space="preserve">, </w:t>
      </w:r>
      <w:r w:rsidRPr="00557665">
        <w:rPr>
          <w:rStyle w:val="Emphasis"/>
        </w:rPr>
        <w:t>resisting against</w:t>
      </w:r>
      <w:r w:rsidRPr="00557665">
        <w:rPr>
          <w:rStyle w:val="StyleUnderline"/>
        </w:rPr>
        <w:t xml:space="preserve">. Resistance is </w:t>
      </w:r>
      <w:r w:rsidRPr="00557665">
        <w:rPr>
          <w:rStyle w:val="Emphasis"/>
        </w:rPr>
        <w:t xml:space="preserve">not a utopian </w:t>
      </w:r>
      <w:proofErr w:type="spellStart"/>
      <w:r w:rsidRPr="00557665">
        <w:rPr>
          <w:rStyle w:val="Emphasis"/>
        </w:rPr>
        <w:t>endeavour</w:t>
      </w:r>
      <w:proofErr w:type="spellEnd"/>
      <w:r w:rsidRPr="00557665">
        <w:rPr>
          <w:rStyle w:val="StyleUnderline"/>
        </w:rPr>
        <w:t>:</w:t>
      </w:r>
      <w:r w:rsidRPr="00583068">
        <w:rPr>
          <w:rStyle w:val="StyleUnderline"/>
        </w:rPr>
        <w:t xml:space="preserve"> “</w:t>
      </w:r>
      <w:r w:rsidRPr="00FC4DF1">
        <w:rPr>
          <w:rStyle w:val="StyleUnderline"/>
          <w:highlight w:val="yellow"/>
        </w:rPr>
        <w:t xml:space="preserve">We </w:t>
      </w:r>
      <w:r w:rsidRPr="00FC4DF1">
        <w:rPr>
          <w:rStyle w:val="Emphasis"/>
          <w:highlight w:val="yellow"/>
        </w:rPr>
        <w:t>do not resist a new world into being</w:t>
      </w:r>
      <w:r w:rsidRPr="00FC4DF1">
        <w:rPr>
          <w:rStyle w:val="StyleUnderline"/>
          <w:highlight w:val="yellow"/>
        </w:rPr>
        <w:t>”</w:t>
      </w:r>
      <w:r w:rsidRPr="00FB1E1E">
        <w:rPr>
          <w:sz w:val="16"/>
        </w:rPr>
        <w:t xml:space="preserve"> (Srnicek and Williams 2016, 47). </w:t>
      </w:r>
      <w:r w:rsidRPr="00583068">
        <w:rPr>
          <w:rStyle w:val="StyleUnderline"/>
        </w:rPr>
        <w:t xml:space="preserve">The </w:t>
      </w:r>
      <w:proofErr w:type="spellStart"/>
      <w:r w:rsidRPr="00583068">
        <w:rPr>
          <w:rStyle w:val="StyleUnderline"/>
        </w:rPr>
        <w:t>undercommons</w:t>
      </w:r>
      <w:proofErr w:type="spellEnd"/>
      <w:r w:rsidRPr="00583068">
        <w:rPr>
          <w:rStyle w:val="StyleUnderline"/>
        </w:rPr>
        <w:t xml:space="preserve">, when one can find it, is a </w:t>
      </w:r>
      <w:r w:rsidRPr="00BD3760">
        <w:rPr>
          <w:rStyle w:val="Emphasis"/>
        </w:rPr>
        <w:t>bolt hole</w:t>
      </w:r>
      <w:r w:rsidRPr="00583068">
        <w:rPr>
          <w:rStyle w:val="StyleUnderline"/>
        </w:rPr>
        <w:t xml:space="preserve">, a </w:t>
      </w:r>
      <w:r w:rsidRPr="00BD3760">
        <w:rPr>
          <w:rStyle w:val="Emphasis"/>
        </w:rPr>
        <w:t>place of refuge</w:t>
      </w:r>
      <w:r w:rsidRPr="00583068">
        <w:rPr>
          <w:rStyle w:val="StyleUnderline"/>
        </w:rPr>
        <w:t xml:space="preserve">, a </w:t>
      </w:r>
      <w:r w:rsidRPr="00BD3760">
        <w:rPr>
          <w:rStyle w:val="Emphasis"/>
        </w:rPr>
        <w:t>breathing space</w:t>
      </w:r>
      <w:r w:rsidRPr="00583068">
        <w:rPr>
          <w:rStyle w:val="StyleUnderline"/>
        </w:rPr>
        <w:t xml:space="preserve"> in the system. We need </w:t>
      </w:r>
      <w:r w:rsidRPr="00BD3760">
        <w:rPr>
          <w:rStyle w:val="Emphasis"/>
        </w:rPr>
        <w:t>something more</w:t>
      </w:r>
      <w:r w:rsidRPr="00583068">
        <w:rPr>
          <w:rStyle w:val="StyleUnderline"/>
        </w:rPr>
        <w:t xml:space="preserve">. </w:t>
      </w:r>
    </w:p>
    <w:p w14:paraId="6083E04B" w14:textId="77777777" w:rsidR="00C015B8" w:rsidRPr="00FB1E1E" w:rsidRDefault="00C015B8" w:rsidP="00C015B8">
      <w:pPr>
        <w:rPr>
          <w:sz w:val="16"/>
          <w:szCs w:val="10"/>
        </w:rPr>
      </w:pPr>
      <w:r w:rsidRPr="00FB1E1E">
        <w:rPr>
          <w:sz w:val="16"/>
          <w:szCs w:val="10"/>
        </w:rPr>
        <w:t>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FB1E1E">
        <w:rPr>
          <w:sz w:val="16"/>
          <w:szCs w:val="10"/>
        </w:rPr>
        <w:t>WeinStein</w:t>
      </w:r>
      <w:proofErr w:type="spellEnd"/>
      <w:r w:rsidRPr="00FB1E1E">
        <w:rPr>
          <w:sz w:val="16"/>
          <w:szCs w:val="10"/>
        </w:rPr>
        <w:t xml:space="preserve"> 2015, 11), the importance of faculty support for the occupations was emphasized on both sides of the Atlantic (Research and Destroy 2010, 11; Dawson 2011, 112; Holmes and R&amp;D and Dead </w:t>
      </w:r>
      <w:proofErr w:type="spellStart"/>
      <w:r w:rsidRPr="00FB1E1E">
        <w:rPr>
          <w:sz w:val="16"/>
          <w:szCs w:val="10"/>
        </w:rPr>
        <w:t>Labour</w:t>
      </w:r>
      <w:proofErr w:type="spellEnd"/>
      <w:r w:rsidRPr="00FB1E1E">
        <w:rPr>
          <w:sz w:val="16"/>
          <w:szCs w:val="10"/>
        </w:rPr>
        <w:t xml:space="preserve"> 2011, 14; Ismail 2011, 128; Newfield and </w:t>
      </w:r>
      <w:proofErr w:type="spellStart"/>
      <w:r w:rsidRPr="00FB1E1E">
        <w:rPr>
          <w:sz w:val="16"/>
          <w:szCs w:val="10"/>
        </w:rPr>
        <w:t>EduFactory</w:t>
      </w:r>
      <w:proofErr w:type="spellEnd"/>
      <w:r w:rsidRPr="00FB1E1E">
        <w:rPr>
          <w:sz w:val="16"/>
          <w:szCs w:val="10"/>
        </w:rPr>
        <w:t xml:space="preserve">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FB1E1E">
        <w:rPr>
          <w:sz w:val="16"/>
          <w:szCs w:val="10"/>
        </w:rPr>
        <w:t>Shukaitis</w:t>
      </w:r>
      <w:proofErr w:type="spellEnd"/>
      <w:r w:rsidRPr="00FB1E1E">
        <w:rPr>
          <w:sz w:val="16"/>
          <w:szCs w:val="10"/>
        </w:rPr>
        <w:t xml:space="preserve"> and Graeber 2007, 37)—and “</w:t>
      </w:r>
      <w:proofErr w:type="spellStart"/>
      <w:r w:rsidRPr="00FB1E1E">
        <w:rPr>
          <w:sz w:val="16"/>
          <w:szCs w:val="10"/>
        </w:rPr>
        <w:t>contaminationism</w:t>
      </w:r>
      <w:proofErr w:type="spellEnd"/>
      <w:r w:rsidRPr="00FB1E1E">
        <w:rPr>
          <w:sz w:val="16"/>
          <w:szCs w:val="10"/>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FB1E1E">
        <w:rPr>
          <w:sz w:val="16"/>
          <w:szCs w:val="10"/>
        </w:rPr>
        <w:t>Rheingans</w:t>
      </w:r>
      <w:proofErr w:type="spellEnd"/>
      <w:r w:rsidRPr="00FB1E1E">
        <w:rPr>
          <w:sz w:val="16"/>
          <w:szCs w:val="10"/>
        </w:rPr>
        <w:t xml:space="preserve"> and Hollands 2013; </w:t>
      </w:r>
      <w:proofErr w:type="spellStart"/>
      <w:r w:rsidRPr="00FB1E1E">
        <w:rPr>
          <w:sz w:val="16"/>
          <w:szCs w:val="10"/>
        </w:rPr>
        <w:t>Nişancioğlu</w:t>
      </w:r>
      <w:proofErr w:type="spellEnd"/>
      <w:r w:rsidRPr="00FB1E1E">
        <w:rPr>
          <w:sz w:val="16"/>
          <w:szCs w:val="10"/>
        </w:rPr>
        <w:t xml:space="preserve"> and Pal 2016). In terms of wider systemic change, however, “small interventions consisting of relatively non-scalable actions are highly unlikely to ever be able to </w:t>
      </w:r>
      <w:proofErr w:type="spellStart"/>
      <w:r w:rsidRPr="00FB1E1E">
        <w:rPr>
          <w:sz w:val="16"/>
          <w:szCs w:val="10"/>
        </w:rPr>
        <w:t>reorganise</w:t>
      </w:r>
      <w:proofErr w:type="spellEnd"/>
      <w:r w:rsidRPr="00FB1E1E">
        <w:rPr>
          <w:sz w:val="16"/>
          <w:szCs w:val="10"/>
        </w:rPr>
        <w:t xml:space="preserv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FB1E1E">
        <w:rPr>
          <w:sz w:val="16"/>
          <w:szCs w:val="10"/>
        </w:rPr>
        <w:t>labour</w:t>
      </w:r>
      <w:proofErr w:type="spellEnd"/>
      <w:r w:rsidRPr="00FB1E1E">
        <w:rPr>
          <w:sz w:val="16"/>
          <w:szCs w:val="10"/>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FB1E1E">
        <w:rPr>
          <w:sz w:val="16"/>
          <w:szCs w:val="10"/>
        </w:rPr>
        <w:t>Caffentzis</w:t>
      </w:r>
      <w:proofErr w:type="spellEnd"/>
      <w:r w:rsidRPr="00FB1E1E">
        <w:rPr>
          <w:sz w:val="16"/>
          <w:szCs w:val="10"/>
        </w:rPr>
        <w:t xml:space="preserve">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w:t>
      </w:r>
      <w:proofErr w:type="spellStart"/>
      <w:r w:rsidRPr="00FB1E1E">
        <w:rPr>
          <w:sz w:val="16"/>
          <w:szCs w:val="10"/>
        </w:rPr>
        <w:t>Haiven</w:t>
      </w:r>
      <w:proofErr w:type="spellEnd"/>
      <w:r w:rsidRPr="00FB1E1E">
        <w:rPr>
          <w:sz w:val="16"/>
          <w:szCs w:val="10"/>
        </w:rPr>
        <w:t xml:space="preserve"> and </w:t>
      </w:r>
      <w:proofErr w:type="spellStart"/>
      <w:r w:rsidRPr="00FB1E1E">
        <w:rPr>
          <w:sz w:val="16"/>
          <w:szCs w:val="10"/>
        </w:rPr>
        <w:t>Khasnabish</w:t>
      </w:r>
      <w:proofErr w:type="spellEnd"/>
      <w:r w:rsidRPr="00FB1E1E">
        <w:rPr>
          <w:sz w:val="16"/>
          <w:szCs w:val="10"/>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FB1E1E">
        <w:rPr>
          <w:sz w:val="16"/>
          <w:szCs w:val="10"/>
        </w:rPr>
        <w:t>Labour</w:t>
      </w:r>
      <w:proofErr w:type="spellEnd"/>
      <w:r w:rsidRPr="00FB1E1E">
        <w:rPr>
          <w:sz w:val="16"/>
          <w:szCs w:val="10"/>
        </w:rPr>
        <w:t xml:space="preserve">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FB1E1E">
        <w:rPr>
          <w:sz w:val="16"/>
          <w:szCs w:val="10"/>
        </w:rPr>
        <w:t>Jemielniak</w:t>
      </w:r>
      <w:proofErr w:type="spellEnd"/>
      <w:r w:rsidRPr="00FB1E1E">
        <w:rPr>
          <w:sz w:val="16"/>
          <w:szCs w:val="10"/>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w:t>
      </w:r>
      <w:proofErr w:type="spellStart"/>
      <w:r w:rsidRPr="00FB1E1E">
        <w:rPr>
          <w:sz w:val="16"/>
          <w:szCs w:val="10"/>
        </w:rPr>
        <w:t>undercommons</w:t>
      </w:r>
      <w:proofErr w:type="spellEnd"/>
      <w:r w:rsidRPr="00FB1E1E">
        <w:rPr>
          <w:sz w:val="16"/>
          <w:szCs w:val="10"/>
        </w:rPr>
        <w:t xml:space="preserve">, what the occupation suggests is that “defending small bunkers of autonomy against the onslaught of capitalism is the best that can be hoped for” (Srnicek and Williams 2016, 48). Conclusion </w:t>
      </w:r>
      <w:proofErr w:type="spellStart"/>
      <w:r w:rsidRPr="00FB1E1E">
        <w:rPr>
          <w:sz w:val="16"/>
          <w:szCs w:val="10"/>
        </w:rPr>
        <w:t>Zaslove</w:t>
      </w:r>
      <w:proofErr w:type="spellEnd"/>
      <w:r w:rsidRPr="00FB1E1E">
        <w:rPr>
          <w:sz w:val="16"/>
          <w:szCs w:val="10"/>
        </w:rPr>
        <w:t xml:space="preserve"> was right to characterize utopian pedagogy within the </w:t>
      </w:r>
      <w:proofErr w:type="spellStart"/>
      <w:r w:rsidRPr="00FB1E1E">
        <w:rPr>
          <w:sz w:val="16"/>
          <w:szCs w:val="10"/>
        </w:rPr>
        <w:t>corporateimperial</w:t>
      </w:r>
      <w:proofErr w:type="spellEnd"/>
      <w:r w:rsidRPr="00FB1E1E">
        <w:rPr>
          <w:sz w:val="16"/>
          <w:szCs w:val="10"/>
        </w:rPr>
        <w:t xml:space="preserve"> university as the search for bolt-holes and breathing spaces in the system. He himself suggests that, “All university classes should become dialogic-experiential models that educate by expanding the zones of contact with wider communities” (2007, 102). Like so many others, </w:t>
      </w:r>
      <w:proofErr w:type="spellStart"/>
      <w:r w:rsidRPr="00FB1E1E">
        <w:rPr>
          <w:sz w:val="16"/>
          <w:szCs w:val="10"/>
        </w:rPr>
        <w:t>Zaslove</w:t>
      </w:r>
      <w:proofErr w:type="spellEnd"/>
      <w:r w:rsidRPr="00FB1E1E">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FB1E1E">
        <w:rPr>
          <w:sz w:val="16"/>
          <w:szCs w:val="10"/>
        </w:rPr>
        <w:t>Coté</w:t>
      </w:r>
      <w:proofErr w:type="spellEnd"/>
      <w:r w:rsidRPr="00FB1E1E">
        <w:rPr>
          <w:sz w:val="16"/>
          <w:szCs w:val="10"/>
        </w:rPr>
        <w:t xml:space="preserve">, Day, and de </w:t>
      </w:r>
      <w:proofErr w:type="spellStart"/>
      <w:r w:rsidRPr="00FB1E1E">
        <w:rPr>
          <w:sz w:val="16"/>
          <w:szCs w:val="10"/>
        </w:rPr>
        <w:t>Peuter</w:t>
      </w:r>
      <w:proofErr w:type="spellEnd"/>
      <w:r w:rsidRPr="00FB1E1E">
        <w:rPr>
          <w:sz w:val="16"/>
          <w:szCs w:val="10"/>
        </w:rPr>
        <w:t xml:space="preserve"> 2007a, 325), “extend [</w:t>
      </w:r>
      <w:proofErr w:type="spellStart"/>
      <w:r w:rsidRPr="00FB1E1E">
        <w:rPr>
          <w:sz w:val="16"/>
          <w:szCs w:val="10"/>
        </w:rPr>
        <w:t>ing</w:t>
      </w:r>
      <w:proofErr w:type="spellEnd"/>
      <w:r w:rsidRPr="00FB1E1E">
        <w:rPr>
          <w:sz w:val="16"/>
          <w:szCs w:val="10"/>
        </w:rPr>
        <w:t>]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w:t>
      </w:r>
    </w:p>
    <w:p w14:paraId="3E40889E" w14:textId="77777777" w:rsidR="00C015B8" w:rsidRPr="00FB1E1E" w:rsidRDefault="00C015B8" w:rsidP="00C015B8">
      <w:pPr>
        <w:rPr>
          <w:sz w:val="16"/>
        </w:rPr>
      </w:pPr>
      <w:r w:rsidRPr="00FC4DF1">
        <w:rPr>
          <w:rStyle w:val="StyleUnderline"/>
          <w:highlight w:val="yellow"/>
        </w:rPr>
        <w:t>The University</w:t>
      </w:r>
      <w:r w:rsidRPr="00583068">
        <w:rPr>
          <w:rStyle w:val="StyleUnderline"/>
        </w:rPr>
        <w:t xml:space="preserve"> can be the site for </w:t>
      </w:r>
      <w:r w:rsidRPr="00BD3760">
        <w:rPr>
          <w:rStyle w:val="Emphasis"/>
        </w:rPr>
        <w:t>fleeting</w:t>
      </w:r>
      <w:r w:rsidRPr="00583068">
        <w:rPr>
          <w:rStyle w:val="StyleUnderline"/>
        </w:rPr>
        <w:t xml:space="preserve">, </w:t>
      </w:r>
      <w:r w:rsidRPr="00BD3760">
        <w:rPr>
          <w:rStyle w:val="Emphasis"/>
        </w:rPr>
        <w:t>transitory</w:t>
      </w:r>
      <w:r w:rsidRPr="00583068">
        <w:rPr>
          <w:rStyle w:val="StyleUnderline"/>
        </w:rPr>
        <w:t xml:space="preserve">, </w:t>
      </w:r>
      <w:r w:rsidRPr="00BD3760">
        <w:rPr>
          <w:rStyle w:val="Emphasis"/>
        </w:rPr>
        <w:t>small-scale experiences</w:t>
      </w:r>
      <w:r w:rsidRPr="00583068">
        <w:rPr>
          <w:rStyle w:val="StyleUnderline"/>
        </w:rPr>
        <w:t xml:space="preserve"> of utopian possibility</w:t>
      </w:r>
      <w:r w:rsidRPr="00FB1E1E">
        <w:rPr>
          <w:sz w:val="16"/>
        </w:rPr>
        <w:t xml:space="preserve">—in the classroom, the </w:t>
      </w:r>
      <w:proofErr w:type="spellStart"/>
      <w:r w:rsidRPr="00FB1E1E">
        <w:rPr>
          <w:sz w:val="16"/>
        </w:rPr>
        <w:t>undercommons</w:t>
      </w:r>
      <w:proofErr w:type="spellEnd"/>
      <w:r w:rsidRPr="00FB1E1E">
        <w:rPr>
          <w:sz w:val="16"/>
        </w:rPr>
        <w:t xml:space="preserve">, the occupation. </w:t>
      </w:r>
      <w:r w:rsidRPr="00583068">
        <w:rPr>
          <w:rStyle w:val="StyleUnderline"/>
        </w:rPr>
        <w:t xml:space="preserve">It </w:t>
      </w:r>
      <w:r w:rsidRPr="00FC4DF1">
        <w:rPr>
          <w:rStyle w:val="Emphasis"/>
          <w:highlight w:val="yellow"/>
        </w:rPr>
        <w:t>cannot be the site for transformative utopian politics</w:t>
      </w:r>
      <w:r w:rsidRPr="00FC4DF1">
        <w:rPr>
          <w:rStyle w:val="StyleUnderline"/>
          <w:highlight w:val="yellow"/>
        </w:rPr>
        <w:t xml:space="preserve">. It </w:t>
      </w:r>
      <w:r w:rsidRPr="00FC4DF1">
        <w:rPr>
          <w:rStyle w:val="Emphasis"/>
          <w:highlight w:val="yellow"/>
        </w:rPr>
        <w:t>cannot even be the starting point for this</w:t>
      </w:r>
      <w:r w:rsidRPr="00FB1E1E">
        <w:rPr>
          <w:sz w:val="16"/>
        </w:rPr>
        <w:t xml:space="preserve">. Given the corporatization and militarization of the university, academics are increasingly becoming “functionaries of elite interests” inhabiting a culture which serves to reproduce these interests (Shear 2008, 56). </w:t>
      </w:r>
      <w:r w:rsidRPr="00FC4DF1">
        <w:rPr>
          <w:rStyle w:val="StyleUnderline"/>
          <w:highlight w:val="yellow"/>
        </w:rPr>
        <w:t>Within the university</w:t>
      </w:r>
      <w:r w:rsidRPr="00583068">
        <w:rPr>
          <w:rStyle w:val="StyleUnderline"/>
        </w:rPr>
        <w:t xml:space="preserve">, “radical” initiatives or </w:t>
      </w:r>
      <w:r w:rsidRPr="00FC4DF1">
        <w:rPr>
          <w:rStyle w:val="StyleUnderline"/>
          <w:highlight w:val="yellow"/>
        </w:rPr>
        <w:t xml:space="preserve">movements will </w:t>
      </w:r>
      <w:r w:rsidRPr="00FC4DF1">
        <w:rPr>
          <w:rStyle w:val="Emphasis"/>
          <w:highlight w:val="yellow"/>
        </w:rPr>
        <w:t>soon be co</w:t>
      </w:r>
      <w:r w:rsidRPr="00BD3760">
        <w:rPr>
          <w:rStyle w:val="Emphasis"/>
        </w:rPr>
        <w:t>-</w:t>
      </w:r>
      <w:r w:rsidRPr="00FC4DF1">
        <w:rPr>
          <w:rStyle w:val="Emphasis"/>
          <w:highlight w:val="yellow"/>
        </w:rPr>
        <w:t>opted</w:t>
      </w:r>
      <w:r w:rsidRPr="00583068">
        <w:rPr>
          <w:rStyle w:val="StyleUnderline"/>
        </w:rPr>
        <w:t xml:space="preserve">, </w:t>
      </w:r>
      <w:r w:rsidRPr="00BD3760">
        <w:rPr>
          <w:rStyle w:val="Emphasis"/>
        </w:rPr>
        <w:t>recuperated</w:t>
      </w:r>
      <w:r w:rsidRPr="00583068">
        <w:rPr>
          <w:rStyle w:val="StyleUnderline"/>
        </w:rPr>
        <w:t xml:space="preserve">, </w:t>
      </w:r>
      <w:r w:rsidRPr="00BD3760">
        <w:rPr>
          <w:rStyle w:val="Emphasis"/>
        </w:rPr>
        <w:t>commodified</w:t>
      </w:r>
      <w:r w:rsidRPr="00583068">
        <w:rPr>
          <w:rStyle w:val="StyleUnderline"/>
        </w:rPr>
        <w:t xml:space="preserve">, </w:t>
      </w:r>
      <w:r w:rsidRPr="00FC4DF1">
        <w:rPr>
          <w:rStyle w:val="StyleUnderline"/>
          <w:highlight w:val="yellow"/>
        </w:rPr>
        <w:t xml:space="preserve">and </w:t>
      </w:r>
      <w:r w:rsidRPr="00FC4DF1">
        <w:rPr>
          <w:rStyle w:val="Emphasis"/>
          <w:highlight w:val="yellow"/>
        </w:rPr>
        <w:t>neutralized</w:t>
      </w:r>
      <w:r w:rsidRPr="00FB1E1E">
        <w:rPr>
          <w:sz w:val="16"/>
        </w:rPr>
        <w:t xml:space="preserve"> (Gibson-Graham 2006, xxvi; Seybold 2008, 123; Neary 2012b, 249; Rolfe 2013, 21). </w:t>
      </w:r>
      <w:r w:rsidRPr="00FC4DF1">
        <w:rPr>
          <w:rStyle w:val="StyleUnderline"/>
          <w:highlight w:val="yellow"/>
        </w:rPr>
        <w:t xml:space="preserve">Institutional habitus </w:t>
      </w:r>
      <w:r w:rsidRPr="00FC4DF1">
        <w:rPr>
          <w:rStyle w:val="Emphasis"/>
          <w:highlight w:val="yellow"/>
        </w:rPr>
        <w:t>weights so heavily</w:t>
      </w:r>
      <w:r w:rsidRPr="00FC4DF1">
        <w:rPr>
          <w:rStyle w:val="StyleUnderline"/>
          <w:highlight w:val="yellow"/>
        </w:rPr>
        <w:t xml:space="preserve"> that projects</w:t>
      </w:r>
      <w:r w:rsidRPr="00583068">
        <w:rPr>
          <w:rStyle w:val="StyleUnderline"/>
        </w:rPr>
        <w:t xml:space="preserve"> born in the university </w:t>
      </w:r>
      <w:r w:rsidRPr="00FC4DF1">
        <w:rPr>
          <w:rStyle w:val="StyleUnderline"/>
          <w:highlight w:val="yellow"/>
        </w:rPr>
        <w:t xml:space="preserve">will be </w:t>
      </w:r>
      <w:r w:rsidRPr="00FC4DF1">
        <w:rPr>
          <w:rStyle w:val="Emphasis"/>
          <w:highlight w:val="yellow"/>
        </w:rPr>
        <w:t>scarred from the outset</w:t>
      </w:r>
      <w:r w:rsidRPr="00FC4DF1">
        <w:rPr>
          <w:rStyle w:val="StyleUnderline"/>
          <w:highlight w:val="yellow"/>
        </w:rPr>
        <w:t xml:space="preserve"> by</w:t>
      </w:r>
      <w:r w:rsidRPr="00583068">
        <w:rPr>
          <w:rStyle w:val="StyleUnderline"/>
        </w:rPr>
        <w:t xml:space="preserve"> a certain </w:t>
      </w:r>
      <w:r w:rsidRPr="00FC4DF1">
        <w:rPr>
          <w:rStyle w:val="StyleUnderline"/>
          <w:highlight w:val="yellow"/>
        </w:rPr>
        <w:t>colonizing “</w:t>
      </w:r>
      <w:r w:rsidRPr="00FC4DF1">
        <w:rPr>
          <w:rStyle w:val="Emphasis"/>
          <w:highlight w:val="yellow"/>
        </w:rPr>
        <w:t>imaginary of education</w:t>
      </w:r>
      <w:r w:rsidRPr="00583068">
        <w:rPr>
          <w:rStyle w:val="StyleUnderline"/>
        </w:rPr>
        <w:t>”</w:t>
      </w:r>
      <w:r w:rsidRPr="00FB1E1E">
        <w:rPr>
          <w:sz w:val="16"/>
        </w:rPr>
        <w:t xml:space="preserve"> (Burdick and Sandlin 2010, 117). </w:t>
      </w:r>
      <w:r w:rsidRPr="00583068">
        <w:rPr>
          <w:rStyle w:val="StyleUnderline"/>
        </w:rPr>
        <w:t>And</w:t>
      </w:r>
      <w:r w:rsidRPr="00FB1E1E">
        <w:rPr>
          <w:sz w:val="16"/>
        </w:rPr>
        <w:t xml:space="preserve"> we have long known that </w:t>
      </w:r>
      <w:r w:rsidRPr="00FC4DF1">
        <w:rPr>
          <w:rStyle w:val="StyleUnderline"/>
          <w:highlight w:val="yellow"/>
        </w:rPr>
        <w:t xml:space="preserve">the university is </w:t>
      </w:r>
      <w:r w:rsidRPr="00FC4DF1">
        <w:rPr>
          <w:rStyle w:val="Emphasis"/>
          <w:highlight w:val="yellow"/>
        </w:rPr>
        <w:t>but one space of learning</w:t>
      </w:r>
      <w:r w:rsidRPr="00583068">
        <w:rPr>
          <w:rStyle w:val="StyleUnderline"/>
        </w:rPr>
        <w:t xml:space="preserve">, and perhaps </w:t>
      </w:r>
      <w:r w:rsidRPr="00BD3760">
        <w:rPr>
          <w:rStyle w:val="Emphasis"/>
        </w:rPr>
        <w:t>not a very important one</w:t>
      </w:r>
      <w:r w:rsidRPr="00583068">
        <w:rPr>
          <w:rStyle w:val="StyleUnderline"/>
        </w:rPr>
        <w:t xml:space="preserve"> at that. Identifying the academy as the </w:t>
      </w:r>
      <w:r w:rsidRPr="00BD3760">
        <w:rPr>
          <w:rStyle w:val="Emphasis"/>
        </w:rPr>
        <w:t>starting point</w:t>
      </w:r>
      <w:r w:rsidRPr="00583068">
        <w:rPr>
          <w:rStyle w:val="StyleUnderline"/>
        </w:rPr>
        <w:t xml:space="preserve"> for a utopian pedagogy </w:t>
      </w:r>
      <w:r w:rsidRPr="00BD3760">
        <w:rPr>
          <w:rStyle w:val="Emphasis"/>
        </w:rPr>
        <w:t>privileges this arcane space</w:t>
      </w:r>
      <w:r w:rsidRPr="00583068">
        <w:rPr>
          <w:rStyle w:val="StyleUnderline"/>
        </w:rPr>
        <w:t xml:space="preserve"> over sites of </w:t>
      </w:r>
      <w:r w:rsidRPr="00BD3760">
        <w:rPr>
          <w:rStyle w:val="Emphasis"/>
        </w:rPr>
        <w:t>public pedagogy</w:t>
      </w:r>
      <w:r w:rsidRPr="00FB1E1E">
        <w:rPr>
          <w:sz w:val="16"/>
        </w:rPr>
        <w:t xml:space="preserve"> such as film, television, literature, sport, advertising, architecture, media in its various forms, political organizations, religious institutions, and the workplace (Todd 1997). </w:t>
      </w:r>
    </w:p>
    <w:p w14:paraId="4CC5FA67" w14:textId="77777777" w:rsidR="00C015B8" w:rsidRPr="00583068" w:rsidRDefault="00C015B8" w:rsidP="00C015B8">
      <w:pPr>
        <w:rPr>
          <w:rStyle w:val="StyleUnderline"/>
        </w:rPr>
      </w:pPr>
      <w:r w:rsidRPr="00FB1E1E">
        <w:rPr>
          <w:sz w:val="16"/>
        </w:rPr>
        <w:t xml:space="preserve">Perhaps </w:t>
      </w:r>
      <w:r w:rsidRPr="00583068">
        <w:rPr>
          <w:rStyle w:val="StyleUnderline"/>
        </w:rPr>
        <w:t xml:space="preserve">the emphasis on </w:t>
      </w:r>
      <w:r w:rsidRPr="00FC4DF1">
        <w:rPr>
          <w:rStyle w:val="Emphasis"/>
          <w:highlight w:val="yellow"/>
        </w:rPr>
        <w:t>creating radical experimental spaces</w:t>
      </w:r>
      <w:r w:rsidRPr="00583068">
        <w:rPr>
          <w:rStyle w:val="StyleUnderline"/>
        </w:rPr>
        <w:t xml:space="preserve"> within the academy </w:t>
      </w:r>
      <w:r w:rsidRPr="00FC4DF1">
        <w:rPr>
          <w:rStyle w:val="StyleUnderline"/>
          <w:highlight w:val="yellow"/>
        </w:rPr>
        <w:t xml:space="preserve">needs to </w:t>
      </w:r>
      <w:r w:rsidRPr="00FC4DF1">
        <w:rPr>
          <w:rStyle w:val="Emphasis"/>
          <w:highlight w:val="yellow"/>
        </w:rPr>
        <w:t>shift</w:t>
      </w:r>
      <w:r w:rsidRPr="00FC4DF1">
        <w:rPr>
          <w:rStyle w:val="StyleUnderline"/>
          <w:highlight w:val="yellow"/>
        </w:rPr>
        <w:t xml:space="preserve"> toward operating in</w:t>
      </w:r>
      <w:r w:rsidRPr="00583068">
        <w:rPr>
          <w:rStyle w:val="StyleUnderline"/>
        </w:rPr>
        <w:t xml:space="preserve"> </w:t>
      </w:r>
      <w:r w:rsidRPr="00BD3760">
        <w:rPr>
          <w:rStyle w:val="Emphasis"/>
        </w:rPr>
        <w:t xml:space="preserve">existing spaces of resistance </w:t>
      </w:r>
      <w:r w:rsidRPr="00FC4DF1">
        <w:rPr>
          <w:rStyle w:val="Emphasis"/>
          <w:highlight w:val="yellow"/>
        </w:rPr>
        <w:t>outside it</w:t>
      </w:r>
      <w:r w:rsidRPr="00FB1E1E">
        <w:rPr>
          <w:sz w:val="16"/>
        </w:rPr>
        <w:t xml:space="preserve">. </w:t>
      </w:r>
      <w:proofErr w:type="spellStart"/>
      <w:r w:rsidRPr="00FB1E1E">
        <w:rPr>
          <w:sz w:val="16"/>
        </w:rPr>
        <w:t>Haiven</w:t>
      </w:r>
      <w:proofErr w:type="spellEnd"/>
      <w:r w:rsidRPr="00FB1E1E">
        <w:rPr>
          <w:sz w:val="16"/>
        </w:rPr>
        <w:t xml:space="preserve"> and </w:t>
      </w:r>
      <w:proofErr w:type="spellStart"/>
      <w:r w:rsidRPr="00FB1E1E">
        <w:rPr>
          <w:sz w:val="16"/>
        </w:rPr>
        <w:t>Khasnabish</w:t>
      </w:r>
      <w:proofErr w:type="spellEnd"/>
      <w:r w:rsidRPr="00FB1E1E">
        <w:rPr>
          <w:sz w:val="16"/>
        </w:rPr>
        <w:t xml:space="preserve"> argue that </w:t>
      </w:r>
      <w:r w:rsidRPr="00583068">
        <w:rPr>
          <w:rStyle w:val="StyleUnderline"/>
        </w:rPr>
        <w:t xml:space="preserve">many social </w:t>
      </w:r>
      <w:r w:rsidRPr="00FC4DF1">
        <w:rPr>
          <w:rStyle w:val="StyleUnderline"/>
          <w:highlight w:val="yellow"/>
        </w:rPr>
        <w:t xml:space="preserve">movements </w:t>
      </w:r>
      <w:r w:rsidRPr="00FC4DF1">
        <w:rPr>
          <w:rStyle w:val="Emphasis"/>
          <w:highlight w:val="yellow"/>
        </w:rPr>
        <w:t>function</w:t>
      </w:r>
      <w:r w:rsidRPr="00BD3760">
        <w:rPr>
          <w:rStyle w:val="Emphasis"/>
        </w:rPr>
        <w:t xml:space="preserve"> already</w:t>
      </w:r>
      <w:r w:rsidRPr="00583068">
        <w:rPr>
          <w:rStyle w:val="StyleUnderline"/>
        </w:rPr>
        <w:t xml:space="preserve"> </w:t>
      </w:r>
      <w:r w:rsidRPr="00FC4DF1">
        <w:rPr>
          <w:rStyle w:val="StyleUnderline"/>
          <w:highlight w:val="yellow"/>
        </w:rPr>
        <w:t>as</w:t>
      </w:r>
      <w:r w:rsidRPr="00583068">
        <w:rPr>
          <w:rStyle w:val="StyleUnderline"/>
        </w:rPr>
        <w:t xml:space="preserve"> “</w:t>
      </w:r>
      <w:r w:rsidRPr="00BD3760">
        <w:rPr>
          <w:rStyle w:val="Emphasis"/>
        </w:rPr>
        <w:t xml:space="preserve">social </w:t>
      </w:r>
      <w:r w:rsidRPr="00FC4DF1">
        <w:rPr>
          <w:rStyle w:val="Emphasis"/>
          <w:highlight w:val="yellow"/>
        </w:rPr>
        <w:t>lab</w:t>
      </w:r>
      <w:r w:rsidRPr="00BD3760">
        <w:rPr>
          <w:rStyle w:val="Emphasis"/>
        </w:rPr>
        <w:t>oratorie</w:t>
      </w:r>
      <w:r w:rsidRPr="00FC4DF1">
        <w:rPr>
          <w:rStyle w:val="Emphasis"/>
          <w:highlight w:val="yellow"/>
        </w:rPr>
        <w:t>s</w:t>
      </w:r>
      <w:r w:rsidRPr="00FC4DF1">
        <w:rPr>
          <w:rStyle w:val="StyleUnderline"/>
          <w:highlight w:val="yellow"/>
        </w:rPr>
        <w:t xml:space="preserve"> for</w:t>
      </w:r>
      <w:r w:rsidRPr="00583068">
        <w:rPr>
          <w:rStyle w:val="StyleUnderline"/>
        </w:rPr>
        <w:t xml:space="preserve"> the generation of </w:t>
      </w:r>
      <w:r w:rsidRPr="00FC4DF1">
        <w:rPr>
          <w:rStyle w:val="Emphasis"/>
          <w:highlight w:val="yellow"/>
        </w:rPr>
        <w:t>alternative relationships</w:t>
      </w:r>
      <w:r w:rsidRPr="00583068">
        <w:rPr>
          <w:rStyle w:val="StyleUnderline"/>
        </w:rPr>
        <w:t xml:space="preserve">, </w:t>
      </w:r>
      <w:r w:rsidRPr="00BD3760">
        <w:rPr>
          <w:rStyle w:val="Emphasis"/>
        </w:rPr>
        <w:t>subjectivities</w:t>
      </w:r>
      <w:r w:rsidRPr="00583068">
        <w:rPr>
          <w:rStyle w:val="StyleUnderline"/>
        </w:rPr>
        <w:t xml:space="preserve">, </w:t>
      </w:r>
      <w:r w:rsidRPr="00BD3760">
        <w:rPr>
          <w:rStyle w:val="Emphasis"/>
        </w:rPr>
        <w:t>institutions</w:t>
      </w:r>
      <w:r w:rsidRPr="00583068">
        <w:rPr>
          <w:rStyle w:val="StyleUnderline"/>
        </w:rPr>
        <w:t xml:space="preserve"> and </w:t>
      </w:r>
      <w:r w:rsidRPr="00BD3760">
        <w:rPr>
          <w:rStyle w:val="Emphasis"/>
        </w:rPr>
        <w:t>practices</w:t>
      </w:r>
      <w:r w:rsidRPr="00583068">
        <w:rPr>
          <w:rStyle w:val="StyleUnderline"/>
        </w:rPr>
        <w:t>”</w:t>
      </w:r>
      <w:r w:rsidRPr="00FB1E1E">
        <w:rPr>
          <w:sz w:val="16"/>
        </w:rPr>
        <w:t xml:space="preserve"> (2014, 62), </w:t>
      </w:r>
      <w:r w:rsidRPr="00583068">
        <w:rPr>
          <w:rStyle w:val="StyleUnderline"/>
        </w:rPr>
        <w:t xml:space="preserve">providing “a </w:t>
      </w:r>
      <w:r w:rsidRPr="00BD3760">
        <w:rPr>
          <w:rStyle w:val="Emphasis"/>
        </w:rPr>
        <w:t>space for experiments</w:t>
      </w:r>
      <w:r w:rsidRPr="00583068">
        <w:rPr>
          <w:rStyle w:val="StyleUnderline"/>
        </w:rPr>
        <w:t xml:space="preserve"> in</w:t>
      </w:r>
      <w:r w:rsidRPr="00FB1E1E">
        <w:rPr>
          <w:sz w:val="16"/>
        </w:rPr>
        <w:t xml:space="preserve"> knowledge production, </w:t>
      </w:r>
      <w:r w:rsidRPr="00BD3760">
        <w:rPr>
          <w:rStyle w:val="Emphasis"/>
        </w:rPr>
        <w:t>radical imagination</w:t>
      </w:r>
      <w:r w:rsidRPr="00FB1E1E">
        <w:rPr>
          <w:sz w:val="16"/>
        </w:rPr>
        <w:t xml:space="preserve">, subjectification, </w:t>
      </w:r>
      <w:r w:rsidRPr="00583068">
        <w:rPr>
          <w:rStyle w:val="StyleUnderline"/>
        </w:rPr>
        <w:t xml:space="preserve">and </w:t>
      </w:r>
      <w:r w:rsidRPr="00BD3760">
        <w:rPr>
          <w:rStyle w:val="Emphasis"/>
        </w:rPr>
        <w:t>concrete alternative-building</w:t>
      </w:r>
      <w:r w:rsidRPr="00583068">
        <w:rPr>
          <w:rStyle w:val="StyleUnderline"/>
        </w:rPr>
        <w:t>”</w:t>
      </w:r>
      <w:r w:rsidRPr="00FB1E1E">
        <w:rPr>
          <w:sz w:val="16"/>
        </w:rPr>
        <w:t xml:space="preserve"> (</w:t>
      </w:r>
      <w:proofErr w:type="spellStart"/>
      <w:r w:rsidRPr="00FB1E1E">
        <w:rPr>
          <w:sz w:val="16"/>
        </w:rPr>
        <w:t>Khasnabish</w:t>
      </w:r>
      <w:proofErr w:type="spellEnd"/>
      <w:r w:rsidRPr="00FB1E1E">
        <w:rPr>
          <w:sz w:val="16"/>
        </w:rPr>
        <w:t xml:space="preserve">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w:t>
      </w:r>
      <w:proofErr w:type="spellStart"/>
      <w:r w:rsidRPr="00FB1E1E">
        <w:rPr>
          <w:sz w:val="16"/>
        </w:rPr>
        <w:t>Amsler</w:t>
      </w:r>
      <w:proofErr w:type="spellEnd"/>
      <w:r w:rsidRPr="00FB1E1E">
        <w:rPr>
          <w:sz w:val="16"/>
        </w:rPr>
        <w:t xml:space="preserve"> 2015; </w:t>
      </w:r>
      <w:proofErr w:type="spellStart"/>
      <w:r w:rsidRPr="00FB1E1E">
        <w:rPr>
          <w:sz w:val="16"/>
        </w:rPr>
        <w:t>Dallyn</w:t>
      </w:r>
      <w:proofErr w:type="spellEnd"/>
      <w:r w:rsidRPr="00FB1E1E">
        <w:rPr>
          <w:sz w:val="16"/>
        </w:rPr>
        <w:t xml:space="preserve">, </w:t>
      </w:r>
      <w:proofErr w:type="spellStart"/>
      <w:r w:rsidRPr="00FB1E1E">
        <w:rPr>
          <w:sz w:val="16"/>
        </w:rPr>
        <w:t>Marinetto</w:t>
      </w:r>
      <w:proofErr w:type="spellEnd"/>
      <w:r w:rsidRPr="00FB1E1E">
        <w:rPr>
          <w:sz w:val="16"/>
        </w:rPr>
        <w:t xml:space="preserve">, and </w:t>
      </w:r>
      <w:proofErr w:type="spellStart"/>
      <w:r w:rsidRPr="00FB1E1E">
        <w:rPr>
          <w:sz w:val="16"/>
        </w:rPr>
        <w:t>Cederstrom</w:t>
      </w:r>
      <w:proofErr w:type="spellEnd"/>
      <w:r w:rsidRPr="00FB1E1E">
        <w:rPr>
          <w:sz w:val="16"/>
        </w:rPr>
        <w:t xml:space="preserve"> 2015)? </w:t>
      </w:r>
      <w:r w:rsidRPr="00583068">
        <w:rPr>
          <w:rStyle w:val="StyleUnderline"/>
        </w:rPr>
        <w:t xml:space="preserve">Moving </w:t>
      </w:r>
      <w:r w:rsidRPr="00BD3760">
        <w:rPr>
          <w:rStyle w:val="Emphasis"/>
        </w:rPr>
        <w:t>beyond short-term</w:t>
      </w:r>
      <w:r w:rsidRPr="00583068">
        <w:rPr>
          <w:rStyle w:val="StyleUnderline"/>
        </w:rPr>
        <w:t xml:space="preserve">, </w:t>
      </w:r>
      <w:r w:rsidRPr="00BD3760">
        <w:rPr>
          <w:rStyle w:val="Emphasis"/>
        </w:rPr>
        <w:t>localized</w:t>
      </w:r>
      <w:r w:rsidRPr="00583068">
        <w:rPr>
          <w:rStyle w:val="StyleUnderline"/>
        </w:rPr>
        <w:t xml:space="preserve">, </w:t>
      </w:r>
      <w:r w:rsidRPr="00BD3760">
        <w:rPr>
          <w:rStyle w:val="Emphasis"/>
        </w:rPr>
        <w:t>temporary modes</w:t>
      </w:r>
      <w:r w:rsidRPr="00583068">
        <w:rPr>
          <w:rStyle w:val="StyleUnderline"/>
        </w:rPr>
        <w:t xml:space="preserve"> of resistance, utopian pedagogy would </w:t>
      </w:r>
      <w:r w:rsidRPr="00BD3760">
        <w:rPr>
          <w:rStyle w:val="Emphasis"/>
        </w:rPr>
        <w:t>work across these sites</w:t>
      </w:r>
      <w:r w:rsidRPr="00583068">
        <w:rPr>
          <w:rStyle w:val="StyleUnderline"/>
        </w:rPr>
        <w:t xml:space="preserve"> to develop a </w:t>
      </w:r>
      <w:r w:rsidRPr="00BD3760">
        <w:rPr>
          <w:rStyle w:val="Emphasis"/>
        </w:rPr>
        <w:t>long-term strategy</w:t>
      </w:r>
      <w:r w:rsidRPr="00583068">
        <w:rPr>
          <w:rStyle w:val="StyleUnderline"/>
        </w:rPr>
        <w:t xml:space="preserve"> and </w:t>
      </w:r>
      <w:r w:rsidRPr="00BD3760">
        <w:rPr>
          <w:rStyle w:val="Emphasis"/>
        </w:rPr>
        <w:t>vision</w:t>
      </w:r>
      <w:r w:rsidRPr="00583068">
        <w:rPr>
          <w:rStyle w:val="StyleUnderline"/>
        </w:rPr>
        <w:t xml:space="preserve">. </w:t>
      </w:r>
    </w:p>
    <w:p w14:paraId="62241590" w14:textId="77777777" w:rsidR="00C015B8" w:rsidRDefault="00C015B8" w:rsidP="00C015B8">
      <w:pPr>
        <w:rPr>
          <w:rStyle w:val="StyleUnderline"/>
        </w:rPr>
      </w:pPr>
      <w:r w:rsidRPr="00583068">
        <w:rPr>
          <w:rStyle w:val="StyleUnderline"/>
        </w:rPr>
        <w:t xml:space="preserve">There is a </w:t>
      </w:r>
      <w:r w:rsidRPr="00BD3760">
        <w:rPr>
          <w:rStyle w:val="Emphasis"/>
        </w:rPr>
        <w:t>role for the academic</w:t>
      </w:r>
      <w:r w:rsidRPr="00583068">
        <w:rPr>
          <w:rStyle w:val="StyleUnderline"/>
        </w:rPr>
        <w:t xml:space="preserve"> in utopian politics, but </w:t>
      </w:r>
      <w:r w:rsidRPr="00BD3760">
        <w:rPr>
          <w:rStyle w:val="Emphasis"/>
        </w:rPr>
        <w:t>not in the university-as-such</w:t>
      </w:r>
      <w:r w:rsidRPr="00583068">
        <w:rPr>
          <w:rStyle w:val="StyleUnderline"/>
        </w:rPr>
        <w:t xml:space="preserve">. The utopian pedagogue has a </w:t>
      </w:r>
      <w:r w:rsidRPr="00BD3760">
        <w:rPr>
          <w:rStyle w:val="Emphasis"/>
        </w:rPr>
        <w:t>responsibility</w:t>
      </w:r>
      <w:r w:rsidRPr="00583068">
        <w:rPr>
          <w:rStyle w:val="StyleUnderline"/>
        </w:rPr>
        <w:t xml:space="preserve"> to</w:t>
      </w:r>
      <w:r w:rsidRPr="00FB1E1E">
        <w:rPr>
          <w:sz w:val="16"/>
        </w:rPr>
        <w:t xml:space="preserve"> exploit their own privilege and to </w:t>
      </w:r>
      <w:r w:rsidRPr="00583068">
        <w:rPr>
          <w:rStyle w:val="StyleUnderline"/>
        </w:rPr>
        <w:t>work with</w:t>
      </w:r>
      <w:r w:rsidRPr="00FB1E1E">
        <w:rPr>
          <w:sz w:val="16"/>
        </w:rPr>
        <w:t xml:space="preserve"> students, communities and </w:t>
      </w:r>
      <w:r w:rsidRPr="00583068">
        <w:rPr>
          <w:rStyle w:val="StyleUnderline"/>
        </w:rPr>
        <w:t xml:space="preserve">movements </w:t>
      </w:r>
      <w:r w:rsidRPr="00BD3760">
        <w:rPr>
          <w:rStyle w:val="Emphasis"/>
        </w:rPr>
        <w:t>outside</w:t>
      </w:r>
      <w:r w:rsidRPr="00583068">
        <w:rPr>
          <w:rStyle w:val="StyleUnderline"/>
        </w:rPr>
        <w:t xml:space="preserve"> and </w:t>
      </w:r>
      <w:r w:rsidRPr="00BD3760">
        <w:rPr>
          <w:rStyle w:val="Emphasis"/>
        </w:rPr>
        <w:t>divorced from the university</w:t>
      </w:r>
      <w:r w:rsidRPr="00FB1E1E">
        <w:rPr>
          <w:sz w:val="16"/>
        </w:rPr>
        <w:t xml:space="preserve">. As Shear rightly notes, academics (and especially those working in the humanities and social sciences) “inhabit a privileged space in which </w:t>
      </w:r>
      <w:r w:rsidRPr="00583068">
        <w:rPr>
          <w:rStyle w:val="StyleUnderline"/>
        </w:rPr>
        <w:t>critical inquiry</w:t>
      </w:r>
      <w:r w:rsidRPr="00FB1E1E">
        <w:rPr>
          <w:sz w:val="16"/>
        </w:rPr>
        <w:t xml:space="preserve"> concerning social hegemony and political-economic domination” </w:t>
      </w:r>
      <w:r w:rsidRPr="00583068">
        <w:rPr>
          <w:rStyle w:val="StyleUnderline"/>
        </w:rPr>
        <w:t xml:space="preserve">is </w:t>
      </w:r>
      <w:r w:rsidRPr="00BD3760">
        <w:rPr>
          <w:rStyle w:val="Emphasis"/>
        </w:rPr>
        <w:t>possible</w:t>
      </w:r>
      <w:r w:rsidRPr="00FB1E1E">
        <w:rPr>
          <w:sz w:val="16"/>
        </w:rPr>
        <w:t xml:space="preserve"> (Shear 2008, 56). </w:t>
      </w:r>
      <w:r w:rsidRPr="00583068">
        <w:rPr>
          <w:rStyle w:val="StyleUnderline"/>
        </w:rPr>
        <w:t xml:space="preserve">Within the university, however, spaces for </w:t>
      </w:r>
      <w:r w:rsidRPr="00BD3760">
        <w:rPr>
          <w:rStyle w:val="Emphasis"/>
        </w:rPr>
        <w:t>embodying</w:t>
      </w:r>
      <w:r w:rsidRPr="00583068">
        <w:rPr>
          <w:rStyle w:val="StyleUnderline"/>
        </w:rPr>
        <w:t xml:space="preserve"> and </w:t>
      </w:r>
      <w:r w:rsidRPr="00BD3760">
        <w:rPr>
          <w:rStyle w:val="Emphasis"/>
        </w:rPr>
        <w:t>enacting</w:t>
      </w:r>
      <w:r w:rsidRPr="00583068">
        <w:rPr>
          <w:rStyle w:val="StyleUnderline"/>
        </w:rPr>
        <w:t xml:space="preserve"> this kind of inquiry have become </w:t>
      </w:r>
      <w:r w:rsidRPr="00BD3760">
        <w:rPr>
          <w:rStyle w:val="Emphasis"/>
        </w:rPr>
        <w:t>constrained</w:t>
      </w:r>
      <w:r w:rsidRPr="00583068">
        <w:rPr>
          <w:rStyle w:val="StyleUnderline"/>
        </w:rPr>
        <w:t xml:space="preserve">, </w:t>
      </w:r>
      <w:r w:rsidRPr="00BD3760">
        <w:rPr>
          <w:rStyle w:val="Emphasis"/>
        </w:rPr>
        <w:t>compromised</w:t>
      </w:r>
      <w:r w:rsidRPr="00583068">
        <w:rPr>
          <w:rStyle w:val="StyleUnderline"/>
        </w:rPr>
        <w:t xml:space="preserve">, </w:t>
      </w:r>
      <w:r w:rsidRPr="00BD3760">
        <w:rPr>
          <w:rStyle w:val="Emphasis"/>
        </w:rPr>
        <w:t>monitored</w:t>
      </w:r>
      <w:r w:rsidRPr="00583068">
        <w:rPr>
          <w:rStyle w:val="StyleUnderline"/>
        </w:rPr>
        <w:t xml:space="preserve">, </w:t>
      </w:r>
      <w:r w:rsidRPr="00BD3760">
        <w:rPr>
          <w:rStyle w:val="Emphasis"/>
        </w:rPr>
        <w:t>surveilled</w:t>
      </w:r>
      <w:r w:rsidRPr="00583068">
        <w:rPr>
          <w:rStyle w:val="StyleUnderline"/>
        </w:rPr>
        <w:t xml:space="preserve">, </w:t>
      </w:r>
      <w:r w:rsidRPr="00BD3760">
        <w:rPr>
          <w:rStyle w:val="Emphasis"/>
        </w:rPr>
        <w:t>co-opted</w:t>
      </w:r>
      <w:r w:rsidRPr="00583068">
        <w:rPr>
          <w:rStyle w:val="StyleUnderline"/>
        </w:rPr>
        <w:t xml:space="preserve">, and </w:t>
      </w:r>
      <w:r w:rsidRPr="00BD3760">
        <w:rPr>
          <w:rStyle w:val="Emphasis"/>
        </w:rPr>
        <w:t>recuperated</w:t>
      </w:r>
      <w:r w:rsidRPr="00FB1E1E">
        <w:rPr>
          <w:sz w:val="16"/>
        </w:rPr>
        <w:t xml:space="preserve">. As I have argued throughout this article, </w:t>
      </w:r>
      <w:r w:rsidRPr="00583068">
        <w:rPr>
          <w:rStyle w:val="StyleUnderline"/>
        </w:rPr>
        <w:t xml:space="preserve">utopian pedagogy has become a </w:t>
      </w:r>
      <w:r w:rsidRPr="00BD3760">
        <w:rPr>
          <w:rStyle w:val="Emphasis"/>
        </w:rPr>
        <w:t>search for bolt-holes</w:t>
      </w:r>
      <w:r w:rsidRPr="00583068">
        <w:rPr>
          <w:rStyle w:val="StyleUnderline"/>
        </w:rPr>
        <w:t xml:space="preserve"> and </w:t>
      </w:r>
      <w:r w:rsidRPr="00BD3760">
        <w:rPr>
          <w:rStyle w:val="Emphasis"/>
        </w:rPr>
        <w:t>breathing spaces</w:t>
      </w:r>
      <w:r w:rsidRPr="00583068">
        <w:rPr>
          <w:rStyle w:val="StyleUnderline"/>
        </w:rPr>
        <w:t xml:space="preserve"> in the system. </w:t>
      </w:r>
      <w:r w:rsidRPr="00FC4DF1">
        <w:rPr>
          <w:rStyle w:val="Emphasis"/>
          <w:highlight w:val="yellow"/>
        </w:rPr>
        <w:t>Beyond the academy</w:t>
      </w:r>
      <w:r w:rsidRPr="00583068">
        <w:rPr>
          <w:rStyle w:val="StyleUnderline"/>
        </w:rPr>
        <w:t xml:space="preserve">, however, there is a </w:t>
      </w:r>
      <w:r w:rsidRPr="00BD3760">
        <w:rPr>
          <w:rStyle w:val="Emphasis"/>
        </w:rPr>
        <w:t>role to play</w:t>
      </w:r>
      <w:r w:rsidRPr="00FB1E1E">
        <w:rPr>
          <w:sz w:val="16"/>
        </w:rPr>
        <w:t xml:space="preserve">. As Chomsky (2010) tells us, </w:t>
      </w:r>
      <w:r w:rsidRPr="00583068">
        <w:rPr>
          <w:rStyle w:val="StyleUnderline"/>
        </w:rPr>
        <w:t>with privilege comes responsibility</w:t>
      </w:r>
      <w:r w:rsidRPr="00FB1E1E">
        <w:rPr>
          <w:sz w:val="16"/>
        </w:rPr>
        <w:t xml:space="preserve">. And as Giroux frames it, </w:t>
      </w:r>
      <w:r w:rsidRPr="00583068">
        <w:rPr>
          <w:rStyle w:val="StyleUnderline"/>
        </w:rPr>
        <w:t xml:space="preserve">this is </w:t>
      </w:r>
      <w:r w:rsidRPr="00FC4DF1">
        <w:rPr>
          <w:rStyle w:val="StyleUnderline"/>
          <w:highlight w:val="yellow"/>
        </w:rPr>
        <w:t xml:space="preserve">an </w:t>
      </w:r>
      <w:r w:rsidRPr="00FC4DF1">
        <w:rPr>
          <w:rStyle w:val="Emphasis"/>
          <w:highlight w:val="yellow"/>
        </w:rPr>
        <w:t>ethical</w:t>
      </w:r>
      <w:r w:rsidRPr="00FC4DF1">
        <w:rPr>
          <w:rStyle w:val="StyleUnderline"/>
          <w:highlight w:val="yellow"/>
        </w:rPr>
        <w:t xml:space="preserve"> and </w:t>
      </w:r>
      <w:r w:rsidRPr="00FC4DF1">
        <w:rPr>
          <w:rStyle w:val="Emphasis"/>
          <w:highlight w:val="yellow"/>
        </w:rPr>
        <w:t>political responsibility</w:t>
      </w:r>
      <w:r w:rsidRPr="00FC4DF1">
        <w:rPr>
          <w:rStyle w:val="StyleUnderline"/>
          <w:highlight w:val="yellow"/>
        </w:rPr>
        <w:t xml:space="preserve"> to provide “</w:t>
      </w:r>
      <w:r w:rsidRPr="00FC4DF1">
        <w:rPr>
          <w:rStyle w:val="Emphasis"/>
          <w:highlight w:val="yellow"/>
        </w:rPr>
        <w:t>theoretical</w:t>
      </w:r>
      <w:r w:rsidRPr="00BD3760">
        <w:rPr>
          <w:rStyle w:val="Emphasis"/>
        </w:rPr>
        <w:t xml:space="preserve"> resources</w:t>
      </w:r>
      <w:r w:rsidRPr="00583068">
        <w:rPr>
          <w:rStyle w:val="StyleUnderline"/>
        </w:rPr>
        <w:t xml:space="preserve"> and </w:t>
      </w:r>
      <w:r w:rsidRPr="00BD3760">
        <w:rPr>
          <w:rStyle w:val="Emphasis"/>
        </w:rPr>
        <w:t xml:space="preserve">modes of </w:t>
      </w:r>
      <w:r w:rsidRPr="00FC4DF1">
        <w:rPr>
          <w:rStyle w:val="Emphasis"/>
          <w:highlight w:val="yellow"/>
        </w:rPr>
        <w:t>analysis</w:t>
      </w:r>
      <w:r w:rsidRPr="00FC4DF1">
        <w:rPr>
          <w:rStyle w:val="StyleUnderline"/>
          <w:highlight w:val="yellow"/>
        </w:rPr>
        <w:t xml:space="preserve">” to help forge “a </w:t>
      </w:r>
      <w:r w:rsidRPr="00FC4DF1">
        <w:rPr>
          <w:rStyle w:val="Emphasis"/>
          <w:highlight w:val="yellow"/>
        </w:rPr>
        <w:t>utopian imaginary</w:t>
      </w:r>
      <w:r w:rsidRPr="00583068">
        <w:rPr>
          <w:rStyle w:val="StyleUnderline"/>
        </w:rPr>
        <w:t>”</w:t>
      </w:r>
      <w:r w:rsidRPr="00FB1E1E">
        <w:rPr>
          <w:sz w:val="16"/>
        </w:rPr>
        <w:t xml:space="preserve"> (Giroux 2014a; 153; 2014b, 200). </w:t>
      </w:r>
      <w:r w:rsidRPr="00583068">
        <w:rPr>
          <w:rStyle w:val="StyleUnderline"/>
        </w:rPr>
        <w:t xml:space="preserve">This </w:t>
      </w:r>
      <w:r w:rsidRPr="00FC4DF1">
        <w:rPr>
          <w:rStyle w:val="StyleUnderline"/>
          <w:highlight w:val="yellow"/>
        </w:rPr>
        <w:t xml:space="preserve">means </w:t>
      </w:r>
      <w:r w:rsidRPr="00FC4DF1">
        <w:rPr>
          <w:rStyle w:val="Emphasis"/>
          <w:highlight w:val="yellow"/>
        </w:rPr>
        <w:t>putting</w:t>
      </w:r>
      <w:r w:rsidRPr="00BD3760">
        <w:rPr>
          <w:rStyle w:val="Emphasis"/>
        </w:rPr>
        <w:t xml:space="preserve"> one’s </w:t>
      </w:r>
      <w:r w:rsidRPr="00FC4DF1">
        <w:rPr>
          <w:rStyle w:val="Emphasis"/>
          <w:highlight w:val="yellow"/>
        </w:rPr>
        <w:t>knowledge</w:t>
      </w:r>
      <w:r w:rsidRPr="00FC4DF1">
        <w:rPr>
          <w:rStyle w:val="StyleUnderline"/>
          <w:highlight w:val="yellow"/>
        </w:rPr>
        <w:t xml:space="preserve"> and </w:t>
      </w:r>
      <w:r w:rsidRPr="00FC4DF1">
        <w:rPr>
          <w:rStyle w:val="Emphasis"/>
          <w:highlight w:val="yellow"/>
        </w:rPr>
        <w:t>resources to use</w:t>
      </w:r>
      <w:r w:rsidRPr="00FC4DF1">
        <w:rPr>
          <w:rStyle w:val="StyleUnderline"/>
          <w:highlight w:val="yellow"/>
        </w:rPr>
        <w:t xml:space="preserve"> in the service of a </w:t>
      </w:r>
      <w:r w:rsidRPr="00FC4DF1">
        <w:rPr>
          <w:rStyle w:val="Emphasis"/>
          <w:highlight w:val="yellow"/>
        </w:rPr>
        <w:t>collaborative process</w:t>
      </w:r>
      <w:r w:rsidRPr="00FB1E1E">
        <w:rPr>
          <w:sz w:val="16"/>
        </w:rPr>
        <w:t xml:space="preserve"> of memory- and story-making, pulling together disparate inchoate dreams and yearnings in order </w:t>
      </w:r>
      <w:r w:rsidRPr="00FC4DF1">
        <w:rPr>
          <w:rStyle w:val="StyleUnderline"/>
          <w:highlight w:val="yellow"/>
        </w:rPr>
        <w:t xml:space="preserve">to </w:t>
      </w:r>
      <w:r w:rsidRPr="00FC4DF1">
        <w:rPr>
          <w:rStyle w:val="Emphasis"/>
          <w:highlight w:val="yellow"/>
        </w:rPr>
        <w:t>generate a utopian vision</w:t>
      </w:r>
      <w:r w:rsidRPr="00FC4DF1">
        <w:rPr>
          <w:rStyle w:val="StyleUnderline"/>
          <w:highlight w:val="yellow"/>
        </w:rPr>
        <w:t xml:space="preserve"> that can help </w:t>
      </w:r>
      <w:r w:rsidRPr="00FC4DF1">
        <w:rPr>
          <w:rStyle w:val="Emphasis"/>
          <w:highlight w:val="yellow"/>
        </w:rPr>
        <w:t>inform</w:t>
      </w:r>
      <w:r w:rsidRPr="00FC4DF1">
        <w:rPr>
          <w:rStyle w:val="StyleUnderline"/>
          <w:highlight w:val="yellow"/>
        </w:rPr>
        <w:t xml:space="preserve">, </w:t>
      </w:r>
      <w:r w:rsidRPr="00FC4DF1">
        <w:rPr>
          <w:rStyle w:val="Emphasis"/>
          <w:highlight w:val="yellow"/>
        </w:rPr>
        <w:t>guide</w:t>
      </w:r>
      <w:r w:rsidRPr="00FC4DF1">
        <w:rPr>
          <w:rStyle w:val="StyleUnderline"/>
          <w:highlight w:val="yellow"/>
        </w:rPr>
        <w:t xml:space="preserve">, and </w:t>
      </w:r>
      <w:r w:rsidRPr="00FC4DF1">
        <w:rPr>
          <w:rStyle w:val="Emphasis"/>
          <w:highlight w:val="yellow"/>
        </w:rPr>
        <w:t>mobilize long-term collective action for systemic change</w:t>
      </w:r>
      <w:r w:rsidRPr="00BD3760">
        <w:rPr>
          <w:rStyle w:val="StyleUnderline"/>
        </w:rPr>
        <w:t>.</w:t>
      </w:r>
    </w:p>
    <w:p w14:paraId="5B2DAD04" w14:textId="294FE297" w:rsidR="00C015B8" w:rsidRDefault="00C015B8" w:rsidP="00C015B8">
      <w:pPr>
        <w:pStyle w:val="Heading3"/>
      </w:pPr>
      <w:r>
        <w:t>NC – Util</w:t>
      </w:r>
    </w:p>
    <w:p w14:paraId="700A3531" w14:textId="77777777" w:rsidR="00C015B8" w:rsidRPr="00AE2A33" w:rsidRDefault="00C015B8" w:rsidP="00C015B8">
      <w:pPr>
        <w:pStyle w:val="Heading4"/>
      </w:pPr>
      <w:r>
        <w:t xml:space="preserve">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52A788D1" w14:textId="77777777" w:rsidR="00C015B8" w:rsidRPr="00873F44" w:rsidRDefault="00C015B8" w:rsidP="00C015B8">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9"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2DEE4662" w14:textId="1D3C8F9C" w:rsidR="00C015B8" w:rsidRPr="00C015B8" w:rsidRDefault="00C015B8" w:rsidP="00C015B8">
      <w:pPr>
        <w:rPr>
          <w:u w:val="singl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all of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124F26">
        <w:rPr>
          <w:rStyle w:val="StyleUnderline"/>
          <w:highlight w:val="green"/>
        </w:rPr>
        <w:t>to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
        </w:rPr>
        <w:t>provide</w:t>
      </w:r>
      <w:r w:rsidRPr="00B304CE">
        <w:rPr>
          <w:rStyle w:val="StyleUnderline"/>
        </w:rPr>
        <w:t xml:space="preserve"> a kind of </w:t>
      </w:r>
      <w:r w:rsidRPr="00B304CE">
        <w:rPr>
          <w:rStyle w:val="StyleUnderline"/>
          <w:b/>
        </w:rPr>
        <w:t>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b/>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So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124F26">
        <w:rPr>
          <w:rStyle w:val="StyleUnderline"/>
          <w:highlight w:val="green"/>
        </w:rPr>
        <w:t xml:space="preserve">a good standard for </w:t>
      </w:r>
      <w:r w:rsidRPr="00124F26">
        <w:rPr>
          <w:rStyle w:val="StyleUnderline"/>
          <w:b/>
          <w:highlight w:val="green"/>
        </w:rPr>
        <w:t>resolving</w:t>
      </w:r>
      <w:r w:rsidRPr="00124F26">
        <w:rPr>
          <w:rStyle w:val="StyleUnderline"/>
          <w:highlight w:val="green"/>
        </w:rPr>
        <w:t xml:space="preserve"> </w:t>
      </w:r>
      <w:r w:rsidRPr="00124F26">
        <w:rPr>
          <w:rStyle w:val="StyleUnderline"/>
          <w:b/>
          <w:highlight w:val="green"/>
        </w:rPr>
        <w:t>public</w:t>
      </w:r>
      <w:r w:rsidRPr="00124F26">
        <w:rPr>
          <w:rStyle w:val="StyleUnderline"/>
          <w:highlight w:val="green"/>
        </w:rPr>
        <w:t xml:space="preserve"> </w:t>
      </w:r>
      <w:r w:rsidRPr="00124F26">
        <w:rPr>
          <w:rStyle w:val="StyleUnderline"/>
          <w:b/>
          <w:highlight w:val="green"/>
        </w:rPr>
        <w:t>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124F26">
        <w:rPr>
          <w:rStyle w:val="StyleUnderline"/>
          <w:highlight w:val="green"/>
        </w:rPr>
        <w:t>one of the</w:t>
      </w:r>
      <w:r w:rsidRPr="00827B49">
        <w:rPr>
          <w:rStyle w:val="StyleUnderline"/>
        </w:rPr>
        <w:t xml:space="preserve"> biggest </w:t>
      </w:r>
      <w:r w:rsidRPr="00124F26">
        <w:rPr>
          <w:rStyle w:val="StyleUnderline"/>
          <w:highlight w:val="green"/>
        </w:rPr>
        <w:t>criticisms</w:t>
      </w:r>
      <w:r w:rsidRPr="00AE2A33">
        <w:rPr>
          <w:sz w:val="16"/>
        </w:rPr>
        <w:t xml:space="preserve">--and now we're getting back to the Trolley cases, </w:t>
      </w:r>
      <w:r w:rsidRPr="00124F26">
        <w:rPr>
          <w:rStyle w:val="StyleUnderline"/>
          <w:highlight w:val="green"/>
        </w:rPr>
        <w:t>is</w:t>
      </w:r>
      <w:r w:rsidRPr="00827B49">
        <w:rPr>
          <w:rStyle w:val="StyleUnderline"/>
        </w:rPr>
        <w:t xml:space="preserve"> that utilitarianism doesn't adequately account for people's </w:t>
      </w:r>
      <w:r w:rsidRPr="00124F26">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124F26">
        <w:rPr>
          <w:rStyle w:val="StyleUnderline"/>
          <w:highlight w:val="green"/>
        </w:rPr>
        <w:t>footbridge case</w:t>
      </w:r>
      <w:r w:rsidRPr="00AE2A33">
        <w:rPr>
          <w:rStyle w:val="StyleUnderline"/>
        </w:rPr>
        <w:t xml:space="preserve">. And you mention these being </w:t>
      </w:r>
      <w:r w:rsidRPr="00124F26">
        <w:rPr>
          <w:rStyle w:val="StyleUnderline"/>
          <w:highlight w:val="green"/>
        </w:rPr>
        <w:t>kind of unrealistic and weird</w:t>
      </w:r>
      <w:r w:rsidRPr="00AE2A33">
        <w:rPr>
          <w:rStyle w:val="StyleUnderline"/>
        </w:rPr>
        <w:t xml:space="preserve"> cases. That's actually part of my defense. </w:t>
      </w:r>
      <w:r>
        <w:rPr>
          <w:rStyle w:val="StyleUnderline"/>
        </w:rPr>
        <w:t xml:space="preserve"> </w:t>
      </w:r>
      <w:r w:rsidRPr="00AE2A33">
        <w:rPr>
          <w:sz w:val="16"/>
        </w:rPr>
        <w:t xml:space="preserve">Russ: Yeah, there's some plus to it, I agree. </w:t>
      </w:r>
    </w:p>
    <w:p w14:paraId="290EE9BB" w14:textId="77777777" w:rsidR="00C015B8" w:rsidRPr="001F0DBD" w:rsidRDefault="00C015B8" w:rsidP="00C015B8">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r w:rsidRPr="00124F26">
        <w:rPr>
          <w:rStyle w:val="StyleUnderline"/>
          <w:highlight w:val="green"/>
        </w:rPr>
        <w:t>off</w:t>
      </w:r>
      <w:r w:rsidRPr="00AE2A33">
        <w:rPr>
          <w:rStyle w:val="StyleUnderline"/>
        </w:rPr>
        <w:t xml:space="preserve"> of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22F670C4" w14:textId="77777777" w:rsidR="00C015B8" w:rsidRPr="008A282C" w:rsidRDefault="00C015B8" w:rsidP="00C015B8">
      <w:pPr>
        <w:pStyle w:val="Heading4"/>
        <w:rPr>
          <w:rFonts w:cstheme="minorHAnsi"/>
        </w:rPr>
      </w:pP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6350CA52" w14:textId="77777777" w:rsidR="00C015B8" w:rsidRPr="008A282C" w:rsidRDefault="00C015B8" w:rsidP="00C015B8">
      <w:pPr>
        <w:rPr>
          <w:rFonts w:cstheme="minorHAnsi"/>
        </w:rPr>
      </w:pPr>
      <w:proofErr w:type="spellStart"/>
      <w:r w:rsidRPr="008A282C">
        <w:rPr>
          <w:rStyle w:val="Style13ptBold"/>
          <w:rFonts w:cstheme="minorHAnsi"/>
        </w:rPr>
        <w:t>Pummer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2D6E91B1" w14:textId="77777777" w:rsidR="00C015B8" w:rsidRPr="008A282C" w:rsidRDefault="00C015B8" w:rsidP="00C015B8">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8A282C">
        <w:rPr>
          <w:rStyle w:val="StyleUnderline"/>
          <w:rFonts w:cstheme="minorHAnsi"/>
          <w:highlight w:val="yellow"/>
        </w:rPr>
        <w:t xml:space="preserve">Even if they were 90% sure </w:t>
      </w:r>
      <w:r w:rsidRPr="008A282C">
        <w:rPr>
          <w:rStyle w:val="StyleUnderline"/>
          <w:rFonts w:cstheme="minorHAnsi"/>
        </w:rPr>
        <w:t xml:space="preserve">that their view is the correct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7FA9B46" w14:textId="77777777" w:rsidR="00FB29CA" w:rsidRPr="006F4656" w:rsidRDefault="00FB29CA" w:rsidP="00FB29CA">
      <w:pPr>
        <w:pStyle w:val="Heading4"/>
      </w:pPr>
      <w:r w:rsidRPr="006F4656">
        <w:t xml:space="preserve">Progress is possible--- even if there are </w:t>
      </w:r>
      <w:r w:rsidRPr="006F4656">
        <w:rPr>
          <w:u w:val="single"/>
        </w:rPr>
        <w:t>setbacks</w:t>
      </w:r>
      <w:r w:rsidRPr="006F4656">
        <w:t xml:space="preserve">, optimism is still a </w:t>
      </w:r>
      <w:r w:rsidRPr="006F4656">
        <w:rPr>
          <w:u w:val="single"/>
        </w:rPr>
        <w:t>far more effective</w:t>
      </w:r>
      <w:r w:rsidRPr="006F4656">
        <w:t xml:space="preserve"> mindset than pessimism</w:t>
      </w:r>
    </w:p>
    <w:p w14:paraId="7423B600" w14:textId="77777777" w:rsidR="00FB29CA" w:rsidRPr="006F4656" w:rsidRDefault="00FB29CA" w:rsidP="00FB29CA">
      <w:r w:rsidRPr="006F4656">
        <w:t xml:space="preserve">Randall </w:t>
      </w:r>
      <w:r w:rsidRPr="006F4656">
        <w:rPr>
          <w:rStyle w:val="Style13ptBold"/>
        </w:rPr>
        <w:t>Kennedy 14</w:t>
      </w:r>
      <w:r w:rsidRPr="006F4656">
        <w:t>, Michael R. Klein Professor of Law at Harvard University, “Black America's Promised Land: Why I Am Still a Racial Optimist,” 11/10/14, http://prospect.org/article/black-americas-promised-land-why-i-am-still-racial-optimist</w:t>
      </w:r>
    </w:p>
    <w:p w14:paraId="190A1B95" w14:textId="77777777" w:rsidR="00FB29CA" w:rsidRPr="006F4656" w:rsidRDefault="00FB29CA" w:rsidP="00FB29CA">
      <w:pPr>
        <w:rPr>
          <w:sz w:val="16"/>
        </w:rPr>
      </w:pPr>
      <w:r w:rsidRPr="00751782">
        <w:rPr>
          <w:rStyle w:val="StyleUnderline"/>
        </w:rPr>
        <w:t>I am hopeful</w:t>
      </w:r>
      <w:r w:rsidRPr="00751782">
        <w:rPr>
          <w:sz w:val="16"/>
        </w:rPr>
        <w:t xml:space="preserve"> first and foremost </w:t>
      </w:r>
      <w:r w:rsidRPr="00751782">
        <w:rPr>
          <w:rStyle w:val="StyleUnderline"/>
        </w:rPr>
        <w:t xml:space="preserve">because of </w:t>
      </w:r>
      <w:r w:rsidRPr="00880AC5">
        <w:rPr>
          <w:rStyle w:val="StyleUnderline"/>
          <w:highlight w:val="cyan"/>
        </w:rPr>
        <w:t xml:space="preserve">the </w:t>
      </w:r>
      <w:r w:rsidRPr="00880AC5">
        <w:rPr>
          <w:rStyle w:val="Emphasis"/>
          <w:highlight w:val="cyan"/>
        </w:rPr>
        <w:t>predominant trajectory</w:t>
      </w:r>
      <w:r w:rsidRPr="00880AC5">
        <w:rPr>
          <w:rStyle w:val="StyleUnderline"/>
          <w:highlight w:val="cyan"/>
        </w:rPr>
        <w:t xml:space="preserve"> of African Americans</w:t>
      </w:r>
      <w:r w:rsidRPr="006F4656">
        <w:rPr>
          <w:sz w:val="16"/>
        </w:rPr>
        <w:t xml:space="preserve">—a history that John Hope Franklin framed with the apt title From Slavery to Freedom. </w:t>
      </w:r>
      <w:r w:rsidRPr="006F4656">
        <w:rPr>
          <w:rStyle w:val="StyleUnderline"/>
        </w:rPr>
        <w:t>In 1860, four million African Americans were enslaved while another half-million were free but devoid of fundamental rights</w:t>
      </w:r>
      <w:r w:rsidRPr="006F4656">
        <w:rPr>
          <w:sz w:val="16"/>
        </w:rPr>
        <w:t xml:space="preserve"> in many of the jurisdictions where they lived. In 1860, the very term “African American” was something of an oxymoron because the Supreme Court had ruled in Dred Scott v. Sandford that no black, free or enslaved, could be a citizen of the United States. But within a decade, </w:t>
      </w:r>
      <w:r w:rsidRPr="00880AC5">
        <w:rPr>
          <w:rStyle w:val="StyleUnderline"/>
          <w:highlight w:val="cyan"/>
        </w:rPr>
        <w:t xml:space="preserve">the </w:t>
      </w:r>
      <w:r w:rsidRPr="00880AC5">
        <w:rPr>
          <w:rStyle w:val="Emphasis"/>
          <w:highlight w:val="cyan"/>
        </w:rPr>
        <w:t>Thirteenth Amendment</w:t>
      </w:r>
      <w:r w:rsidRPr="006F4656">
        <w:rPr>
          <w:sz w:val="16"/>
        </w:rPr>
        <w:t xml:space="preserve"> (1865) </w:t>
      </w:r>
      <w:r w:rsidRPr="00880AC5">
        <w:rPr>
          <w:rStyle w:val="StyleUnderline"/>
          <w:highlight w:val="cyan"/>
        </w:rPr>
        <w:t xml:space="preserve">abolished slavery, the </w:t>
      </w:r>
      <w:r w:rsidRPr="00880AC5">
        <w:rPr>
          <w:rStyle w:val="Emphasis"/>
          <w:highlight w:val="cyan"/>
        </w:rPr>
        <w:t>Fourteenth</w:t>
      </w:r>
      <w:r w:rsidRPr="00751782">
        <w:rPr>
          <w:rStyle w:val="Emphasis"/>
        </w:rPr>
        <w:t xml:space="preserve"> Amendment</w:t>
      </w:r>
      <w:r w:rsidRPr="006F4656">
        <w:rPr>
          <w:sz w:val="16"/>
        </w:rPr>
        <w:t xml:space="preserve"> (1868) </w:t>
      </w:r>
      <w:r w:rsidRPr="00880AC5">
        <w:rPr>
          <w:rStyle w:val="StyleUnderline"/>
          <w:highlight w:val="cyan"/>
        </w:rPr>
        <w:t>established</w:t>
      </w:r>
      <w:r w:rsidRPr="00751782">
        <w:rPr>
          <w:rStyle w:val="StyleUnderline"/>
        </w:rPr>
        <w:t xml:space="preserve"> birthright </w:t>
      </w:r>
      <w:r w:rsidRPr="00880AC5">
        <w:rPr>
          <w:rStyle w:val="Emphasis"/>
          <w:highlight w:val="cyan"/>
        </w:rPr>
        <w:t>citizenship</w:t>
      </w:r>
      <w:r w:rsidRPr="00880AC5">
        <w:rPr>
          <w:rStyle w:val="StyleUnderline"/>
          <w:highlight w:val="cyan"/>
        </w:rPr>
        <w:t xml:space="preserve"> </w:t>
      </w:r>
      <w:r w:rsidRPr="00751782">
        <w:rPr>
          <w:rStyle w:val="StyleUnderline"/>
        </w:rPr>
        <w:t>and required</w:t>
      </w:r>
      <w:r w:rsidRPr="006F4656">
        <w:rPr>
          <w:rStyle w:val="StyleUnderline"/>
        </w:rPr>
        <w:t xml:space="preserve"> all states to accord</w:t>
      </w:r>
      <w:r w:rsidRPr="006F4656">
        <w:rPr>
          <w:sz w:val="16"/>
        </w:rPr>
        <w:t xml:space="preserve"> all persons </w:t>
      </w:r>
      <w:r w:rsidRPr="00880AC5">
        <w:rPr>
          <w:rStyle w:val="Emphasis"/>
          <w:highlight w:val="cyan"/>
        </w:rPr>
        <w:t>due process</w:t>
      </w:r>
      <w:r w:rsidRPr="00880AC5">
        <w:rPr>
          <w:rStyle w:val="StyleUnderline"/>
          <w:highlight w:val="cyan"/>
        </w:rPr>
        <w:t xml:space="preserve"> and </w:t>
      </w:r>
      <w:r w:rsidRPr="00880AC5">
        <w:rPr>
          <w:rStyle w:val="Emphasis"/>
          <w:highlight w:val="cyan"/>
        </w:rPr>
        <w:t>equal protection</w:t>
      </w:r>
      <w:r w:rsidRPr="006F4656">
        <w:rPr>
          <w:sz w:val="16"/>
        </w:rPr>
        <w:t xml:space="preserve"> of the laws, and </w:t>
      </w:r>
      <w:r w:rsidRPr="00880AC5">
        <w:rPr>
          <w:rStyle w:val="StyleUnderline"/>
          <w:highlight w:val="cyan"/>
        </w:rPr>
        <w:t xml:space="preserve">the </w:t>
      </w:r>
      <w:r w:rsidRPr="00880AC5">
        <w:rPr>
          <w:rStyle w:val="Emphasis"/>
          <w:highlight w:val="cyan"/>
        </w:rPr>
        <w:t>Fifteenth</w:t>
      </w:r>
      <w:r w:rsidRPr="00751782">
        <w:rPr>
          <w:rStyle w:val="Emphasis"/>
        </w:rPr>
        <w:t xml:space="preserve"> Amendment</w:t>
      </w:r>
      <w:r w:rsidRPr="006F4656">
        <w:rPr>
          <w:sz w:val="16"/>
        </w:rPr>
        <w:t xml:space="preserve"> (1870) </w:t>
      </w:r>
      <w:r w:rsidRPr="00880AC5">
        <w:rPr>
          <w:rStyle w:val="StyleUnderline"/>
          <w:highlight w:val="cyan"/>
        </w:rPr>
        <w:t>prohibited states from withholding the right to vote</w:t>
      </w:r>
      <w:r w:rsidRPr="006F4656">
        <w:rPr>
          <w:rStyle w:val="StyleUnderline"/>
        </w:rPr>
        <w:t xml:space="preserve"> on account of race, color, or previous condition of servitude</w:t>
      </w:r>
      <w:r w:rsidRPr="006F4656">
        <w:rPr>
          <w:sz w:val="16"/>
        </w:rPr>
        <w:t xml:space="preserve">. </w:t>
      </w:r>
      <w:r w:rsidRPr="00751782">
        <w:rPr>
          <w:rStyle w:val="StyleUnderline"/>
        </w:rPr>
        <w:t>People who had been sold on the auction block</w:t>
      </w:r>
      <w:r w:rsidRPr="00751782">
        <w:rPr>
          <w:sz w:val="16"/>
        </w:rPr>
        <w:t xml:space="preserve"> as youngsters </w:t>
      </w:r>
      <w:r w:rsidRPr="00751782">
        <w:rPr>
          <w:rStyle w:val="Emphasis"/>
        </w:rPr>
        <w:t>helped to govern their locales</w:t>
      </w:r>
      <w:r w:rsidRPr="00751782">
        <w:rPr>
          <w:rStyle w:val="StyleUnderline"/>
        </w:rPr>
        <w:t xml:space="preserve"> as public officials</w:t>
      </w:r>
      <w:r w:rsidRPr="00751782">
        <w:rPr>
          <w:sz w:val="16"/>
        </w:rPr>
        <w:t xml:space="preserve"> when they were adults. In 1861, Jefferson Davis of Mississippi resigned from the United States Senate to join the Confederate States of America, which he led as president. In 1870, Hiram Revels, the first black member of Congress, occupied the seat that Davis abandoned.</w:t>
      </w:r>
    </w:p>
    <w:p w14:paraId="33D0E717" w14:textId="77777777" w:rsidR="00FB29CA" w:rsidRPr="006F4656" w:rsidRDefault="00FB29CA" w:rsidP="00FB29CA">
      <w:pPr>
        <w:rPr>
          <w:sz w:val="16"/>
        </w:rPr>
      </w:pPr>
      <w:r w:rsidRPr="00880AC5">
        <w:rPr>
          <w:rStyle w:val="StyleUnderline"/>
          <w:highlight w:val="cyan"/>
        </w:rPr>
        <w:t xml:space="preserve">The </w:t>
      </w:r>
      <w:r w:rsidRPr="00880AC5">
        <w:rPr>
          <w:rStyle w:val="Emphasis"/>
          <w:highlight w:val="cyan"/>
        </w:rPr>
        <w:t>First Reconstruction</w:t>
      </w:r>
      <w:r w:rsidRPr="006F4656">
        <w:rPr>
          <w:sz w:val="16"/>
        </w:rPr>
        <w:t xml:space="preserve"> </w:t>
      </w:r>
      <w:r w:rsidRPr="00751782">
        <w:rPr>
          <w:rStyle w:val="StyleUnderline"/>
        </w:rPr>
        <w:t>was overwhelmed by a</w:t>
      </w:r>
      <w:r w:rsidRPr="006F4656">
        <w:rPr>
          <w:sz w:val="16"/>
        </w:rPr>
        <w:t xml:space="preserve"> devastating </w:t>
      </w:r>
      <w:r w:rsidRPr="00751782">
        <w:rPr>
          <w:rStyle w:val="StyleUnderline"/>
        </w:rPr>
        <w:t>white supremacist reaction. But the most fundamental reforms it established</w:t>
      </w:r>
      <w:r w:rsidRPr="006F4656">
        <w:rPr>
          <w:sz w:val="16"/>
        </w:rPr>
        <w:t xml:space="preserve"> </w:t>
      </w:r>
      <w:r w:rsidRPr="00880AC5">
        <w:rPr>
          <w:rStyle w:val="Emphasis"/>
          <w:highlight w:val="cyan"/>
        </w:rPr>
        <w:t>proved resilient</w:t>
      </w:r>
      <w:r w:rsidRPr="00880AC5">
        <w:rPr>
          <w:sz w:val="16"/>
          <w:highlight w:val="cyan"/>
        </w:rPr>
        <w:t xml:space="preserve">, </w:t>
      </w:r>
      <w:r w:rsidRPr="00880AC5">
        <w:rPr>
          <w:rStyle w:val="StyleUnderline"/>
          <w:highlight w:val="cyan"/>
        </w:rPr>
        <w:t xml:space="preserve">providing the basis for a </w:t>
      </w:r>
      <w:r w:rsidRPr="00880AC5">
        <w:rPr>
          <w:rStyle w:val="Emphasis"/>
          <w:highlight w:val="cyan"/>
        </w:rPr>
        <w:t>Second Reconstruction</w:t>
      </w:r>
      <w:r w:rsidRPr="006F4656">
        <w:rPr>
          <w:rStyle w:val="StyleUnderline"/>
        </w:rPr>
        <w:t xml:space="preserve"> from the 1950s to the 1970s</w:t>
      </w:r>
      <w:r w:rsidRPr="006F4656">
        <w:rPr>
          <w:sz w:val="16"/>
        </w:rPr>
        <w:t xml:space="preserve">. During that period, too, the distance traveled by blacks was astonishing. </w:t>
      </w:r>
      <w:r w:rsidRPr="006F4656">
        <w:rPr>
          <w:rStyle w:val="StyleUnderline"/>
        </w:rPr>
        <w:t>In 1950, segregation was deemed to be consistent with</w:t>
      </w:r>
      <w:r w:rsidRPr="006F4656">
        <w:rPr>
          <w:sz w:val="16"/>
        </w:rPr>
        <w:t xml:space="preserve"> federal constitutional </w:t>
      </w:r>
      <w:r w:rsidRPr="006F4656">
        <w:rPr>
          <w:rStyle w:val="StyleUnderline"/>
        </w:rPr>
        <w:t>equal protection</w:t>
      </w:r>
      <w:r w:rsidRPr="006F4656">
        <w:rPr>
          <w:sz w:val="16"/>
        </w:rPr>
        <w:t xml:space="preserve">. No federal law prevented proprietors of hotels, restaurants, and other privately owned public accommodations from engaging in racial discrimination. No federal law prohibited private employers from discriminating on a racial basis against applicants for jobs or current employees. No federal law effectively counteracted racial disenfranchisement. No federal law outlawed racial discrimination in private housing transactions. </w:t>
      </w:r>
      <w:r w:rsidRPr="006F4656">
        <w:rPr>
          <w:rStyle w:val="StyleUnderline"/>
        </w:rPr>
        <w:t xml:space="preserve">In contrast, by 1970 federal constitutional law thoroughly repudiated the lie of separate but equal. </w:t>
      </w:r>
      <w:r w:rsidRPr="00880AC5">
        <w:rPr>
          <w:rStyle w:val="StyleUnderline"/>
          <w:highlight w:val="cyan"/>
        </w:rPr>
        <w:t>The</w:t>
      </w:r>
      <w:r w:rsidRPr="006F4656">
        <w:rPr>
          <w:rStyle w:val="StyleUnderline"/>
        </w:rPr>
        <w:t xml:space="preserve"> 1964 </w:t>
      </w:r>
      <w:r w:rsidRPr="00880AC5">
        <w:rPr>
          <w:rStyle w:val="Emphasis"/>
          <w:highlight w:val="cyan"/>
        </w:rPr>
        <w:t>Civil Rights Act</w:t>
      </w:r>
      <w:r w:rsidRPr="00880AC5">
        <w:rPr>
          <w:rStyle w:val="StyleUnderline"/>
          <w:highlight w:val="cyan"/>
        </w:rPr>
        <w:t xml:space="preserve"> forbade racial discrimination</w:t>
      </w:r>
      <w:r w:rsidRPr="006F4656">
        <w:rPr>
          <w:rStyle w:val="StyleUnderline"/>
        </w:rPr>
        <w:t xml:space="preserve"> in</w:t>
      </w:r>
      <w:r w:rsidRPr="006F4656">
        <w:rPr>
          <w:sz w:val="16"/>
        </w:rPr>
        <w:t xml:space="preserve"> privately owned places of </w:t>
      </w:r>
      <w:r w:rsidRPr="006F4656">
        <w:rPr>
          <w:rStyle w:val="StyleUnderline"/>
        </w:rPr>
        <w:t>public accommodation and</w:t>
      </w:r>
      <w:r w:rsidRPr="006F4656">
        <w:rPr>
          <w:sz w:val="16"/>
        </w:rPr>
        <w:t xml:space="preserve"> many areas of </w:t>
      </w:r>
      <w:r w:rsidRPr="006F4656">
        <w:rPr>
          <w:rStyle w:val="StyleUnderline"/>
        </w:rPr>
        <w:t>private employment</w:t>
      </w:r>
      <w:r w:rsidRPr="006F4656">
        <w:rPr>
          <w:sz w:val="16"/>
        </w:rPr>
        <w:t xml:space="preserve">. </w:t>
      </w:r>
      <w:r w:rsidRPr="00880AC5">
        <w:rPr>
          <w:rStyle w:val="StyleUnderline"/>
          <w:highlight w:val="cyan"/>
        </w:rPr>
        <w:t>The</w:t>
      </w:r>
      <w:r w:rsidRPr="006F4656">
        <w:rPr>
          <w:sz w:val="16"/>
        </w:rPr>
        <w:t xml:space="preserve"> 1965 </w:t>
      </w:r>
      <w:r w:rsidRPr="00880AC5">
        <w:rPr>
          <w:rStyle w:val="Emphasis"/>
          <w:highlight w:val="cyan"/>
        </w:rPr>
        <w:t>Voting Rights Act</w:t>
      </w:r>
      <w:r w:rsidRPr="00880AC5">
        <w:rPr>
          <w:sz w:val="16"/>
          <w:highlight w:val="cyan"/>
        </w:rPr>
        <w:t xml:space="preserve"> </w:t>
      </w:r>
      <w:r w:rsidRPr="00880AC5">
        <w:rPr>
          <w:rStyle w:val="StyleUnderline"/>
          <w:highlight w:val="cyan"/>
        </w:rPr>
        <w:t>provided</w:t>
      </w:r>
      <w:r w:rsidRPr="006F4656">
        <w:rPr>
          <w:rStyle w:val="StyleUnderline"/>
        </w:rPr>
        <w:t xml:space="preserve"> the basis for strong </w:t>
      </w:r>
      <w:r w:rsidRPr="00751782">
        <w:rPr>
          <w:rStyle w:val="StyleUnderline"/>
        </w:rPr>
        <w:t xml:space="preserve">prophylactic </w:t>
      </w:r>
      <w:r w:rsidRPr="00880AC5">
        <w:rPr>
          <w:rStyle w:val="StyleUnderline"/>
          <w:highlight w:val="cyan"/>
        </w:rPr>
        <w:t>action against</w:t>
      </w:r>
      <w:r w:rsidRPr="006F4656">
        <w:rPr>
          <w:sz w:val="16"/>
        </w:rPr>
        <w:t xml:space="preserve"> racial </w:t>
      </w:r>
      <w:r w:rsidRPr="00880AC5">
        <w:rPr>
          <w:rStyle w:val="StyleUnderline"/>
          <w:highlight w:val="cyan"/>
        </w:rPr>
        <w:t>exclusion</w:t>
      </w:r>
      <w:r w:rsidRPr="006F4656">
        <w:rPr>
          <w:rStyle w:val="StyleUnderline"/>
        </w:rPr>
        <w:t xml:space="preserve"> at the ballot box</w:t>
      </w:r>
      <w:r w:rsidRPr="006F4656">
        <w:rPr>
          <w:sz w:val="16"/>
        </w:rPr>
        <w:t xml:space="preserve">. </w:t>
      </w:r>
      <w:r w:rsidRPr="00880AC5">
        <w:rPr>
          <w:rStyle w:val="StyleUnderline"/>
          <w:highlight w:val="cyan"/>
        </w:rPr>
        <w:t>The</w:t>
      </w:r>
      <w:r w:rsidRPr="006F4656">
        <w:rPr>
          <w:sz w:val="16"/>
        </w:rPr>
        <w:t xml:space="preserve"> 1968 </w:t>
      </w:r>
      <w:r w:rsidRPr="00880AC5">
        <w:rPr>
          <w:rStyle w:val="Emphasis"/>
          <w:highlight w:val="cyan"/>
        </w:rPr>
        <w:t>Fair Housing Act</w:t>
      </w:r>
      <w:r w:rsidRPr="006F4656">
        <w:rPr>
          <w:sz w:val="16"/>
        </w:rPr>
        <w:t xml:space="preserve"> </w:t>
      </w:r>
      <w:r w:rsidRPr="00880AC5">
        <w:rPr>
          <w:rStyle w:val="StyleUnderline"/>
          <w:highlight w:val="cyan"/>
        </w:rPr>
        <w:t>addressed</w:t>
      </w:r>
      <w:r w:rsidRPr="006F4656">
        <w:rPr>
          <w:rStyle w:val="StyleUnderline"/>
        </w:rPr>
        <w:t xml:space="preserve"> racial </w:t>
      </w:r>
      <w:r w:rsidRPr="00880AC5">
        <w:rPr>
          <w:rStyle w:val="StyleUnderline"/>
          <w:highlight w:val="cyan"/>
        </w:rPr>
        <w:t>exclusion</w:t>
      </w:r>
      <w:r w:rsidRPr="006F4656">
        <w:rPr>
          <w:rStyle w:val="StyleUnderline"/>
        </w:rPr>
        <w:t xml:space="preserve"> in a market that had been zealously insulated against federal regulation</w:t>
      </w:r>
      <w:r w:rsidRPr="006F4656">
        <w:rPr>
          <w:sz w:val="16"/>
        </w:rPr>
        <w:t xml:space="preserve">. </w:t>
      </w:r>
      <w:r w:rsidRPr="00880AC5">
        <w:rPr>
          <w:rStyle w:val="Emphasis"/>
          <w:highlight w:val="cyan"/>
        </w:rPr>
        <w:t>None</w:t>
      </w:r>
      <w:r w:rsidRPr="00751782">
        <w:rPr>
          <w:rStyle w:val="Emphasis"/>
        </w:rPr>
        <w:t xml:space="preserve"> of these</w:t>
      </w:r>
      <w:r w:rsidRPr="006F4656">
        <w:rPr>
          <w:rStyle w:val="Emphasis"/>
        </w:rPr>
        <w:t xml:space="preserve"> interventions </w:t>
      </w:r>
      <w:r w:rsidRPr="00880AC5">
        <w:rPr>
          <w:rStyle w:val="Emphasis"/>
          <w:highlight w:val="cyan"/>
        </w:rPr>
        <w:t>were wholly successful</w:t>
      </w:r>
      <w:r w:rsidRPr="006F4656">
        <w:rPr>
          <w:sz w:val="16"/>
        </w:rPr>
        <w:t xml:space="preserve">. All were compromised. </w:t>
      </w:r>
      <w:r w:rsidRPr="00880AC5">
        <w:rPr>
          <w:rStyle w:val="Emphasis"/>
          <w:highlight w:val="cyan"/>
        </w:rPr>
        <w:t>All occasioned backlash</w:t>
      </w:r>
      <w:r w:rsidRPr="00751782">
        <w:t>.</w:t>
      </w:r>
      <w:r w:rsidRPr="006F4656">
        <w:rPr>
          <w:sz w:val="16"/>
        </w:rPr>
        <w:t xml:space="preserve"> </w:t>
      </w:r>
      <w:r w:rsidRPr="00880AC5">
        <w:rPr>
          <w:rStyle w:val="StyleUnderline"/>
          <w:highlight w:val="cyan"/>
        </w:rPr>
        <w:t>But the</w:t>
      </w:r>
      <w:r w:rsidRPr="006F4656">
        <w:rPr>
          <w:rStyle w:val="StyleUnderline"/>
        </w:rPr>
        <w:t xml:space="preserve"> racial </w:t>
      </w:r>
      <w:r w:rsidRPr="00880AC5">
        <w:rPr>
          <w:rStyle w:val="StyleUnderline"/>
          <w:highlight w:val="cyan"/>
        </w:rPr>
        <w:t>situation</w:t>
      </w:r>
      <w:r w:rsidRPr="006F4656">
        <w:rPr>
          <w:rStyle w:val="StyleUnderline"/>
        </w:rPr>
        <w:t xml:space="preserve"> in 1970 and </w:t>
      </w:r>
      <w:r w:rsidRPr="00880AC5">
        <w:rPr>
          <w:rStyle w:val="StyleUnderline"/>
          <w:highlight w:val="cyan"/>
        </w:rPr>
        <w:t xml:space="preserve">afterwards was </w:t>
      </w:r>
      <w:r w:rsidRPr="00880AC5">
        <w:rPr>
          <w:rStyle w:val="Emphasis"/>
          <w:highlight w:val="cyan"/>
        </w:rPr>
        <w:t>dramatically better</w:t>
      </w:r>
      <w:r w:rsidRPr="00880AC5">
        <w:rPr>
          <w:rStyle w:val="StyleUnderline"/>
          <w:highlight w:val="cyan"/>
        </w:rPr>
        <w:t xml:space="preserve"> than</w:t>
      </w:r>
      <w:r w:rsidRPr="006F4656">
        <w:rPr>
          <w:sz w:val="16"/>
        </w:rPr>
        <w:t xml:space="preserve"> what it had been in 1950 and </w:t>
      </w:r>
      <w:r w:rsidRPr="00880AC5">
        <w:rPr>
          <w:rStyle w:val="StyleUnderline"/>
          <w:highlight w:val="cyan"/>
        </w:rPr>
        <w:t>before</w:t>
      </w:r>
      <w:r w:rsidRPr="006F4656">
        <w:rPr>
          <w:sz w:val="16"/>
        </w:rPr>
        <w:t>.</w:t>
      </w:r>
    </w:p>
    <w:p w14:paraId="703E2D87" w14:textId="77777777" w:rsidR="00FB29CA" w:rsidRPr="006F4656" w:rsidRDefault="00FB29CA" w:rsidP="00FB29CA">
      <w:pPr>
        <w:rPr>
          <w:sz w:val="16"/>
        </w:rPr>
      </w:pPr>
      <w:r w:rsidRPr="006F4656">
        <w:rPr>
          <w:sz w:val="16"/>
        </w:rPr>
        <w:t xml:space="preserve">Today, at a moment when progress has stalled, </w:t>
      </w:r>
      <w:r w:rsidRPr="00880AC5">
        <w:rPr>
          <w:rStyle w:val="Emphasis"/>
          <w:highlight w:val="cyan"/>
        </w:rPr>
        <w:t>we need to recall how</w:t>
      </w:r>
      <w:r w:rsidRPr="00751782">
        <w:rPr>
          <w:rStyle w:val="Emphasis"/>
        </w:rPr>
        <w:t xml:space="preserve"> dramatically and </w:t>
      </w:r>
      <w:r w:rsidRPr="00880AC5">
        <w:rPr>
          <w:rStyle w:val="Emphasis"/>
          <w:highlight w:val="cyan"/>
        </w:rPr>
        <w:t>unexpectedly conditions sometimes change</w:t>
      </w:r>
      <w:r w:rsidRPr="00880AC5">
        <w:rPr>
          <w:sz w:val="16"/>
          <w:highlight w:val="cyan"/>
        </w:rPr>
        <w:t>.</w:t>
      </w:r>
      <w:r w:rsidRPr="006F4656">
        <w:rPr>
          <w:sz w:val="16"/>
        </w:rPr>
        <w:t xml:space="preserve"> Until recently who’d-a </w:t>
      </w:r>
      <w:proofErr w:type="spellStart"/>
      <w:r w:rsidRPr="006F4656">
        <w:rPr>
          <w:sz w:val="16"/>
        </w:rPr>
        <w:t>thunk</w:t>
      </w:r>
      <w:proofErr w:type="spellEnd"/>
      <w:r w:rsidRPr="006F4656">
        <w:rPr>
          <w:sz w:val="16"/>
        </w:rPr>
        <w:t xml:space="preserve"> it possible for the president to be an African American? In the 1980s, I used to ask law students how long affirmative action programs ought to last. Champions of such programs, seeking to ensure their longevity, would say that affirmative action would be needed until the country elected a black president. That reply would elicit appreciative laughter as listeners supposed that that formula would preserve affirmative action for at least a century. But then along came Barack Obama and with him the remark that soon became a cliché: “I never thought that I’d live to see a black president.”</w:t>
      </w:r>
    </w:p>
    <w:p w14:paraId="1C657B85" w14:textId="77777777" w:rsidR="00FB29CA" w:rsidRPr="006F4656" w:rsidRDefault="00FB29CA" w:rsidP="00FB29CA">
      <w:pPr>
        <w:rPr>
          <w:sz w:val="16"/>
        </w:rPr>
      </w:pPr>
      <w:r w:rsidRPr="006F4656">
        <w:rPr>
          <w:sz w:val="16"/>
        </w:rPr>
        <w:t xml:space="preserve">Obama’s election is much more than a monument to one politician’s talent and good fortune. </w:t>
      </w:r>
      <w:r w:rsidRPr="00880AC5">
        <w:rPr>
          <w:rStyle w:val="StyleUnderline"/>
          <w:highlight w:val="cyan"/>
        </w:rPr>
        <w:t>Changes in</w:t>
      </w:r>
      <w:r w:rsidRPr="00751782">
        <w:rPr>
          <w:rStyle w:val="StyleUnderline"/>
        </w:rPr>
        <w:t xml:space="preserve"> public </w:t>
      </w:r>
      <w:r w:rsidRPr="00880AC5">
        <w:rPr>
          <w:rStyle w:val="Emphasis"/>
          <w:highlight w:val="cyan"/>
        </w:rPr>
        <w:t>attitudes</w:t>
      </w:r>
      <w:r w:rsidRPr="00880AC5">
        <w:rPr>
          <w:rStyle w:val="StyleUnderline"/>
          <w:highlight w:val="cyan"/>
        </w:rPr>
        <w:t xml:space="preserve">, </w:t>
      </w:r>
      <w:r w:rsidRPr="00880AC5">
        <w:rPr>
          <w:rStyle w:val="Emphasis"/>
          <w:highlight w:val="cyan"/>
        </w:rPr>
        <w:t>law</w:t>
      </w:r>
      <w:r w:rsidRPr="00880AC5">
        <w:rPr>
          <w:rStyle w:val="StyleUnderline"/>
          <w:highlight w:val="cyan"/>
        </w:rPr>
        <w:t xml:space="preserve">, and </w:t>
      </w:r>
      <w:r w:rsidRPr="00880AC5">
        <w:rPr>
          <w:rStyle w:val="Emphasis"/>
          <w:highlight w:val="cyan"/>
        </w:rPr>
        <w:t>custom</w:t>
      </w:r>
      <w:r w:rsidRPr="00880AC5">
        <w:rPr>
          <w:rStyle w:val="StyleUnderline"/>
          <w:highlight w:val="cyan"/>
        </w:rPr>
        <w:t xml:space="preserve"> have</w:t>
      </w:r>
      <w:r w:rsidRPr="00751782">
        <w:rPr>
          <w:rStyle w:val="StyleUnderline"/>
        </w:rPr>
        <w:t xml:space="preserve"> clearly </w:t>
      </w:r>
      <w:r w:rsidRPr="00880AC5">
        <w:rPr>
          <w:rStyle w:val="StyleUnderline"/>
          <w:highlight w:val="cyan"/>
        </w:rPr>
        <w:t>elevated</w:t>
      </w:r>
      <w:r w:rsidRPr="00751782">
        <w:rPr>
          <w:rStyle w:val="StyleUnderline"/>
        </w:rPr>
        <w:t xml:space="preserve"> the</w:t>
      </w:r>
      <w:r w:rsidRPr="006F4656">
        <w:rPr>
          <w:rStyle w:val="StyleUnderline"/>
        </w:rPr>
        <w:t xml:space="preserve"> fortunes of </w:t>
      </w:r>
      <w:r w:rsidRPr="00751782">
        <w:rPr>
          <w:rStyle w:val="StyleUnderline"/>
        </w:rPr>
        <w:t>African Americans</w:t>
      </w:r>
      <w:r w:rsidRPr="006F4656">
        <w:rPr>
          <w:rStyle w:val="StyleUnderline"/>
        </w:rPr>
        <w:t xml:space="preserve"> as individuals and </w:t>
      </w:r>
      <w:r w:rsidRPr="00880AC5">
        <w:rPr>
          <w:rStyle w:val="StyleUnderline"/>
          <w:highlight w:val="cyan"/>
        </w:rPr>
        <w:t>black America as a collectivity</w:t>
      </w:r>
      <w:r w:rsidRPr="006F4656">
        <w:rPr>
          <w:sz w:val="16"/>
        </w:rPr>
        <w:t xml:space="preserve">. </w:t>
      </w:r>
      <w:r w:rsidRPr="006F4656">
        <w:rPr>
          <w:rStyle w:val="StyleUnderline"/>
        </w:rPr>
        <w:t xml:space="preserve">Hard </w:t>
      </w:r>
      <w:r w:rsidRPr="00751782">
        <w:rPr>
          <w:rStyle w:val="StyleUnderline"/>
        </w:rPr>
        <w:t>facts may give plausibility to the pessimistic tradition, but they make</w:t>
      </w:r>
      <w:r w:rsidRPr="006F4656">
        <w:rPr>
          <w:rStyle w:val="StyleUnderline"/>
        </w:rPr>
        <w:t xml:space="preserve"> the optimistic tradition compelling</w:t>
      </w:r>
      <w:r w:rsidRPr="00751782">
        <w:rPr>
          <w:rStyle w:val="StyleUnderline"/>
        </w:rPr>
        <w:t xml:space="preserve">. </w:t>
      </w:r>
      <w:r w:rsidRPr="00880AC5">
        <w:rPr>
          <w:rStyle w:val="StyleUnderline"/>
          <w:highlight w:val="cyan"/>
        </w:rPr>
        <w:t>Despite the</w:t>
      </w:r>
      <w:r w:rsidRPr="00751782">
        <w:rPr>
          <w:rStyle w:val="StyleUnderline"/>
        </w:rPr>
        <w:t xml:space="preserve"> many </w:t>
      </w:r>
      <w:r w:rsidRPr="00880AC5">
        <w:rPr>
          <w:rStyle w:val="StyleUnderline"/>
          <w:highlight w:val="cyan"/>
        </w:rPr>
        <w:t>wrongs that remain</w:t>
      </w:r>
      <w:r w:rsidRPr="00751782">
        <w:rPr>
          <w:rStyle w:val="StyleUnderline"/>
        </w:rPr>
        <w:t xml:space="preserve"> to be righted, </w:t>
      </w:r>
      <w:r w:rsidRPr="00880AC5">
        <w:rPr>
          <w:rStyle w:val="StyleUnderline"/>
          <w:highlight w:val="cyan"/>
        </w:rPr>
        <w:t>blacks in America confront fewer</w:t>
      </w:r>
      <w:r w:rsidRPr="00751782">
        <w:rPr>
          <w:rStyle w:val="StyleUnderline"/>
        </w:rPr>
        <w:t xml:space="preserve"> racist </w:t>
      </w:r>
      <w:r w:rsidRPr="00880AC5">
        <w:rPr>
          <w:rStyle w:val="StyleUnderline"/>
          <w:highlight w:val="cyan"/>
        </w:rPr>
        <w:t>impediments</w:t>
      </w:r>
      <w:r w:rsidRPr="00751782">
        <w:rPr>
          <w:rStyle w:val="StyleUnderline"/>
        </w:rPr>
        <w:t xml:space="preserve"> now</w:t>
      </w:r>
      <w:r w:rsidRPr="006F4656">
        <w:rPr>
          <w:rStyle w:val="StyleUnderline"/>
        </w:rPr>
        <w:t xml:space="preserve"> </w:t>
      </w:r>
      <w:r w:rsidRPr="00880AC5">
        <w:rPr>
          <w:rStyle w:val="StyleUnderline"/>
          <w:highlight w:val="cyan"/>
        </w:rPr>
        <w:t xml:space="preserve">than </w:t>
      </w:r>
      <w:r w:rsidRPr="00880AC5">
        <w:rPr>
          <w:rStyle w:val="Emphasis"/>
          <w:highlight w:val="cyan"/>
        </w:rPr>
        <w:t>ever before</w:t>
      </w:r>
      <w:r w:rsidRPr="006F4656">
        <w:rPr>
          <w:rStyle w:val="StyleUnderline"/>
        </w:rPr>
        <w:t xml:space="preserve"> in the history of the United States</w:t>
      </w:r>
      <w:r w:rsidRPr="006F4656">
        <w:rPr>
          <w:sz w:val="16"/>
        </w:rPr>
        <w:t>. The courage, intelligence, persistence, idealism, and sacrifice of Fannie Lou Hamer and Rosa Parks, Julian Bond and Bob Moses, Medgar Evers and Bayard Rustin, Viola Liuzzo and Vernon Dahmer—and countless other tribunes for racial justice—have not been expended for naught. The facts of day-to-day life allow blacks to sing more confidently than ever before James Weldon Johnson’s magnificent hymn “Lift Every Voice and Sing,” often referred to as the Black National Anthem:</w:t>
      </w:r>
    </w:p>
    <w:p w14:paraId="7C40714F" w14:textId="77777777" w:rsidR="00FB29CA" w:rsidRPr="006F4656" w:rsidRDefault="00FB29CA" w:rsidP="00FB29CA">
      <w:pPr>
        <w:rPr>
          <w:sz w:val="16"/>
        </w:rPr>
      </w:pPr>
      <w:r w:rsidRPr="006F4656">
        <w:rPr>
          <w:sz w:val="16"/>
        </w:rPr>
        <w:t>Sing a song full of the faith that the dark past</w:t>
      </w:r>
      <w:r>
        <w:rPr>
          <w:sz w:val="16"/>
        </w:rPr>
        <w:t xml:space="preserve"> </w:t>
      </w:r>
      <w:r w:rsidRPr="006F4656">
        <w:rPr>
          <w:sz w:val="16"/>
        </w:rPr>
        <w:t>has taught us</w:t>
      </w:r>
      <w:r>
        <w:rPr>
          <w:sz w:val="16"/>
        </w:rPr>
        <w:t xml:space="preserve"> </w:t>
      </w:r>
      <w:r w:rsidRPr="006F4656">
        <w:rPr>
          <w:sz w:val="16"/>
        </w:rPr>
        <w:t>Sing a song full of the hope that the present</w:t>
      </w:r>
      <w:r>
        <w:rPr>
          <w:sz w:val="16"/>
        </w:rPr>
        <w:t xml:space="preserve"> </w:t>
      </w:r>
      <w:r w:rsidRPr="006F4656">
        <w:rPr>
          <w:sz w:val="16"/>
        </w:rPr>
        <w:t>has brought us</w:t>
      </w:r>
      <w:r>
        <w:rPr>
          <w:sz w:val="16"/>
        </w:rPr>
        <w:t xml:space="preserve"> </w:t>
      </w:r>
      <w:r w:rsidRPr="006F4656">
        <w:rPr>
          <w:sz w:val="16"/>
        </w:rPr>
        <w:t>Facing the rising sun of our new day begun</w:t>
      </w:r>
      <w:r>
        <w:rPr>
          <w:sz w:val="16"/>
        </w:rPr>
        <w:t xml:space="preserve"> </w:t>
      </w:r>
      <w:r w:rsidRPr="006F4656">
        <w:rPr>
          <w:sz w:val="16"/>
        </w:rPr>
        <w:t>Let us march on till victory is won.</w:t>
      </w:r>
    </w:p>
    <w:p w14:paraId="4F47D54A" w14:textId="77777777" w:rsidR="00FB29CA" w:rsidRPr="006F4656" w:rsidRDefault="00FB29CA" w:rsidP="00FB29CA">
      <w:pPr>
        <w:rPr>
          <w:sz w:val="16"/>
        </w:rPr>
      </w:pPr>
      <w:r w:rsidRPr="006F4656">
        <w:rPr>
          <w:sz w:val="16"/>
        </w:rPr>
        <w:t xml:space="preserve">The belief that we can overcome makes more realistic the possibility that we shall overcome. </w:t>
      </w:r>
      <w:r w:rsidRPr="00880AC5">
        <w:rPr>
          <w:rStyle w:val="StyleUnderline"/>
          <w:highlight w:val="cyan"/>
        </w:rPr>
        <w:t xml:space="preserve">Optimism gives buoyancy to thinking that might otherwise </w:t>
      </w:r>
      <w:r w:rsidRPr="00880AC5">
        <w:rPr>
          <w:rStyle w:val="Emphasis"/>
          <w:highlight w:val="cyan"/>
        </w:rPr>
        <w:t>degenerate into nihilism</w:t>
      </w:r>
    </w:p>
    <w:p w14:paraId="11CE5FD0" w14:textId="77777777" w:rsidR="00FB29CA" w:rsidRDefault="00FB29CA" w:rsidP="00FB29CA">
      <w:pPr>
        <w:rPr>
          <w:sz w:val="16"/>
        </w:rPr>
      </w:pPr>
      <w:r w:rsidRPr="006F4656">
        <w:rPr>
          <w:sz w:val="16"/>
        </w:rPr>
        <w:t xml:space="preserve">My optimism involves more than a sociological prediction. I am also swayed by my intuition regarding which of these hypotheses—the pessimistic or the optimistic—will do the most good. </w:t>
      </w:r>
      <w:r w:rsidRPr="00880AC5">
        <w:rPr>
          <w:rStyle w:val="StyleUnderline"/>
          <w:highlight w:val="cyan"/>
        </w:rPr>
        <w:t>Hope is a vital</w:t>
      </w:r>
      <w:r w:rsidRPr="00751782">
        <w:rPr>
          <w:rStyle w:val="StyleUnderline"/>
        </w:rPr>
        <w:t xml:space="preserve"> nutrient</w:t>
      </w:r>
      <w:r w:rsidRPr="006F4656">
        <w:rPr>
          <w:rStyle w:val="StyleUnderline"/>
        </w:rPr>
        <w:t xml:space="preserve"> for effort</w:t>
      </w:r>
      <w:r w:rsidRPr="006F4656">
        <w:rPr>
          <w:sz w:val="16"/>
        </w:rPr>
        <w:t xml:space="preserve">; </w:t>
      </w:r>
      <w:r w:rsidRPr="00880AC5">
        <w:rPr>
          <w:rStyle w:val="StyleUnderline"/>
          <w:highlight w:val="cyan"/>
        </w:rPr>
        <w:t xml:space="preserve">without it, there is </w:t>
      </w:r>
      <w:r w:rsidRPr="00880AC5">
        <w:rPr>
          <w:rStyle w:val="Emphasis"/>
          <w:highlight w:val="cyan"/>
        </w:rPr>
        <w:t>no prospect for achievement</w:t>
      </w:r>
      <w:r w:rsidRPr="006F4656">
        <w:rPr>
          <w:sz w:val="16"/>
        </w:rPr>
        <w:t xml:space="preserve">. </w:t>
      </w:r>
      <w:r w:rsidRPr="00751782">
        <w:rPr>
          <w:rStyle w:val="StyleUnderline"/>
        </w:rPr>
        <w:t xml:space="preserve">The belief that we can overcome makes </w:t>
      </w:r>
      <w:r w:rsidRPr="00751782">
        <w:rPr>
          <w:rStyle w:val="Emphasis"/>
        </w:rPr>
        <w:t>more realistic</w:t>
      </w:r>
      <w:r w:rsidRPr="00751782">
        <w:rPr>
          <w:rStyle w:val="StyleUnderline"/>
        </w:rPr>
        <w:t xml:space="preserve"> the possibility that we shall overcome</w:t>
      </w:r>
      <w:r w:rsidRPr="00751782">
        <w:rPr>
          <w:sz w:val="16"/>
        </w:rPr>
        <w:t xml:space="preserve">. </w:t>
      </w:r>
      <w:r w:rsidRPr="00751782">
        <w:rPr>
          <w:rStyle w:val="StyleUnderline"/>
        </w:rPr>
        <w:t>Optimism</w:t>
      </w:r>
      <w:r w:rsidRPr="00751782">
        <w:rPr>
          <w:sz w:val="16"/>
        </w:rPr>
        <w:t xml:space="preserve"> gives buoyancy to thinking that might otherwise degenerate into nihilism, encourages solidarity in those who might otherwise be satisfied by purely selfish indulgence, </w:t>
      </w:r>
      <w:r w:rsidRPr="00751782">
        <w:rPr>
          <w:rStyle w:val="StyleUnderline"/>
        </w:rPr>
        <w:t xml:space="preserve">invites strategic planning that can usefully harness what might otherwise be </w:t>
      </w:r>
      <w:r w:rsidRPr="00751782">
        <w:rPr>
          <w:rStyle w:val="Emphasis"/>
        </w:rPr>
        <w:t>impotent indignation</w:t>
      </w:r>
      <w:r w:rsidRPr="00751782">
        <w:rPr>
          <w:sz w:val="16"/>
        </w:rPr>
        <w:t>, and inspires efforts that might otherwise be avoided due to fatalism.</w:t>
      </w:r>
    </w:p>
    <w:p w14:paraId="10592C06" w14:textId="77777777" w:rsidR="00FB29CA" w:rsidRDefault="00FB29CA" w:rsidP="00C015B8">
      <w:pPr>
        <w:pStyle w:val="Heading3"/>
      </w:pPr>
    </w:p>
    <w:p w14:paraId="2B025113" w14:textId="0F8F87CB" w:rsidR="00C015B8" w:rsidRDefault="00C015B8" w:rsidP="00C015B8">
      <w:pPr>
        <w:pStyle w:val="Heading3"/>
      </w:pPr>
      <w:r>
        <w:t>AT: Mitchell</w:t>
      </w:r>
    </w:p>
    <w:p w14:paraId="06AD56F9" w14:textId="77777777" w:rsidR="00C015B8" w:rsidRDefault="00C015B8" w:rsidP="00C015B8">
      <w:pPr>
        <w:pStyle w:val="Heading4"/>
      </w:pPr>
      <w:r>
        <w:t>Agrees with consequentialism – “focus on intent allows white Australians to imagine their relationship is non-genocidal.” Only util stops them from eliding their relationship with systematic genocide.</w:t>
      </w:r>
    </w:p>
    <w:p w14:paraId="42EE3CB0" w14:textId="77777777" w:rsidR="00C015B8" w:rsidRDefault="00C015B8" w:rsidP="00C015B8"/>
    <w:p w14:paraId="489B088C" w14:textId="77777777" w:rsidR="00C015B8" w:rsidRDefault="00C015B8" w:rsidP="00C015B8">
      <w:pPr>
        <w:pStyle w:val="Heading4"/>
      </w:pPr>
      <w:r>
        <w:t>Particularity – Mitchell says “extinction is not real for Western subjects, it is a fantasy of negation” – this card is about using extinction as a metaphor – we win the DA we didn’t.</w:t>
      </w:r>
    </w:p>
    <w:p w14:paraId="777B42D9" w14:textId="77777777" w:rsidR="00C015B8" w:rsidRPr="00C015B8" w:rsidRDefault="00C015B8" w:rsidP="00C015B8"/>
    <w:sectPr w:rsidR="00C015B8" w:rsidRPr="00C01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4923"/>
    <w:rsid w:val="000139A3"/>
    <w:rsid w:val="00100833"/>
    <w:rsid w:val="00104529"/>
    <w:rsid w:val="00104E97"/>
    <w:rsid w:val="00105942"/>
    <w:rsid w:val="00107396"/>
    <w:rsid w:val="00144A4C"/>
    <w:rsid w:val="001464E4"/>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67A90"/>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015B8"/>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4923"/>
    <w:rsid w:val="00DA6538"/>
    <w:rsid w:val="00E15E75"/>
    <w:rsid w:val="00E5262C"/>
    <w:rsid w:val="00EC7DC4"/>
    <w:rsid w:val="00ED30CF"/>
    <w:rsid w:val="00F176EF"/>
    <w:rsid w:val="00F45E10"/>
    <w:rsid w:val="00F6364A"/>
    <w:rsid w:val="00F9113A"/>
    <w:rsid w:val="00FA0185"/>
    <w:rsid w:val="00FB29C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DD76B"/>
  <w15:chartTrackingRefBased/>
  <w15:docId w15:val="{56ABF9F7-271D-44A5-87A2-7C7D897BB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15B8"/>
    <w:rPr>
      <w:rFonts w:ascii="Times New Roman" w:hAnsi="Times New Roman" w:cs="Times New Roman"/>
    </w:rPr>
  </w:style>
  <w:style w:type="paragraph" w:styleId="Heading1">
    <w:name w:val="heading 1"/>
    <w:aliases w:val="Pocket"/>
    <w:basedOn w:val="Normal"/>
    <w:next w:val="Normal"/>
    <w:link w:val="Heading1Char"/>
    <w:qFormat/>
    <w:rsid w:val="00C015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15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C015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T"/>
    <w:basedOn w:val="Normal"/>
    <w:next w:val="Normal"/>
    <w:link w:val="Heading4Char"/>
    <w:uiPriority w:val="3"/>
    <w:unhideWhenUsed/>
    <w:qFormat/>
    <w:rsid w:val="00C015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15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5B8"/>
  </w:style>
  <w:style w:type="character" w:customStyle="1" w:styleId="Heading1Char">
    <w:name w:val="Heading 1 Char"/>
    <w:aliases w:val="Pocket Char"/>
    <w:basedOn w:val="DefaultParagraphFont"/>
    <w:link w:val="Heading1"/>
    <w:rsid w:val="00C015B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015B8"/>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C015B8"/>
    <w:rPr>
      <w:rFonts w:ascii="Times New Roman" w:eastAsiaTheme="majorEastAsia" w:hAnsi="Times New Roman"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C015B8"/>
    <w:rPr>
      <w:rFonts w:ascii="Times New Roman" w:eastAsiaTheme="majorEastAsia" w:hAnsi="Times New Roman" w:cstheme="majorBidi"/>
      <w:b/>
      <w:iCs/>
      <w:sz w:val="26"/>
    </w:rPr>
  </w:style>
  <w:style w:type="character" w:styleId="Emphasis">
    <w:name w:val="Emphasis"/>
    <w:aliases w:val="emphasis in card,CD Card,Minimized,minimized,Evidence,Highlighted,tag2,Size 10,ED - Tag,emphasis,Underlined,Bold Underline,Emphasis!!,small,Qualifications,Heading 3 Char1,Char Char Char Char Char Char Char Char Char1,qualificatio,normal card text"/>
    <w:basedOn w:val="DefaultParagraphFont"/>
    <w:link w:val="textbold"/>
    <w:uiPriority w:val="7"/>
    <w:qFormat/>
    <w:rsid w:val="00C015B8"/>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15B8"/>
    <w:rPr>
      <w:b/>
      <w:bCs/>
      <w:sz w:val="21"/>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8"/>
    <w:basedOn w:val="DefaultParagraphFont"/>
    <w:uiPriority w:val="6"/>
    <w:qFormat/>
    <w:rsid w:val="00C015B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015B8"/>
    <w:rPr>
      <w:color w:val="auto"/>
      <w:u w:val="none"/>
    </w:rPr>
  </w:style>
  <w:style w:type="character" w:styleId="FollowedHyperlink">
    <w:name w:val="FollowedHyperlink"/>
    <w:basedOn w:val="DefaultParagraphFont"/>
    <w:uiPriority w:val="99"/>
    <w:semiHidden/>
    <w:unhideWhenUsed/>
    <w:rsid w:val="00C015B8"/>
    <w:rPr>
      <w:color w:val="auto"/>
      <w:u w:val="none"/>
    </w:rPr>
  </w:style>
  <w:style w:type="paragraph" w:customStyle="1" w:styleId="Analytic">
    <w:name w:val="Analytic"/>
    <w:basedOn w:val="Heading4"/>
    <w:link w:val="AnalyticChar"/>
    <w:autoRedefine/>
    <w:uiPriority w:val="4"/>
    <w:qFormat/>
    <w:rsid w:val="00C015B8"/>
    <w:rPr>
      <w:color w:val="C00000"/>
    </w:rPr>
  </w:style>
  <w:style w:type="paragraph" w:customStyle="1" w:styleId="textbold">
    <w:name w:val="text bold"/>
    <w:basedOn w:val="Normal"/>
    <w:link w:val="Emphasis"/>
    <w:uiPriority w:val="7"/>
    <w:qFormat/>
    <w:rsid w:val="00867A90"/>
    <w:pPr>
      <w:ind w:left="720"/>
      <w:jc w:val="both"/>
    </w:pPr>
    <w:rPr>
      <w:b/>
      <w:iCs/>
      <w:u w:val="single"/>
    </w:rPr>
  </w:style>
  <w:style w:type="character" w:customStyle="1" w:styleId="m774051857616002577gmail-styleunderline">
    <w:name w:val="m_774051857616002577gmail-styleunderline"/>
    <w:basedOn w:val="DefaultParagraphFont"/>
    <w:rsid w:val="00867A90"/>
  </w:style>
  <w:style w:type="paragraph" w:customStyle="1" w:styleId="Emphasis1">
    <w:name w:val="Emphasis1"/>
    <w:basedOn w:val="Normal"/>
    <w:autoRedefine/>
    <w:uiPriority w:val="7"/>
    <w:qFormat/>
    <w:rsid w:val="00867A9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867A9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nalyticChar">
    <w:name w:val="Analytic Char"/>
    <w:basedOn w:val="DefaultParagraphFont"/>
    <w:link w:val="Analytic"/>
    <w:uiPriority w:val="4"/>
    <w:rsid w:val="00C015B8"/>
    <w:rPr>
      <w:rFonts w:ascii="Times New Roman" w:eastAsiaTheme="majorEastAsia" w:hAnsi="Times New Roman" w:cstheme="majorBidi"/>
      <w:b/>
      <w:iCs/>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19249</Words>
  <Characters>109724</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2021-10-16T19:00:00Z</dcterms:created>
  <dcterms:modified xsi:type="dcterms:W3CDTF">2021-10-16T19:53:00Z</dcterms:modified>
</cp:coreProperties>
</file>