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11018A1A" w14:textId="77777777" w:rsidR="00F45770" w:rsidRPr="00367B77" w:rsidRDefault="00F45770" w:rsidP="00F45770">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CA664CB" w14:textId="17D4824C" w:rsidR="00F45770" w:rsidRDefault="00F45770" w:rsidP="00F45770"/>
    <w:p w14:paraId="147CADB5" w14:textId="6FAF1129" w:rsidR="004C3A58" w:rsidRDefault="004C3A58" w:rsidP="004C3A58">
      <w:pPr>
        <w:pStyle w:val="Heading4"/>
      </w:pPr>
      <w:r>
        <w:t xml:space="preserve">Plan: </w:t>
      </w:r>
      <w:r w:rsidR="00EF11C7">
        <w:rPr>
          <w:rFonts w:ascii="Open Sans" w:hAnsi="Open Sans" w:cs="Open Sans"/>
          <w:color w:val="333333"/>
          <w:sz w:val="21"/>
          <w:szCs w:val="21"/>
          <w:shd w:val="clear" w:color="auto" w:fill="FFFFFF"/>
        </w:rPr>
        <w:t>Space faring states should establish a multilateral agreement that restricts asteroid mining done by private entities</w:t>
      </w:r>
    </w:p>
    <w:p w14:paraId="1490B4BE" w14:textId="5EB32B32" w:rsidR="00F45770" w:rsidRDefault="00F45770" w:rsidP="00F45770">
      <w:pPr>
        <w:pStyle w:val="Heading3"/>
      </w:pPr>
      <w:r>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 xml:space="preserve">1 – Extinction o/ws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[A] Governments must aggregate since every policy benefits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gUAOsEsrSwAAAA="/>
    <w:docVar w:name="RibbonPointer" w:val="2704001219312"/>
    <w:docVar w:name="VerbatimVersion" w:val="5.1"/>
  </w:docVars>
  <w:rsids>
    <w:rsidRoot w:val="00F45770"/>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170D1"/>
    <w:rsid w:val="00645FA9"/>
    <w:rsid w:val="00647866"/>
    <w:rsid w:val="00665003"/>
    <w:rsid w:val="00686C16"/>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E45DB"/>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EF11C7"/>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C16"/>
    <w:rPr>
      <w:rFonts w:ascii="Calibri" w:hAnsi="Calibri" w:cs="Calibri"/>
    </w:rPr>
  </w:style>
  <w:style w:type="paragraph" w:styleId="Heading1">
    <w:name w:val="heading 1"/>
    <w:aliases w:val="Pocket"/>
    <w:basedOn w:val="Normal"/>
    <w:next w:val="Normal"/>
    <w:link w:val="Heading1Char"/>
    <w:qFormat/>
    <w:rsid w:val="00686C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C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686C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686C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6C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C16"/>
  </w:style>
  <w:style w:type="character" w:customStyle="1" w:styleId="Heading1Char">
    <w:name w:val="Heading 1 Char"/>
    <w:aliases w:val="Pocket Char"/>
    <w:basedOn w:val="DefaultParagraphFont"/>
    <w:link w:val="Heading1"/>
    <w:rsid w:val="00686C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C1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686C1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686C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686C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6C16"/>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686C1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86C16"/>
    <w:rPr>
      <w:color w:val="auto"/>
      <w:u w:val="none"/>
    </w:rPr>
  </w:style>
  <w:style w:type="character" w:styleId="FollowedHyperlink">
    <w:name w:val="FollowedHyperlink"/>
    <w:basedOn w:val="DefaultParagraphFont"/>
    <w:uiPriority w:val="99"/>
    <w:semiHidden/>
    <w:unhideWhenUsed/>
    <w:rsid w:val="00686C16"/>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12256</Words>
  <Characters>69861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4</cp:revision>
  <dcterms:created xsi:type="dcterms:W3CDTF">2022-01-16T16:50:00Z</dcterms:created>
  <dcterms:modified xsi:type="dcterms:W3CDTF">2022-02-20T15:45:00Z</dcterms:modified>
</cp:coreProperties>
</file>