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6F41D" w14:textId="77777777" w:rsidR="00546E32" w:rsidRDefault="00546E32" w:rsidP="00546E32">
      <w:pPr>
        <w:pStyle w:val="Heading1"/>
      </w:pPr>
      <w:r>
        <w:t>Framework</w:t>
      </w:r>
    </w:p>
    <w:p w14:paraId="5566A3F1" w14:textId="77777777" w:rsidR="00851445" w:rsidRDefault="00851445" w:rsidP="00851445">
      <w:pPr>
        <w:pStyle w:val="Heading4"/>
        <w:rPr>
          <w:rFonts w:cs="Calibri"/>
        </w:rPr>
      </w:pPr>
      <w:r>
        <w:rPr>
          <w:rFonts w:cs="Calibri"/>
        </w:rPr>
        <w:t>T</w:t>
      </w:r>
      <w:r w:rsidRPr="00A0610A">
        <w:rPr>
          <w:rFonts w:cs="Calibri"/>
        </w:rPr>
        <w:t xml:space="preserve">he standard is maximizing expected well-being. </w:t>
      </w:r>
    </w:p>
    <w:p w14:paraId="5DAC367B" w14:textId="77777777" w:rsidR="00851445" w:rsidRPr="00A0610A" w:rsidRDefault="00851445" w:rsidP="00851445">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2B2F609" w14:textId="77777777" w:rsidR="00851445" w:rsidRPr="00A0610A" w:rsidRDefault="00851445" w:rsidP="00851445">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16957995" w14:textId="77777777" w:rsidR="00851445" w:rsidRPr="00586B80" w:rsidRDefault="00851445" w:rsidP="00851445">
      <w:pPr>
        <w:pStyle w:val="Heading4"/>
      </w:pPr>
      <w:r>
        <w:t xml:space="preserve">3. Extinction outweighs -  </w:t>
      </w:r>
    </w:p>
    <w:p w14:paraId="2CF037B5" w14:textId="77777777" w:rsidR="00C561EF" w:rsidRPr="00611230" w:rsidRDefault="00C561EF" w:rsidP="00C561E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1695EDED" w14:textId="77777777" w:rsidR="00C561EF" w:rsidRPr="00C561EF" w:rsidRDefault="00C561EF" w:rsidP="00C561EF">
      <w:pPr>
        <w:rPr>
          <w:sz w:val="16"/>
        </w:rPr>
      </w:pPr>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C561EF">
        <w:rPr>
          <w:sz w:val="16"/>
        </w:rPr>
        <w:t>, whatever general moral view we adopt</w:t>
      </w:r>
      <w:r w:rsidRPr="00611230">
        <w:rPr>
          <w:rStyle w:val="StyleUnderline"/>
        </w:rPr>
        <w:t>: that it is very important to reduce the risk that all intelligent beings on this planet are eliminated by an enormous catastrophe, such as a nuclear war.</w:t>
      </w:r>
      <w:r w:rsidRPr="00C561EF">
        <w:rPr>
          <w:sz w:val="16"/>
        </w:rPr>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C561EF">
        <w:rPr>
          <w:sz w:val="16"/>
        </w:rPr>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C561EF">
        <w:rPr>
          <w:sz w:val="16"/>
        </w:rPr>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C561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C561EF">
        <w:rPr>
          <w:sz w:val="16"/>
        </w:rPr>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C561EF">
        <w:rPr>
          <w:sz w:val="16"/>
        </w:rPr>
        <w:t xml:space="preserve"> Even John Rawls wrote, “</w:t>
      </w:r>
      <w:r w:rsidRPr="00611230">
        <w:rPr>
          <w:rStyle w:val="StyleUnderline"/>
        </w:rPr>
        <w:t>All ethical doctrines worth our attention take consequences into account in judging rightness. One which did not would simply be irrational, crazy.</w:t>
      </w:r>
      <w:r w:rsidRPr="00C561EF">
        <w:rPr>
          <w:sz w:val="16"/>
        </w:rPr>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C561EF">
        <w:rPr>
          <w:sz w:val="16"/>
        </w:rPr>
        <w:t xml:space="preserve"> </w:t>
      </w:r>
      <w:r w:rsidRPr="00611230">
        <w:rPr>
          <w:rStyle w:val="StyleUnderline"/>
        </w:rPr>
        <w:t>They’d thus imply very strong reasons to reduce existential risk</w:t>
      </w:r>
      <w:r w:rsidRPr="00C561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C561EF">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C561EF">
        <w:rPr>
          <w:sz w:val="16"/>
        </w:rPr>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561EF">
        <w:rPr>
          <w:sz w:val="16"/>
        </w:rPr>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C561EF">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C561EF">
        <w:rPr>
          <w:sz w:val="16"/>
        </w:rPr>
        <w:t xml:space="preserve"> </w:t>
      </w:r>
      <w:r w:rsidRPr="00611230">
        <w:rPr>
          <w:rStyle w:val="StyleUnderline"/>
        </w:rPr>
        <w:t>What is it reasonable for one to do, when one is uncertain not (only) about the empirical facts, but also about the moral facts?</w:t>
      </w:r>
      <w:r w:rsidRPr="00C561EF">
        <w:rPr>
          <w:sz w:val="16"/>
        </w:rPr>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C561EF">
        <w:rPr>
          <w:sz w:val="16"/>
        </w:rPr>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561EF">
        <w:rPr>
          <w:sz w:val="16"/>
        </w:rPr>
        <w:t xml:space="preserve">(and 10% sure that one of these other ones is correct), </w:t>
      </w:r>
      <w:r w:rsidRPr="00611230">
        <w:rPr>
          <w:rStyle w:val="StyleUnderline"/>
        </w:rPr>
        <w:t>they would have pretty strong reason, from the standpoint of moral uncertainty, to reduce existential risk.</w:t>
      </w:r>
      <w:r w:rsidRPr="00C561EF">
        <w:rPr>
          <w:sz w:val="16"/>
        </w:rPr>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C561EF">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8078B">
        <w:rPr>
          <w:rStyle w:val="StyleUnderline"/>
        </w:rPr>
        <w:t>It is enough for my claim that there is moral agreement in the relevant sense if</w:t>
      </w:r>
      <w:r w:rsidRPr="00C561EF">
        <w:rPr>
          <w:sz w:val="16"/>
        </w:rPr>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C561EF">
        <w:rPr>
          <w:sz w:val="16"/>
        </w:rPr>
        <w:t xml:space="preserve"> While there are some non-crazy </w:t>
      </w:r>
      <w:r w:rsidRPr="00F8078B">
        <w:rPr>
          <w:rStyle w:val="StyleUnderline"/>
        </w:rPr>
        <w:t>views that place significantly greater moral weight on avoiding suffering than on promoting happiness</w:t>
      </w:r>
      <w:r w:rsidRPr="00C561EF">
        <w:rPr>
          <w:sz w:val="16"/>
        </w:rPr>
        <w:t xml:space="preserve">, for reasons others have offered (and for independent reasons I won’t get into here unless requested to), they nonetheless </w:t>
      </w:r>
      <w:r w:rsidRPr="00F8078B">
        <w:rPr>
          <w:rStyle w:val="StyleUnderline"/>
        </w:rPr>
        <w:t>seem to be fairly implausible views.</w:t>
      </w:r>
      <w:r w:rsidRPr="00C561EF">
        <w:rPr>
          <w:sz w:val="16"/>
        </w:rPr>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561EF">
        <w:rPr>
          <w:sz w:val="16"/>
        </w:rPr>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C561EF">
        <w:rPr>
          <w:sz w:val="16"/>
        </w:rPr>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C561EF">
        <w:rPr>
          <w:sz w:val="16"/>
        </w:rPr>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C561EF">
        <w:rPr>
          <w:sz w:val="16"/>
        </w:rPr>
        <w:t>” (From chapter 36 of On What Matters)</w:t>
      </w:r>
    </w:p>
    <w:p w14:paraId="55011FA0" w14:textId="77777777" w:rsidR="00546E32" w:rsidRPr="00B913A0" w:rsidRDefault="00546E32" w:rsidP="00546E32"/>
    <w:p w14:paraId="0E7992FB" w14:textId="77777777" w:rsidR="00A135BE" w:rsidRPr="00355308" w:rsidRDefault="00A135BE" w:rsidP="00A135BE">
      <w:pPr>
        <w:pStyle w:val="Heading3"/>
        <w:rPr>
          <w:rFonts w:cs="Calibri"/>
          <w:color w:val="000000" w:themeColor="text1"/>
        </w:rPr>
      </w:pPr>
      <w:r w:rsidRPr="00355308">
        <w:rPr>
          <w:rFonts w:cs="Calibri"/>
          <w:color w:val="000000" w:themeColor="text1"/>
        </w:rPr>
        <w:t>Inherency</w:t>
      </w:r>
    </w:p>
    <w:p w14:paraId="69085FD4" w14:textId="77777777" w:rsidR="00A135BE" w:rsidRPr="00355308" w:rsidRDefault="00A135BE" w:rsidP="00A135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01512E26" w14:textId="77777777" w:rsidR="00A135BE" w:rsidRPr="00355308" w:rsidRDefault="00A135BE" w:rsidP="00A135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2640B06" w14:textId="77777777" w:rsidR="00A135BE" w:rsidRPr="00355308" w:rsidRDefault="00A135BE" w:rsidP="00A135B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307A6E4" w14:textId="77777777" w:rsidR="00A135BE" w:rsidRPr="00355308" w:rsidRDefault="00A135BE" w:rsidP="00A135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79A69A3" w14:textId="77777777" w:rsidR="00A135BE" w:rsidRPr="00355308" w:rsidRDefault="00A135BE" w:rsidP="00A135B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6" w:history="1">
        <w:r w:rsidRPr="00355308">
          <w:rPr>
            <w:color w:val="000000" w:themeColor="text1"/>
          </w:rPr>
          <w:t>https://scholarship.law.wm.edu/cgi/viewcontent.cgi?article=1653&amp;context=wmelpr</w:t>
        </w:r>
      </w:hyperlink>
    </w:p>
    <w:p w14:paraId="49D34431" w14:textId="77777777" w:rsidR="00A135BE" w:rsidRPr="00355308" w:rsidRDefault="00A135BE" w:rsidP="00A135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8EBEB8F" w14:textId="77777777" w:rsidR="00A135BE" w:rsidRPr="00355308" w:rsidRDefault="00A135BE" w:rsidP="00A135BE">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1DB8AC09" w14:textId="77777777" w:rsidR="00A135BE" w:rsidRPr="00355308" w:rsidRDefault="00A135BE" w:rsidP="00A135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0AC9C00" w14:textId="77777777" w:rsidR="00A135BE" w:rsidRPr="00355308" w:rsidRDefault="00A135BE" w:rsidP="00A135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color w:val="000000" w:themeColor="text1"/>
          <w:sz w:val="16"/>
        </w:rPr>
        <w:t>it has already spurred a major debate</w:t>
      </w:r>
      <w:r w:rsidRPr="00355308">
        <w:rPr>
          <w:b/>
          <w:bCs/>
          <w:color w:val="000000" w:themeColor="text1"/>
          <w:u w:val="single"/>
        </w:rPr>
        <w:t xml:space="preserve">.[xxxvii] </w:t>
      </w:r>
      <w:r w:rsidRPr="00355308">
        <w:rPr>
          <w:rStyle w:val="Style13ptBold"/>
          <w:color w:val="000000" w:themeColor="text1"/>
          <w:sz w:val="16"/>
        </w:rPr>
        <w:t>China and Russia are among those countries that are following on the path of the 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color w:val="000000" w:themeColor="text1"/>
          <w:sz w:val="16"/>
        </w:rPr>
        <w:t>Russia</w:t>
      </w:r>
      <w:r w:rsidRPr="00355308">
        <w:rPr>
          <w:color w:val="000000" w:themeColor="text1"/>
          <w:sz w:val="16"/>
        </w:rPr>
        <w:t xml:space="preserve">, for its part, </w:t>
      </w:r>
      <w:r w:rsidRPr="00355308">
        <w:rPr>
          <w:rStyle w:val="Style13ptBold"/>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rPr>
        <w:t xml:space="preserve">it 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color w:val="000000" w:themeColor="text1"/>
        </w:rPr>
        <w:t>insufficient</w:t>
      </w:r>
      <w:r w:rsidRPr="00355308">
        <w:rPr>
          <w:rStyle w:val="Style13ptBold"/>
          <w:color w:val="000000" w:themeColor="text1"/>
        </w:rPr>
        <w:t xml:space="preserve"> and </w:t>
      </w:r>
      <w:r w:rsidRPr="00355308">
        <w:rPr>
          <w:rStyle w:val="StyleUnderline"/>
          <w:color w:val="000000" w:themeColor="text1"/>
        </w:rPr>
        <w:t>ambiguous</w:t>
      </w:r>
      <w:r w:rsidRPr="00355308">
        <w:rPr>
          <w:rStyle w:val="Style13ptBold"/>
          <w:color w:val="000000" w:themeColor="text1"/>
        </w:rPr>
        <w:t xml:space="preserve"> in providing </w:t>
      </w:r>
      <w:r w:rsidRPr="00355308">
        <w:rPr>
          <w:rStyle w:val="StyleUnderline"/>
          <w:color w:val="000000" w:themeColor="text1"/>
        </w:rPr>
        <w:t>clear regulations</w:t>
      </w:r>
      <w:r w:rsidRPr="00355308">
        <w:rPr>
          <w:rStyle w:val="Style13ptBold"/>
          <w:color w:val="000000" w:themeColor="text1"/>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rPr>
        <w:t>Even legal space mining activity could have serious impacts</w:t>
      </w:r>
      <w:r w:rsidRPr="00355308">
        <w:rPr>
          <w:color w:val="000000" w:themeColor="text1"/>
          <w:u w:val="single"/>
        </w:rPr>
        <w:t xml:space="preserve">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rPr>
        <w:t xml:space="preserve">will only be </w:t>
      </w:r>
      <w:r w:rsidRPr="00355308">
        <w:rPr>
          <w:rStyle w:val="StyleUnderline"/>
          <w:color w:val="000000" w:themeColor="text1"/>
        </w:rPr>
        <w:t>enmeshed in litigation</w:t>
      </w:r>
      <w:r w:rsidRPr="00355308">
        <w:rPr>
          <w:color w:val="000000" w:themeColor="text1"/>
          <w:u w:val="single"/>
        </w:rPr>
        <w:t>.</w:t>
      </w:r>
    </w:p>
    <w:p w14:paraId="08E997D3" w14:textId="77777777" w:rsidR="00A135BE" w:rsidRPr="00355308" w:rsidRDefault="00A135BE" w:rsidP="00A135BE">
      <w:pPr>
        <w:rPr>
          <w:color w:val="000000" w:themeColor="text1"/>
          <w:sz w:val="8"/>
          <w:u w:val="single"/>
        </w:rPr>
      </w:pPr>
    </w:p>
    <w:p w14:paraId="4036D06E" w14:textId="77777777" w:rsidR="00546E32" w:rsidRDefault="00546E32" w:rsidP="00A84450">
      <w:pPr>
        <w:pStyle w:val="Heading2"/>
        <w:rPr>
          <w:rFonts w:cs="Calibri"/>
          <w:color w:val="000000" w:themeColor="text1"/>
        </w:rPr>
      </w:pPr>
    </w:p>
    <w:p w14:paraId="5F2E9E18" w14:textId="2FE6B191" w:rsidR="00A84450" w:rsidRPr="00355308" w:rsidRDefault="00A84450" w:rsidP="00A84450">
      <w:pPr>
        <w:pStyle w:val="Heading2"/>
        <w:rPr>
          <w:rFonts w:cs="Calibri"/>
          <w:color w:val="000000" w:themeColor="text1"/>
          <w:sz w:val="32"/>
          <w:szCs w:val="32"/>
          <w:u w:val="single"/>
        </w:rPr>
      </w:pPr>
      <w:r w:rsidRPr="00355308">
        <w:rPr>
          <w:rFonts w:cs="Calibri"/>
          <w:color w:val="000000" w:themeColor="text1"/>
        </w:rPr>
        <w:t>1AC—Plan</w:t>
      </w:r>
    </w:p>
    <w:p w14:paraId="1A73E5D3" w14:textId="77777777" w:rsidR="00A84450" w:rsidRPr="00355308" w:rsidRDefault="00A84450" w:rsidP="00A84450"/>
    <w:p w14:paraId="6B4480BA" w14:textId="77777777" w:rsidR="00A84450" w:rsidRPr="00355308" w:rsidRDefault="00A84450" w:rsidP="00A84450">
      <w:pPr>
        <w:pStyle w:val="Heading4"/>
        <w:rPr>
          <w:rFonts w:cs="Calibri"/>
        </w:rPr>
      </w:pPr>
      <w:r w:rsidRPr="00355308">
        <w:rPr>
          <w:rFonts w:cs="Calibri"/>
        </w:rPr>
        <w:t>Plan: The appropriation of outer space through asteroid mining by private entities should be banned.</w:t>
      </w:r>
    </w:p>
    <w:p w14:paraId="3E0B5ECD" w14:textId="77777777" w:rsidR="00A84450" w:rsidRPr="00355308" w:rsidRDefault="00A84450" w:rsidP="00A84450"/>
    <w:p w14:paraId="5540A26F" w14:textId="77777777" w:rsidR="00A84450" w:rsidRPr="00355308" w:rsidRDefault="00A84450" w:rsidP="00A84450">
      <w:pPr>
        <w:pStyle w:val="Heading4"/>
        <w:rPr>
          <w:rFonts w:cs="Calibri"/>
        </w:rPr>
      </w:pPr>
      <w:r w:rsidRPr="00355308">
        <w:rPr>
          <w:rFonts w:cs="Calibri"/>
        </w:rPr>
        <w:t>We’ll defend normal means as the signatories of the OST adding an optional protocol under Article II.</w:t>
      </w:r>
    </w:p>
    <w:p w14:paraId="2BA44C80" w14:textId="77777777" w:rsidR="00A84450" w:rsidRPr="00355308" w:rsidRDefault="00A84450" w:rsidP="00A84450">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8" w:history="1">
        <w:r w:rsidRPr="00355308">
          <w:rPr>
            <w:rStyle w:val="Hyperlink"/>
            <w:color w:val="000000" w:themeColor="text1"/>
          </w:rPr>
          <w:t>https://iislweb.org/docs/Diederiks2007.pdf</w:t>
        </w:r>
      </w:hyperlink>
      <w:r w:rsidRPr="00355308">
        <w:rPr>
          <w:color w:val="000000" w:themeColor="text1"/>
        </w:rPr>
        <w:t>, 12-15-2021 amrita]</w:t>
      </w:r>
    </w:p>
    <w:p w14:paraId="59178B9D" w14:textId="77777777" w:rsidR="00A84450" w:rsidRPr="00355308" w:rsidRDefault="00A84450" w:rsidP="00A84450">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753D9F4" w14:textId="77777777" w:rsidR="00A84450" w:rsidRPr="00355308" w:rsidRDefault="00A84450" w:rsidP="00A84450">
      <w:pPr>
        <w:rPr>
          <w:color w:val="000000" w:themeColor="text1"/>
          <w:sz w:val="14"/>
        </w:rPr>
      </w:pPr>
    </w:p>
    <w:p w14:paraId="540389A2" w14:textId="77777777" w:rsidR="00A84450" w:rsidRDefault="00A84450" w:rsidP="00A84450">
      <w:pPr>
        <w:pStyle w:val="Heading3"/>
        <w:rPr>
          <w:rFonts w:cs="Calibri"/>
        </w:rPr>
      </w:pPr>
      <w:r>
        <w:rPr>
          <w:rFonts w:cs="Calibri"/>
        </w:rPr>
        <w:t>Advantage – Space War</w:t>
      </w:r>
    </w:p>
    <w:p w14:paraId="26C3E877" w14:textId="77777777" w:rsidR="00A84450" w:rsidRPr="00C51E0C" w:rsidRDefault="00A84450" w:rsidP="00A84450"/>
    <w:p w14:paraId="44B9E430" w14:textId="77777777" w:rsidR="00A84450" w:rsidRDefault="00A84450" w:rsidP="00A84450"/>
    <w:p w14:paraId="2A73DFCD" w14:textId="77777777" w:rsidR="00A84450" w:rsidRPr="00AD4C5F" w:rsidRDefault="00A84450" w:rsidP="00A8445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A5D978F" w14:textId="77777777" w:rsidR="00A84450" w:rsidRPr="00AD4C5F" w:rsidRDefault="00A84450" w:rsidP="00A84450">
      <w:pPr>
        <w:rPr>
          <w:rFonts w:asciiTheme="majorHAnsi" w:hAnsiTheme="majorHAnsi" w:cstheme="majorHAnsi"/>
          <w:color w:val="000000" w:themeColor="text1"/>
        </w:rPr>
      </w:pPr>
      <w:r w:rsidRPr="00C6337A">
        <w:rPr>
          <w:rStyle w:val="Style13ptBold"/>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38C2BDB" w14:textId="77777777" w:rsidR="00A84450" w:rsidRPr="00AD4C5F" w:rsidRDefault="00A84450" w:rsidP="00A84450">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37B4169" w14:textId="77777777" w:rsidR="00A84450" w:rsidRPr="00AD4C5F" w:rsidRDefault="00A84450" w:rsidP="00A8445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A890C3F" w14:textId="77777777" w:rsidR="00A84450" w:rsidRPr="00AD4C5F" w:rsidRDefault="00A84450" w:rsidP="00A84450">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6A7A216" w14:textId="77777777" w:rsidR="00A84450" w:rsidRPr="00AD4C5F" w:rsidRDefault="00A84450" w:rsidP="00A84450">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801C742" w14:textId="77777777" w:rsidR="00A84450" w:rsidRPr="00AD4C5F" w:rsidRDefault="00A84450" w:rsidP="00A8445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74621B2" w14:textId="77777777" w:rsidR="00A84450" w:rsidRPr="00AD4C5F" w:rsidRDefault="00A84450" w:rsidP="00A84450">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488760A9" w14:textId="77777777" w:rsidR="00A84450" w:rsidRPr="00AD4C5F" w:rsidRDefault="00A84450" w:rsidP="00A8445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C9419AD" w14:textId="77777777" w:rsidR="00A84450" w:rsidRPr="00AD4C5F" w:rsidRDefault="00A84450" w:rsidP="00A84450">
      <w:pPr>
        <w:rPr>
          <w:rFonts w:asciiTheme="majorHAnsi" w:hAnsiTheme="majorHAnsi" w:cstheme="majorHAnsi"/>
          <w:color w:val="000000" w:themeColor="text1"/>
          <w:sz w:val="16"/>
        </w:rPr>
      </w:pPr>
    </w:p>
    <w:p w14:paraId="28A9B301" w14:textId="77777777" w:rsidR="00A84450" w:rsidRPr="00AD4C5F" w:rsidRDefault="00A84450" w:rsidP="00A84450">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144E6D6" w14:textId="77777777" w:rsidR="00A84450" w:rsidRPr="00AD4C5F" w:rsidRDefault="00A84450" w:rsidP="00A84450">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B585F6F" w14:textId="77777777" w:rsidR="00A84450" w:rsidRPr="0098474F" w:rsidRDefault="00A84450" w:rsidP="00A84450">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851E7F0" w14:textId="77777777" w:rsidR="00A84450" w:rsidRPr="00AD4C5F" w:rsidRDefault="00A84450" w:rsidP="00A84450">
      <w:pPr>
        <w:rPr>
          <w:rFonts w:asciiTheme="majorHAnsi" w:hAnsiTheme="majorHAnsi" w:cstheme="majorHAnsi"/>
          <w:color w:val="000000" w:themeColor="text1"/>
          <w:sz w:val="16"/>
        </w:rPr>
      </w:pPr>
    </w:p>
    <w:p w14:paraId="693BA805" w14:textId="77777777" w:rsidR="00A84450" w:rsidRPr="00AD4C5F" w:rsidRDefault="00A84450" w:rsidP="00A84450">
      <w:pPr>
        <w:rPr>
          <w:rFonts w:asciiTheme="majorHAnsi" w:hAnsiTheme="majorHAnsi" w:cstheme="majorHAnsi"/>
          <w:color w:val="000000" w:themeColor="text1"/>
          <w:sz w:val="16"/>
        </w:rPr>
      </w:pPr>
    </w:p>
    <w:p w14:paraId="555F01F7" w14:textId="77777777" w:rsidR="00A84450" w:rsidRPr="00355308" w:rsidRDefault="00A84450" w:rsidP="00A84450">
      <w:pPr>
        <w:rPr>
          <w:color w:val="000000" w:themeColor="text1"/>
        </w:rPr>
      </w:pPr>
    </w:p>
    <w:p w14:paraId="38DB4369" w14:textId="77777777" w:rsidR="00A84450" w:rsidRDefault="00A84450" w:rsidP="00A84450">
      <w:pPr>
        <w:rPr>
          <w:rFonts w:asciiTheme="majorHAnsi" w:hAnsiTheme="majorHAnsi" w:cstheme="majorHAnsi"/>
          <w:color w:val="000000" w:themeColor="text1"/>
          <w:sz w:val="16"/>
        </w:rPr>
      </w:pPr>
    </w:p>
    <w:p w14:paraId="3FB33D21" w14:textId="77777777" w:rsidR="00A84450" w:rsidRDefault="00A84450" w:rsidP="00A84450"/>
    <w:p w14:paraId="5A3CF2BA" w14:textId="77777777" w:rsidR="00A84450" w:rsidRPr="00CF2323" w:rsidRDefault="00A84450" w:rsidP="00A84450"/>
    <w:p w14:paraId="721C59D3" w14:textId="77777777" w:rsidR="00067D83" w:rsidRDefault="00067D83" w:rsidP="00067D83">
      <w:pPr>
        <w:rPr>
          <w:b/>
          <w:u w:val="single"/>
        </w:rPr>
      </w:pPr>
    </w:p>
    <w:p w14:paraId="67FD6C39" w14:textId="0FC635BA" w:rsidR="00C6337A" w:rsidRDefault="00385B4C" w:rsidP="00C6337A">
      <w:pPr>
        <w:pStyle w:val="Heading1"/>
      </w:pPr>
      <w:r>
        <w:t>C1</w:t>
      </w:r>
      <w:r w:rsidR="00C6337A">
        <w:t xml:space="preserve"> developing countries </w:t>
      </w:r>
    </w:p>
    <w:p w14:paraId="002DC02C" w14:textId="77777777" w:rsidR="00C6337A" w:rsidRDefault="00C6337A" w:rsidP="00C6337A">
      <w:pPr>
        <w:pStyle w:val="Heading4"/>
      </w:pPr>
      <w:r>
        <w:t>Outer space houses tons of valuable resources, it’s about who can get there first</w:t>
      </w:r>
    </w:p>
    <w:p w14:paraId="7631F5F4" w14:textId="77777777" w:rsidR="00C6337A" w:rsidRDefault="00C6337A" w:rsidP="00C6337A">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12">
        <w:r>
          <w:rPr>
            <w:color w:val="000000"/>
          </w:rPr>
          <w:t>https://space.nss.org/space-mineral-resources/</w:t>
        </w:r>
      </w:hyperlink>
      <w:r>
        <w:t xml:space="preserve"> Livingston RB</w:t>
      </w:r>
    </w:p>
    <w:p w14:paraId="75B584A7" w14:textId="77777777" w:rsidR="00C6337A" w:rsidRDefault="00C6337A" w:rsidP="00C6337A">
      <w:pPr>
        <w:spacing w:after="0" w:line="240" w:lineRule="auto"/>
      </w:pPr>
    </w:p>
    <w:p w14:paraId="4FAF025D" w14:textId="77777777" w:rsidR="00C6337A" w:rsidRDefault="00C6337A" w:rsidP="00C6337A">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305365E7" w14:textId="77777777" w:rsidR="00C6337A" w:rsidRDefault="00C6337A" w:rsidP="00C6337A">
      <w:pPr>
        <w:pStyle w:val="Heading4"/>
      </w:pPr>
      <w:r>
        <w:t>The ability to appropriate space keeps developing nations out of these valuable resources- it’s already happened with satellites</w:t>
      </w:r>
    </w:p>
    <w:p w14:paraId="0A791820" w14:textId="77777777" w:rsidR="00C6337A" w:rsidRDefault="00C6337A" w:rsidP="00C6337A">
      <w:r>
        <w:rPr>
          <w:b/>
          <w:sz w:val="26"/>
          <w:szCs w:val="26"/>
        </w:rPr>
        <w:t>Giacomin 19</w:t>
      </w:r>
      <w:r>
        <w:t xml:space="preserve">, Nicolas Giacomin, author on space, 12-4-2019, "The Bogotá Declaration and space law," Space Legal Issues, </w:t>
      </w:r>
      <w:hyperlink r:id="rId13">
        <w:r>
          <w:rPr>
            <w:color w:val="000000"/>
          </w:rPr>
          <w:t>https://www.spacelegalissues.com/the-bogota-declaration-and-space-law/</w:t>
        </w:r>
      </w:hyperlink>
      <w:r>
        <w:t xml:space="preserve"> Livingston RB</w:t>
      </w:r>
    </w:p>
    <w:p w14:paraId="629F48DB" w14:textId="77777777" w:rsidR="00C6337A" w:rsidRDefault="00C6337A" w:rsidP="00C6337A">
      <w:r>
        <w:rPr>
          <w:highlight w:val="green"/>
        </w:rPr>
        <w:t>The practice of developed states</w:t>
      </w:r>
      <w:r>
        <w:rPr>
          <w:b/>
          <w:highlight w:val="green"/>
          <w:u w:val="single"/>
        </w:rPr>
        <w:t xml:space="preserve"> is based</w:t>
      </w:r>
      <w:r>
        <w:t xml:space="preserve"> </w:t>
      </w:r>
      <w:r w:rsidRPr="000D4712">
        <w:rPr>
          <w:b/>
          <w:bCs/>
          <w:highlight w:val="green"/>
          <w:u w:val="single"/>
        </w:rPr>
        <w:t>on free access</w:t>
      </w:r>
      <w:r>
        <w:t xml:space="preserve">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 in particular, to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13BAF378" w14:textId="77777777" w:rsidR="00C6337A" w:rsidRDefault="00C6337A" w:rsidP="00C6337A">
      <w:pPr>
        <w:spacing w:after="0" w:line="240" w:lineRule="auto"/>
        <w:rPr>
          <w:rFonts w:ascii="Times New Roman" w:eastAsia="Times New Roman" w:hAnsi="Times New Roman" w:cs="Times New Roman"/>
          <w:sz w:val="24"/>
          <w:szCs w:val="24"/>
        </w:rPr>
      </w:pPr>
    </w:p>
    <w:p w14:paraId="061B0A61" w14:textId="77777777" w:rsidR="00C6337A" w:rsidRDefault="00C6337A" w:rsidP="00C6337A"/>
    <w:p w14:paraId="5669DF2A" w14:textId="0003A238" w:rsidR="00C6337A" w:rsidRDefault="00C6337A" w:rsidP="00C6337A">
      <w:pPr>
        <w:pStyle w:val="Heading4"/>
      </w:pPr>
      <w:r>
        <w:t>This perpetuat</w:t>
      </w:r>
      <w:r w:rsidR="00851445">
        <w:t>es</w:t>
      </w:r>
      <w:r>
        <w:t xml:space="preserve"> inequality into space</w:t>
      </w:r>
    </w:p>
    <w:p w14:paraId="36A32361" w14:textId="77777777" w:rsidR="00C6337A" w:rsidRDefault="00C6337A" w:rsidP="00C6337A">
      <w:pPr>
        <w:spacing w:after="0" w:line="240" w:lineRule="auto"/>
        <w:rPr>
          <w:rFonts w:ascii="Times New Roman" w:eastAsia="Times New Roman" w:hAnsi="Times New Roman" w:cs="Times New Roman"/>
          <w:sz w:val="24"/>
          <w:szCs w:val="24"/>
        </w:rPr>
      </w:pPr>
      <w:r>
        <w:rPr>
          <w:b/>
          <w:sz w:val="26"/>
          <w:szCs w:val="26"/>
        </w:rPr>
        <w:t>Reinstein 99</w:t>
      </w:r>
      <w:r>
        <w:t xml:space="preserve">, </w:t>
      </w:r>
      <w:r>
        <w:rPr>
          <w:rFonts w:ascii="Times New Roman" w:eastAsia="Times New Roman" w:hAnsi="Times New Roman" w:cs="Times New Roman"/>
          <w:sz w:val="24"/>
          <w:szCs w:val="24"/>
        </w:rPr>
        <w:t xml:space="preserve">Ezra J. Reinstein, Owning Outer Space, 20 Nw. J. Int'l L. &amp; Bus. 59 (1999-2000) </w:t>
      </w:r>
      <w:hyperlink r:id="rId14">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2B9100E7" w14:textId="77777777" w:rsidR="00C6337A" w:rsidRDefault="00C6337A" w:rsidP="00C6337A">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74DC6E63" w14:textId="77777777" w:rsidR="00C6337A" w:rsidRDefault="00C6337A" w:rsidP="00C6337A"/>
    <w:p w14:paraId="4783CF50" w14:textId="77777777" w:rsidR="00C6337A" w:rsidRDefault="00C6337A" w:rsidP="00C6337A">
      <w:pPr>
        <w:pStyle w:val="Heading4"/>
      </w:pPr>
      <w:r>
        <w:t>Impact:</w:t>
      </w:r>
    </w:p>
    <w:p w14:paraId="26B519F0" w14:textId="15611C74" w:rsidR="00C6337A" w:rsidRDefault="00C6337A" w:rsidP="00C6337A">
      <w:pPr>
        <w:pStyle w:val="Heading4"/>
      </w:pPr>
      <w:r>
        <w:t xml:space="preserve">Global Inequality has severe impacts for </w:t>
      </w:r>
      <w:r w:rsidR="00546E32">
        <w:t>all</w:t>
      </w:r>
      <w:r w:rsidR="00851445">
        <w:t>, minimizes standard</w:t>
      </w:r>
    </w:p>
    <w:p w14:paraId="0CB0D8EB" w14:textId="77777777" w:rsidR="00C6337A" w:rsidRDefault="00C6337A" w:rsidP="00C6337A">
      <w:r>
        <w:rPr>
          <w:b/>
          <w:sz w:val="26"/>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15">
        <w:r>
          <w:rPr>
            <w:color w:val="000000"/>
          </w:rPr>
          <w:t>https://theconversation.com/dont-listen-to-the-rich-inequality-is-bad-for-everyone-81952</w:t>
        </w:r>
      </w:hyperlink>
      <w:r>
        <w:t xml:space="preserve"> Livingston RB</w:t>
      </w:r>
    </w:p>
    <w:p w14:paraId="777E62D8" w14:textId="77777777" w:rsidR="00C6337A" w:rsidRDefault="00C6337A" w:rsidP="00C6337A">
      <w:r>
        <w:t>A world where a few people have most of the wealth </w:t>
      </w:r>
      <w:hyperlink r:id="rId16">
        <w:r>
          <w:rPr>
            <w:color w:val="000000"/>
          </w:rPr>
          <w:t>motivates others</w:t>
        </w:r>
      </w:hyperlink>
      <w:r>
        <w:t> who are poor to strive to earn more. And when they do, they’ll </w:t>
      </w:r>
      <w:hyperlink r:id="rId17" w:anchor="fndtn-page_scan_tab_contents">
        <w:r>
          <w:rPr>
            <w:color w:val="000000"/>
          </w:rPr>
          <w:t>invest</w:t>
        </w:r>
      </w:hyperlink>
      <w:r>
        <w:t xml:space="preserve"> in businesses and other areas of the economy. That’s the argument for inequality. But it’s wrong. </w:t>
      </w:r>
      <w:hyperlink r:id="rId18">
        <w:r>
          <w:rPr>
            <w:b/>
            <w:highlight w:val="green"/>
            <w:u w:val="single"/>
          </w:rPr>
          <w:t>Our study</w:t>
        </w:r>
      </w:hyperlink>
      <w:r>
        <w:rPr>
          <w:b/>
          <w:highlight w:val="green"/>
          <w:u w:val="single"/>
        </w:rPr>
        <w:t> of 21 OECD countries over more than a 100 years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 xml:space="preserve">preventing </w:t>
      </w:r>
      <w:r w:rsidRPr="00DA66EB">
        <w:rPr>
          <w:b/>
          <w:highlight w:val="green"/>
          <w:u w:val="single"/>
        </w:rPr>
        <w:t>people</w:t>
      </w:r>
      <w:r>
        <w:t> </w:t>
      </w:r>
      <w:hyperlink r:id="rId19"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20">
        <w:r>
          <w:rPr>
            <w:color w:val="000000"/>
          </w:rPr>
          <w:t>entrepreneurship</w:t>
        </w:r>
      </w:hyperlink>
      <w:r>
        <w:t xml:space="preserve">. Inequality also means </w:t>
      </w:r>
      <w:r>
        <w:rPr>
          <w:b/>
          <w:highlight w:val="green"/>
          <w:u w:val="single"/>
        </w:rPr>
        <w:t>the market for new goods shrinks.</w:t>
      </w:r>
      <w:r>
        <w:t> </w:t>
      </w:r>
    </w:p>
    <w:p w14:paraId="25C31EBE" w14:textId="6700325F" w:rsidR="00C7177C" w:rsidRDefault="00C7177C" w:rsidP="00306A49">
      <w:pPr>
        <w:pStyle w:val="Heading4"/>
      </w:pPr>
      <w:r>
        <w:t>Inequality is bad because it leads to dehumanization and animalization</w:t>
      </w:r>
      <w:r w:rsidR="00546E32">
        <w:t>, strengthens structural violence</w:t>
      </w:r>
    </w:p>
    <w:p w14:paraId="7212A2BB" w14:textId="786550F1" w:rsidR="004377BD" w:rsidRPr="004377BD" w:rsidRDefault="00306A49" w:rsidP="00C6337A">
      <w:pPr>
        <w:rPr>
          <w:b/>
          <w:bCs/>
          <w:sz w:val="26"/>
          <w:u w:val="single"/>
        </w:rPr>
      </w:pPr>
      <w:r w:rsidRPr="002B50B8">
        <w:rPr>
          <w:rStyle w:val="Style13ptBold"/>
        </w:rPr>
        <w:t>Sainz</w:t>
      </w:r>
      <w:r w:rsidR="002B50B8" w:rsidRPr="002B50B8">
        <w:rPr>
          <w:rStyle w:val="Style13ptBold"/>
        </w:rPr>
        <w:t xml:space="preserve"> </w:t>
      </w:r>
      <w:r w:rsidR="004377BD">
        <w:rPr>
          <w:b/>
          <w:bCs/>
          <w:sz w:val="26"/>
          <w:u w:val="single"/>
        </w:rPr>
        <w:t xml:space="preserve">et al 20 </w:t>
      </w:r>
      <w:r w:rsidR="00E61CA2">
        <w:t xml:space="preserve">(All authors are from the University of Edinburgh </w:t>
      </w:r>
      <w:r w:rsidR="005711C2">
        <w:t>focusing</w:t>
      </w:r>
      <w:r w:rsidR="00E61CA2">
        <w:t xml:space="preserve"> in</w:t>
      </w:r>
      <w:r w:rsidR="005711C2">
        <w:t xml:space="preserve"> the School of Philosophy, Psychology, and Language Sciences)</w:t>
      </w:r>
      <w:r w:rsidR="00E61CA2">
        <w:t xml:space="preserve"> </w:t>
      </w:r>
      <w:r w:rsidR="005711C2">
        <w:t>S</w:t>
      </w:r>
      <w:r w:rsidR="004377BD" w:rsidRPr="004377BD">
        <w:t>ainz, M., Loughnan, S., Martinez, R., Moya , M., &amp; Rodriguez-Bailon, R. (2020). Dehumanization of socioeconomically disadvantaged groups decreases support for welfare policies via perceived wastefulness. </w:t>
      </w:r>
      <w:r w:rsidR="004377BD" w:rsidRPr="004377BD">
        <w:rPr>
          <w:i/>
          <w:iCs/>
        </w:rPr>
        <w:t>International Review of Social Psychology</w:t>
      </w:r>
      <w:r w:rsidR="004377BD" w:rsidRPr="004377BD">
        <w:t>, </w:t>
      </w:r>
      <w:r w:rsidR="004377BD" w:rsidRPr="004377BD">
        <w:rPr>
          <w:i/>
          <w:iCs/>
        </w:rPr>
        <w:t>33</w:t>
      </w:r>
      <w:r w:rsidR="004377BD" w:rsidRPr="004377BD">
        <w:t>(1), 1-13. [12]. https://doi.org/10.5334/IRSP.414</w:t>
      </w:r>
    </w:p>
    <w:p w14:paraId="46A2F081" w14:textId="56B17CEE" w:rsidR="00C6337A" w:rsidRPr="00C7177C" w:rsidRDefault="00B35FC9" w:rsidP="00C6337A">
      <w:pPr>
        <w:rPr>
          <w:sz w:val="16"/>
        </w:rPr>
      </w:pPr>
      <w:r w:rsidRPr="00870D0A">
        <w:rPr>
          <w:u w:val="single"/>
        </w:rPr>
        <w:t>Growing</w:t>
      </w:r>
      <w:r w:rsidRPr="00870D0A">
        <w:rPr>
          <w:b/>
          <w:bCs/>
          <w:highlight w:val="green"/>
          <w:u w:val="single"/>
        </w:rPr>
        <w:t xml:space="preserve"> </w:t>
      </w:r>
      <w:r w:rsidRPr="00870D0A">
        <w:rPr>
          <w:u w:val="single"/>
        </w:rPr>
        <w:t>economic</w:t>
      </w:r>
      <w:r w:rsidRPr="00870D0A">
        <w:rPr>
          <w:b/>
          <w:bCs/>
          <w:highlight w:val="green"/>
          <w:u w:val="single"/>
        </w:rPr>
        <w:t xml:space="preserve"> inequality </w:t>
      </w:r>
      <w:r w:rsidRPr="00870D0A">
        <w:rPr>
          <w:u w:val="single"/>
        </w:rPr>
        <w:t>especially</w:t>
      </w:r>
      <w:r w:rsidRPr="00870D0A">
        <w:rPr>
          <w:b/>
          <w:bCs/>
          <w:highlight w:val="green"/>
          <w:u w:val="single"/>
        </w:rPr>
        <w:t xml:space="preserve"> affects </w:t>
      </w:r>
      <w:r w:rsidRPr="00870D0A">
        <w:rPr>
          <w:u w:val="single"/>
        </w:rPr>
        <w:t>the well-being of those who have a</w:t>
      </w:r>
      <w:r w:rsidRPr="00870D0A">
        <w:rPr>
          <w:b/>
          <w:bCs/>
          <w:highlight w:val="green"/>
          <w:u w:val="single"/>
        </w:rPr>
        <w:t xml:space="preserve"> disadvantaged</w:t>
      </w:r>
      <w:r w:rsidRPr="00C7177C">
        <w:rPr>
          <w:sz w:val="16"/>
        </w:rPr>
        <w:t xml:space="preserve"> position (Buttrick &amp; Oishi, 2017). Nowadays, many people rely on government support for food, heat, and accommodations (e.g., 6.8 million working-age British citizens receive benefits; National Statistics, 2017). However, despite the devastating effects that a deprived position has on people’s lives (Mood &amp; Jonsson, 2016), many citizens oppose social welfare policies that seek to alleviate the consequences of living in poverty (Ashok et al., 2015). Even though this opposition likely has multiple causes, </w:t>
      </w:r>
      <w:r w:rsidRPr="00870D0A">
        <w:rPr>
          <w:b/>
          <w:bCs/>
          <w:highlight w:val="green"/>
          <w:u w:val="single"/>
        </w:rPr>
        <w:t>one</w:t>
      </w:r>
      <w:r w:rsidRPr="00C7177C">
        <w:rPr>
          <w:sz w:val="16"/>
        </w:rPr>
        <w:t xml:space="preserve"> potentially important explanatory </w:t>
      </w:r>
      <w:r w:rsidRPr="00870D0A">
        <w:rPr>
          <w:b/>
          <w:bCs/>
          <w:highlight w:val="green"/>
          <w:u w:val="single"/>
        </w:rPr>
        <w:t>factor is the social perceptions that individuals form about low-socioeconomic status (low-SES) groups</w:t>
      </w:r>
      <w:r w:rsidRPr="00C7177C">
        <w:rPr>
          <w:sz w:val="16"/>
        </w:rPr>
        <w:t xml:space="preserve">. In addition to being disliked (Cozzarelli et al., 2001) or stereotyped as less competent especially in higher economic inequality contexts (Durante, Tablante &amp; Fiske, 2017), </w:t>
      </w:r>
      <w:r w:rsidRPr="00870D0A">
        <w:rPr>
          <w:b/>
          <w:bCs/>
          <w:highlight w:val="green"/>
          <w:u w:val="single"/>
        </w:rPr>
        <w:t>low-SES groups are also often considered as less human than high-SES groups</w:t>
      </w:r>
      <w:r w:rsidRPr="00C7177C">
        <w:rPr>
          <w:sz w:val="16"/>
        </w:rPr>
        <w:t xml:space="preserve"> (Loughnan et al., 2014; Sainz, Martínez, Moya, &amp; Rodríguez-Bailón, 2019). Moreover</w:t>
      </w:r>
      <w:r w:rsidRPr="002E0438">
        <w:t>, low-SES people sometimes are depicted as having wasteful consumption practices that supposedly stem from irrational economic decisions or a dysfunctional lifestyle (Jones</w:t>
      </w:r>
      <w:r w:rsidRPr="00C7177C">
        <w:rPr>
          <w:sz w:val="16"/>
        </w:rPr>
        <w:t xml:space="preserve">, 2011); put simply, one can readily have an understanding that low-SES people spend their money on electronics or expensive clothes instead of on essential goods such as food or accommodations (Bullock et al., 2001; Hayward &amp; Yar, 2006). In the present work, we aimed to extend previous work on the consequences of animalizing low-SES groups (Sainz, Martínez, Sutton, Rodríguez-Bailón, &amp; Moya, 2019): We predict that dehumanizing low-SES groups may reduce support for social welfare policies, by portraying the </w:t>
      </w:r>
      <w:r w:rsidR="00327658" w:rsidRPr="00C7177C">
        <w:rPr>
          <w:sz w:val="16"/>
        </w:rPr>
        <w:t>recipients of such programs as economically irresponsible. The denial of people’s humanity is an important feature in intergroup relations (for reviews, see Haslam &amp; Loughnan, 2014; Haslam &amp; Stratemeyer, 2016; or Vaes et al., 2012).</w:t>
      </w:r>
      <w:r w:rsidR="00A77FC1" w:rsidRPr="00C7177C">
        <w:rPr>
          <w:sz w:val="16"/>
        </w:rPr>
        <w:t xml:space="preserve"> </w:t>
      </w:r>
      <w:r w:rsidR="00A77FC1" w:rsidRPr="00870D0A">
        <w:rPr>
          <w:b/>
          <w:bCs/>
          <w:highlight w:val="green"/>
          <w:u w:val="single"/>
        </w:rPr>
        <w:t>Haslam</w:t>
      </w:r>
      <w:r w:rsidR="00A77FC1" w:rsidRPr="00C7177C">
        <w:rPr>
          <w:sz w:val="16"/>
        </w:rPr>
        <w:t xml:space="preserve"> (2006) </w:t>
      </w:r>
      <w:r w:rsidR="00A77FC1" w:rsidRPr="00870D0A">
        <w:rPr>
          <w:b/>
          <w:bCs/>
          <w:highlight w:val="green"/>
          <w:u w:val="single"/>
        </w:rPr>
        <w:t xml:space="preserve">proposed two dimensions of humanity: human nature (HN) and human uniqueness (HU). The former includes traits such as emotionality, cognitive openness, and depth; the denial of these traits leads to perception of others as unemotional objects </w:t>
      </w:r>
      <w:r w:rsidR="00A77FC1" w:rsidRPr="009E42A3">
        <w:rPr>
          <w:u w:val="single"/>
        </w:rPr>
        <w:t>(i.e., mechanistic dehumanization).</w:t>
      </w:r>
      <w:r w:rsidR="00A77FC1" w:rsidRPr="00870D0A">
        <w:rPr>
          <w:b/>
          <w:bCs/>
          <w:highlight w:val="green"/>
          <w:u w:val="single"/>
        </w:rPr>
        <w:t xml:space="preserve"> The latter involves traits such as rationality and civility that serve to differentiate humans from animals; denial in this case leads to animalization</w:t>
      </w:r>
      <w:r w:rsidR="00A77FC1" w:rsidRPr="00C7177C">
        <w:rPr>
          <w:sz w:val="16"/>
        </w:rPr>
        <w:t xml:space="preserve">. Based on the previous literature, </w:t>
      </w:r>
      <w:r w:rsidR="00A77FC1" w:rsidRPr="00870D0A">
        <w:rPr>
          <w:b/>
          <w:bCs/>
          <w:highlight w:val="green"/>
          <w:u w:val="single"/>
        </w:rPr>
        <w:t>HU is the dimension traditionally denied to groups that occupy a subordinate position in society, such as immigrants, refugees, and minority ethnic groups</w:t>
      </w:r>
      <w:r w:rsidR="00A77FC1" w:rsidRPr="00C7177C">
        <w:rPr>
          <w:sz w:val="16"/>
        </w:rPr>
        <w:t xml:space="preserve"> (DeLuca-McLean &amp; Castano, 2009; Esses et al., 2008; Goff et al., 2008). Furthermore, prior work has identified HU as the dimension, above and beyond HN, associated with the justification of hierarchical inequalities (Haslam, 2006) and its consequences such, for instance, the discrimination of ethnic minorities (Haslam &amp; Loughnan, 2014). Although there has been limited work directly pairing SES and dehumanization, there is evidence that low-SES groups are viewed as not fully human; for instance, Loughnan et al. (2014) showed that </w:t>
      </w:r>
      <w:r w:rsidR="00A77FC1" w:rsidRPr="00C7177C">
        <w:rPr>
          <w:b/>
          <w:bCs/>
          <w:highlight w:val="green"/>
          <w:u w:val="single"/>
        </w:rPr>
        <w:t>people in different countries associated low-SES groups with animals such as apes, rats, and dogs</w:t>
      </w:r>
      <w:r w:rsidR="00A77FC1" w:rsidRPr="00C7177C">
        <w:rPr>
          <w:sz w:val="16"/>
        </w:rPr>
        <w:t xml:space="preserve">, and Sainz, Martínez, Moya, and Rodríguez-Bailón (2019) demonstrated that low-SES groups were considered lacking more HU than high-SES groups. This previous research highlights that groups that have a low socioeconomic position are prone to be considered as less evolved than other groups. In addition, prior work identified that the denial of HU, even more than of HN, seems to drive negative attitudes about redistribution policies aimed to reduce the income gap between low- and high-SES groups (Sainz, Martínez, Sutton, et al., 2019). Further, authors explore how the willingness to accept that poverty is caused by external (e.g., economic system) or by internal (e.g., lack of intelligence) factors mediates the relationship between animalizing low-SES and attitudes about income redistribution. These findings are a key starting point for the current research because it highlights how </w:t>
      </w:r>
      <w:r w:rsidR="00A77FC1" w:rsidRPr="00C7177C">
        <w:rPr>
          <w:b/>
          <w:bCs/>
          <w:highlight w:val="green"/>
          <w:u w:val="single"/>
        </w:rPr>
        <w:t xml:space="preserve">animalizing groups could influence the justification of </w:t>
      </w:r>
      <w:r w:rsidR="00A77FC1" w:rsidRPr="001146FF">
        <w:rPr>
          <w:u w:val="single"/>
        </w:rPr>
        <w:t>income</w:t>
      </w:r>
      <w:r w:rsidR="00A77FC1" w:rsidRPr="00C7177C">
        <w:rPr>
          <w:b/>
          <w:bCs/>
          <w:highlight w:val="green"/>
          <w:u w:val="single"/>
        </w:rPr>
        <w:t xml:space="preserve"> inequality</w:t>
      </w:r>
      <w:r w:rsidR="00A77FC1" w:rsidRPr="00C7177C">
        <w:rPr>
          <w:sz w:val="16"/>
        </w:rPr>
        <w:t xml:space="preserve"> (Sainz, Martínez, Rodríguez-Bailón, et al., 2019; Sainz, Martínez, Sutton, et al., 2019).</w:t>
      </w:r>
    </w:p>
    <w:p w14:paraId="4E019F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51791988160"/>
    <w:docVar w:name="VerbatimVersion" w:val="5.1"/>
  </w:docVars>
  <w:rsids>
    <w:rsidRoot w:val="002222F5"/>
    <w:rsid w:val="000139A3"/>
    <w:rsid w:val="00067D83"/>
    <w:rsid w:val="000A19DC"/>
    <w:rsid w:val="00100833"/>
    <w:rsid w:val="00104529"/>
    <w:rsid w:val="00105942"/>
    <w:rsid w:val="00107396"/>
    <w:rsid w:val="001109E5"/>
    <w:rsid w:val="001146FF"/>
    <w:rsid w:val="00144A4C"/>
    <w:rsid w:val="00176AB0"/>
    <w:rsid w:val="00177B7D"/>
    <w:rsid w:val="0018322D"/>
    <w:rsid w:val="001B5776"/>
    <w:rsid w:val="001E527A"/>
    <w:rsid w:val="001F78CE"/>
    <w:rsid w:val="00215C88"/>
    <w:rsid w:val="002222F5"/>
    <w:rsid w:val="00251FC7"/>
    <w:rsid w:val="002855A7"/>
    <w:rsid w:val="002B146A"/>
    <w:rsid w:val="002B50B8"/>
    <w:rsid w:val="002B5E17"/>
    <w:rsid w:val="002C0D92"/>
    <w:rsid w:val="002E0438"/>
    <w:rsid w:val="00306A49"/>
    <w:rsid w:val="00315690"/>
    <w:rsid w:val="00316B75"/>
    <w:rsid w:val="00325646"/>
    <w:rsid w:val="00327658"/>
    <w:rsid w:val="003460F2"/>
    <w:rsid w:val="0038158C"/>
    <w:rsid w:val="00385B4C"/>
    <w:rsid w:val="003902BA"/>
    <w:rsid w:val="003A09E2"/>
    <w:rsid w:val="00407037"/>
    <w:rsid w:val="004377BD"/>
    <w:rsid w:val="004412BF"/>
    <w:rsid w:val="004605D6"/>
    <w:rsid w:val="004C60E8"/>
    <w:rsid w:val="004E3579"/>
    <w:rsid w:val="004E728B"/>
    <w:rsid w:val="004F39E0"/>
    <w:rsid w:val="00537BD5"/>
    <w:rsid w:val="00537F91"/>
    <w:rsid w:val="00546E32"/>
    <w:rsid w:val="005711C2"/>
    <w:rsid w:val="0057268A"/>
    <w:rsid w:val="005D2912"/>
    <w:rsid w:val="006065BD"/>
    <w:rsid w:val="00645FA9"/>
    <w:rsid w:val="00647866"/>
    <w:rsid w:val="006538A5"/>
    <w:rsid w:val="00665003"/>
    <w:rsid w:val="00693C00"/>
    <w:rsid w:val="006A2AD0"/>
    <w:rsid w:val="006A4C7D"/>
    <w:rsid w:val="006C2375"/>
    <w:rsid w:val="006D4ECC"/>
    <w:rsid w:val="006E2833"/>
    <w:rsid w:val="00722258"/>
    <w:rsid w:val="007243E5"/>
    <w:rsid w:val="00766EA0"/>
    <w:rsid w:val="007A2226"/>
    <w:rsid w:val="007F5B66"/>
    <w:rsid w:val="00823A1C"/>
    <w:rsid w:val="00845B9D"/>
    <w:rsid w:val="00851445"/>
    <w:rsid w:val="00860984"/>
    <w:rsid w:val="00870D0A"/>
    <w:rsid w:val="008B3ECB"/>
    <w:rsid w:val="008B4E85"/>
    <w:rsid w:val="008C1B2E"/>
    <w:rsid w:val="0091627E"/>
    <w:rsid w:val="0097032B"/>
    <w:rsid w:val="009D2EAD"/>
    <w:rsid w:val="009D54B2"/>
    <w:rsid w:val="009E1922"/>
    <w:rsid w:val="009E42A3"/>
    <w:rsid w:val="009F7ED2"/>
    <w:rsid w:val="00A135BE"/>
    <w:rsid w:val="00A77FC1"/>
    <w:rsid w:val="00A811D5"/>
    <w:rsid w:val="00A84450"/>
    <w:rsid w:val="00A93661"/>
    <w:rsid w:val="00A95652"/>
    <w:rsid w:val="00AC0AB8"/>
    <w:rsid w:val="00B33C6D"/>
    <w:rsid w:val="00B35FC9"/>
    <w:rsid w:val="00B4508F"/>
    <w:rsid w:val="00B55AD5"/>
    <w:rsid w:val="00B8057C"/>
    <w:rsid w:val="00BD6238"/>
    <w:rsid w:val="00BF593B"/>
    <w:rsid w:val="00BF773A"/>
    <w:rsid w:val="00BF7E81"/>
    <w:rsid w:val="00C13773"/>
    <w:rsid w:val="00C17CC8"/>
    <w:rsid w:val="00C561EF"/>
    <w:rsid w:val="00C6337A"/>
    <w:rsid w:val="00C7177C"/>
    <w:rsid w:val="00C83417"/>
    <w:rsid w:val="00C9556D"/>
    <w:rsid w:val="00C9604F"/>
    <w:rsid w:val="00CA19AA"/>
    <w:rsid w:val="00CA69EE"/>
    <w:rsid w:val="00CC5298"/>
    <w:rsid w:val="00CD736E"/>
    <w:rsid w:val="00CD798D"/>
    <w:rsid w:val="00CE161E"/>
    <w:rsid w:val="00CF59A8"/>
    <w:rsid w:val="00D325A9"/>
    <w:rsid w:val="00D36A8A"/>
    <w:rsid w:val="00D51296"/>
    <w:rsid w:val="00D61409"/>
    <w:rsid w:val="00D6691E"/>
    <w:rsid w:val="00D71170"/>
    <w:rsid w:val="00DA1C92"/>
    <w:rsid w:val="00DA25D4"/>
    <w:rsid w:val="00DA6538"/>
    <w:rsid w:val="00E15E75"/>
    <w:rsid w:val="00E5262C"/>
    <w:rsid w:val="00E61CA2"/>
    <w:rsid w:val="00EC7DC4"/>
    <w:rsid w:val="00ED30CF"/>
    <w:rsid w:val="00F176EF"/>
    <w:rsid w:val="00F45E10"/>
    <w:rsid w:val="00F6364A"/>
    <w:rsid w:val="00F9113A"/>
    <w:rsid w:val="00FE113A"/>
    <w:rsid w:val="00FE2546"/>
    <w:rsid w:val="00FE2C78"/>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3A69"/>
  <w15:chartTrackingRefBased/>
  <w15:docId w15:val="{9C7CAF80-38B8-4721-82D1-58473A22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35BE"/>
    <w:rPr>
      <w:rFonts w:ascii="Calibri" w:hAnsi="Calibri" w:cs="Calibri"/>
    </w:rPr>
  </w:style>
  <w:style w:type="paragraph" w:styleId="Heading1">
    <w:name w:val="heading 1"/>
    <w:aliases w:val="Pocket"/>
    <w:basedOn w:val="Normal"/>
    <w:next w:val="Normal"/>
    <w:link w:val="Heading1Char"/>
    <w:qFormat/>
    <w:rsid w:val="00A135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A135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135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A135B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A135B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A135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5BE"/>
  </w:style>
  <w:style w:type="character" w:customStyle="1" w:styleId="Heading1Char">
    <w:name w:val="Heading 1 Char"/>
    <w:aliases w:val="Pocket Char"/>
    <w:basedOn w:val="DefaultParagraphFont"/>
    <w:link w:val="Heading1"/>
    <w:rsid w:val="00A135B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A135B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135B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A135BE"/>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A135B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A135BE"/>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A135B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135BE"/>
    <w:rPr>
      <w:color w:val="auto"/>
      <w:u w:val="none"/>
    </w:rPr>
  </w:style>
  <w:style w:type="character" w:styleId="FollowedHyperlink">
    <w:name w:val="FollowedHyperlink"/>
    <w:basedOn w:val="DefaultParagraphFont"/>
    <w:uiPriority w:val="99"/>
    <w:semiHidden/>
    <w:unhideWhenUsed/>
    <w:rsid w:val="00A135B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844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8445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Heading5Char">
    <w:name w:val="Heading 5 Char"/>
    <w:basedOn w:val="DefaultParagraphFont"/>
    <w:link w:val="Heading5"/>
    <w:uiPriority w:val="9"/>
    <w:rsid w:val="00A135B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islweb.org/docs/Diederiks2007.pdf" TargetMode="External"/><Relationship Id="rId13" Type="http://schemas.openxmlformats.org/officeDocument/2006/relationships/hyperlink" Target="https://www.spacelegalissues.com/the-bogota-declaration-and-space-law/" TargetMode="External"/><Relationship Id="rId18" Type="http://schemas.openxmlformats.org/officeDocument/2006/relationships/hyperlink" Target="http://business.monash.edu/__data/assets/pdf_file/0017/455111/1816inequalitymadsenislamdoucouliagos-002.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space.nss.org/space-mineral-resources/" TargetMode="External"/><Relationship Id="rId17" Type="http://schemas.openxmlformats.org/officeDocument/2006/relationships/hyperlink" Target="http://www.jstor.org/stable/2296292?origin=JSTOR-pdf&amp;seq=1" TargetMode="External"/><Relationship Id="rId2" Type="http://schemas.openxmlformats.org/officeDocument/2006/relationships/numbering" Target="numbering.xml"/><Relationship Id="rId16" Type="http://schemas.openxmlformats.org/officeDocument/2006/relationships/hyperlink" Target="https://www.economist.com/blogs/economist-explains/2015/06/economist-explains-11" TargetMode="External"/><Relationship Id="rId20" Type="http://schemas.openxmlformats.org/officeDocument/2006/relationships/hyperlink" Target="http://www.journals.uchicago.edu/doi/abs/10.1086/261876" TargetMode="External"/><Relationship Id="rId1" Type="http://schemas.openxmlformats.org/officeDocument/2006/relationships/customXml" Target="../customXml/item1.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hyperlink" Target="https://theconversation.com/dont-listen-to-the-rich-inequality-is-bad-for-everyone-81952"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hyperlink" Target="https://www.jstor.org/stable/2297811?seq=1"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scholarlycommons.law.northwestern.edu/cgi/viewcontent.cgi?referer=&amp;httpsredir=1&amp;article=1500&amp;context=njilb"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12907</Words>
  <Characters>73570</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34</cp:revision>
  <dcterms:created xsi:type="dcterms:W3CDTF">2022-01-22T06:16:00Z</dcterms:created>
  <dcterms:modified xsi:type="dcterms:W3CDTF">2022-01-23T15:34:00Z</dcterms:modified>
</cp:coreProperties>
</file>