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6100" w14:textId="77777777" w:rsidR="00F76572" w:rsidRPr="006D494F" w:rsidRDefault="00F76572" w:rsidP="00F76572">
      <w:pPr>
        <w:pStyle w:val="Heading2"/>
      </w:pPr>
      <w:r w:rsidRPr="006D494F">
        <w:t>T-Data Exclusivity</w:t>
      </w:r>
    </w:p>
    <w:p w14:paraId="41963436" w14:textId="77777777" w:rsidR="00F76572" w:rsidRDefault="00F76572" w:rsidP="00F76572">
      <w:pPr>
        <w:pStyle w:val="Heading4"/>
      </w:pPr>
      <w:r>
        <w:t>Interpretation: The aff may not transition towards data exclusivity, that’s extra-T</w:t>
      </w:r>
    </w:p>
    <w:p w14:paraId="3A5DD528" w14:textId="77777777" w:rsidR="00F76572" w:rsidRDefault="00F76572" w:rsidP="00F76572">
      <w:r>
        <w:rPr>
          <w:b/>
          <w:u w:val="single"/>
        </w:rPr>
        <w:t>Wilkinson 21</w:t>
      </w:r>
      <w:r>
        <w:t xml:space="preserve"> (Margaret Ann, Professor of Law at Western University, Canada, Director of the Area of Concentration in Intellectual Property, Information and Technology Law)</w:t>
      </w:r>
    </w:p>
    <w:p w14:paraId="3CC73BB2" w14:textId="77777777" w:rsidR="00F76572" w:rsidRDefault="00F76572" w:rsidP="00F76572">
      <w:r>
        <w:t>** TPM = Technological Property Management</w:t>
      </w:r>
    </w:p>
    <w:p w14:paraId="4249DF2D" w14:textId="77777777" w:rsidR="00F76572" w:rsidRDefault="00F76572" w:rsidP="00F76572">
      <w:r>
        <w:t xml:space="preserve">** RMI = Rights Management Information </w:t>
      </w:r>
    </w:p>
    <w:p w14:paraId="27038E13" w14:textId="77777777" w:rsidR="00F76572" w:rsidRDefault="00F76572" w:rsidP="00F76572">
      <w:r>
        <w:t xml:space="preserve">Wilkinson, Margaret Ann. "Is protection of data through data exclusivity, technological protection measures or rights management information actually intellectual property?". In The Future of Intellectual Property, (Cheltenham, UK: Edward Elgar Publishing, 2021)doi: </w:t>
      </w:r>
      <w:hyperlink r:id="rId9">
        <w:r>
          <w:rPr>
            <w:color w:val="000000"/>
          </w:rPr>
          <w:t>https://doi.org/10.4337/9781800885349.00015</w:t>
        </w:r>
      </w:hyperlink>
      <w:r>
        <w:t xml:space="preserve"> EE</w:t>
      </w:r>
    </w:p>
    <w:p w14:paraId="4E6E48BE" w14:textId="77777777" w:rsidR="00F76572" w:rsidRDefault="00F76572" w:rsidP="00F76572">
      <w:r>
        <w:t xml:space="preserve">In each of the international settings discussed above and shown in Table 9.1, data exclusivity, TPM and RMI are treated as IP in the sense of being placed in texts in an IP context. But can such placement define the nature of the contents? </w:t>
      </w:r>
      <w:r>
        <w:rPr>
          <w:szCs w:val="22"/>
          <w:u w:val="single"/>
        </w:rPr>
        <w:t xml:space="preserve">If the various protections so classified as IP within international instruments are found to differ in nature, is it appropriate or useful to try to sort them into subclasses of IP as either 'primary' IP or 'secondary' IP? </w:t>
      </w:r>
      <w:r>
        <w:t xml:space="preserve">Historically, the classic devices of patent and copyright have been brought together under the term 'intellectual property' through their similarity in being private monopo-lies created to encourage public dissemination of ideas:um might they thereforebe considered 'primary' and all those created afterwards, but which seem to be related to them, secondary?10` </w:t>
      </w:r>
      <w:r>
        <w:rPr>
          <w:szCs w:val="22"/>
          <w:u w:val="single"/>
        </w:rPr>
        <w:t xml:space="preserve">The definitions of 'secondary' posit some greater relationship than simply being 'earlier.' The Merriam Webster defi-nition of 'secondary' includes 'immediately derived from something original, primary or basie'iGs </w:t>
      </w:r>
      <w:r>
        <w:t>Similarly, the Oxford English Dictionarym definitions include one, tracing back to 1398, that begins with, 'Belonging to the second order in a series related by successive derivation, causation, or dependence; derived from, based on, or dependent on something else which is primary; not original, derivative.</w:t>
      </w:r>
    </w:p>
    <w:p w14:paraId="77E972B1" w14:textId="77777777" w:rsidR="00F76572" w:rsidRDefault="00F76572" w:rsidP="00F76572">
      <w:pPr>
        <w:rPr>
          <w:szCs w:val="22"/>
          <w:u w:val="single"/>
        </w:rPr>
      </w:pPr>
      <w:r>
        <w:t xml:space="preserve">As the analyses above have shown, </w:t>
      </w:r>
      <w:r>
        <w:rPr>
          <w:b/>
          <w:szCs w:val="22"/>
          <w:highlight w:val="yellow"/>
          <w:u w:val="single"/>
        </w:rPr>
        <w:t>data exclusivity is not</w:t>
      </w:r>
      <w:r>
        <w:rPr>
          <w:szCs w:val="22"/>
          <w:u w:val="single"/>
        </w:rPr>
        <w:t xml:space="preserve"> dependent upon the presence of patent </w:t>
      </w:r>
      <w:r>
        <w:rPr>
          <w:b/>
          <w:szCs w:val="22"/>
          <w:u w:val="single"/>
        </w:rPr>
        <w:t>nor does it take the form of</w:t>
      </w:r>
      <w:r>
        <w:rPr>
          <w:szCs w:val="22"/>
          <w:u w:val="single"/>
        </w:rPr>
        <w:t xml:space="preserve"> an </w:t>
      </w:r>
      <w:r>
        <w:rPr>
          <w:b/>
          <w:szCs w:val="22"/>
          <w:highlight w:val="yellow"/>
          <w:u w:val="single"/>
        </w:rPr>
        <w:t>IP</w:t>
      </w:r>
      <w:r>
        <w:rPr>
          <w:szCs w:val="22"/>
          <w:u w:val="single"/>
        </w:rPr>
        <w:t xml:space="preserve"> device</w:t>
      </w:r>
      <w:r>
        <w:t xml:space="preserve">, for, </w:t>
      </w:r>
      <w:r>
        <w:rPr>
          <w:szCs w:val="22"/>
          <w:u w:val="single"/>
        </w:rPr>
        <w:t>although it has a limited term</w:t>
      </w:r>
      <w:r>
        <w:t xml:space="preserve">, </w:t>
      </w:r>
      <w:r>
        <w:rPr>
          <w:b/>
          <w:szCs w:val="22"/>
          <w:highlight w:val="yellow"/>
          <w:u w:val="single"/>
        </w:rPr>
        <w:t>it does not create a monopoly market</w:t>
      </w:r>
      <w:r>
        <w:rPr>
          <w:szCs w:val="22"/>
          <w:highlight w:val="yellow"/>
          <w:u w:val="single"/>
        </w:rPr>
        <w:t xml:space="preserve"> rather it censors the flow of information for the period of its existence</w:t>
      </w:r>
      <w:r>
        <w:t xml:space="preserve">. TPM and RM1, on the other hand, formally show more dependence on the existence of copyright (than data exclusivity does on patent) because their enactment invariably refers to 'works' and other vocabulary familiar in copyright — but, also invariably, TPM and RMI capture far more information than the subject matter of copyright. </w:t>
      </w:r>
      <w:r>
        <w:rPr>
          <w:szCs w:val="22"/>
          <w:u w:val="single"/>
        </w:rPr>
        <w:t>Like data exclusivity, neither 'PM nor RMI have limited terms</w:t>
      </w:r>
      <w:r>
        <w:t xml:space="preserve">. And, again </w:t>
      </w:r>
      <w:r>
        <w:rPr>
          <w:szCs w:val="22"/>
          <w:u w:val="single"/>
        </w:rPr>
        <w:t>like data exclusivity</w:t>
      </w:r>
      <w:r>
        <w:t xml:space="preserve">, </w:t>
      </w:r>
      <w:r>
        <w:rPr>
          <w:szCs w:val="22"/>
          <w:u w:val="single"/>
        </w:rPr>
        <w:t>TPM and RMI do not create monopoly markets</w:t>
      </w:r>
      <w:r>
        <w:t xml:space="preserve"> — rather, </w:t>
      </w:r>
      <w:r>
        <w:rPr>
          <w:szCs w:val="22"/>
          <w:u w:val="single"/>
        </w:rPr>
        <w:t>between them, they shore up existing channels of distribution and make them effective beyond the copyright terms of whatever materials arc flowing (along with un-copyrighted materials and data) within them</w:t>
      </w:r>
      <w:r>
        <w:t xml:space="preserve">. </w:t>
      </w:r>
      <w:r>
        <w:rPr>
          <w:szCs w:val="22"/>
          <w:u w:val="single"/>
        </w:rPr>
        <w:t>All three appear inde-pendent of patent and copyright, rather than secondary to them.</w:t>
      </w:r>
    </w:p>
    <w:p w14:paraId="51E1F00E" w14:textId="77777777" w:rsidR="00F76572" w:rsidRDefault="00F76572" w:rsidP="00F76572">
      <w:pPr>
        <w:pStyle w:val="Heading4"/>
      </w:pPr>
      <w:r w:rsidRPr="0005245E">
        <w:t>Violation</w:t>
      </w:r>
      <w:r>
        <w:t>:</w:t>
      </w:r>
    </w:p>
    <w:p w14:paraId="63C31762" w14:textId="77777777" w:rsidR="00F76572" w:rsidRPr="00532B06" w:rsidRDefault="00F76572" w:rsidP="00F76572">
      <w:pPr>
        <w:pStyle w:val="Heading4"/>
      </w:pPr>
      <w:r>
        <w:t>Their solvency advocate talks about data exclusivity in a separate article about the one and done approach- I read yellow</w:t>
      </w:r>
    </w:p>
    <w:p w14:paraId="4E6503AF" w14:textId="77777777" w:rsidR="00F76572" w:rsidRPr="005B38BB" w:rsidRDefault="00F76572" w:rsidP="00F76572">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4B3ECC" w14:textId="77777777" w:rsidR="00F76572" w:rsidRPr="0072187F" w:rsidRDefault="00F76572" w:rsidP="00F76572">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532B06">
        <w:rPr>
          <w:highlight w:val="yellow"/>
          <w:u w:val="single"/>
        </w:rPr>
        <w:t>The result</w:t>
      </w:r>
      <w:r w:rsidRPr="0072187F">
        <w:rPr>
          <w:u w:val="single"/>
        </w:rPr>
        <w:t xml:space="preserve">, however, </w:t>
      </w:r>
      <w:r w:rsidRPr="00532B06">
        <w:rPr>
          <w:highlight w:val="yellow"/>
          <w:u w:val="single"/>
        </w:rPr>
        <w:t>is that a</w:t>
      </w:r>
      <w:r w:rsidRPr="00E3202C">
        <w:rPr>
          <w:highlight w:val="green"/>
          <w:u w:val="single"/>
        </w:rPr>
        <w:t xml:space="preserve"> </w:t>
      </w:r>
      <w:r w:rsidRPr="0072187F">
        <w:rPr>
          <w:u w:val="single"/>
        </w:rPr>
        <w:t xml:space="preserve">pharmaceutical </w:t>
      </w:r>
      <w:r w:rsidRPr="00532B06">
        <w:rPr>
          <w:highlight w:val="yellow"/>
          <w:u w:val="single"/>
        </w:rPr>
        <w:t xml:space="preserve">company chooses whether </w:t>
      </w:r>
      <w:r w:rsidRPr="0072187F">
        <w:rPr>
          <w:u w:val="single"/>
        </w:rPr>
        <w:t xml:space="preserve">its period of </w:t>
      </w:r>
      <w:r w:rsidRPr="00532B06">
        <w:rPr>
          <w:highlight w:val="yellow"/>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Pr>
          <w:u w:val="single"/>
        </w:rPr>
        <w:t>[</w:t>
      </w:r>
      <w:r w:rsidRPr="00532B06">
        <w:rPr>
          <w:highlight w:val="yellow"/>
          <w:u w:val="single"/>
        </w:rPr>
        <w:t>or</w:t>
      </w:r>
      <w:r>
        <w:rPr>
          <w:u w:val="single"/>
        </w:rPr>
        <w:t xml:space="preserve">] </w:t>
      </w:r>
      <w:r w:rsidRPr="00532B06">
        <w:rPr>
          <w:highlight w:val="yellow"/>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5B4D301" w14:textId="77777777" w:rsidR="00F76572" w:rsidRPr="00532B06" w:rsidRDefault="00F76572" w:rsidP="00F76572"/>
    <w:p w14:paraId="250F9E5D" w14:textId="77777777" w:rsidR="00F76572" w:rsidRDefault="00F76572" w:rsidP="00F76572">
      <w:pPr>
        <w:pStyle w:val="Heading4"/>
      </w:pPr>
      <w:r>
        <w:t>Standards:</w:t>
      </w:r>
    </w:p>
    <w:p w14:paraId="633B16D2" w14:textId="77777777" w:rsidR="00F76572" w:rsidRDefault="00F76572" w:rsidP="00F76572">
      <w:pPr>
        <w:pStyle w:val="Heading4"/>
        <w:numPr>
          <w:ilvl w:val="0"/>
          <w:numId w:val="12"/>
        </w:numPr>
      </w:pPr>
      <w:r>
        <w:t>Limits – data exclusivity is straight up just not IP. Their interp allows anything tangentially related to patents like replacing IP with employee noncompetes and medical software DRM which explodes the topic.</w:t>
      </w:r>
    </w:p>
    <w:p w14:paraId="6CE7699A" w14:textId="77777777" w:rsidR="00F76572" w:rsidRDefault="00F76572" w:rsidP="00F76572">
      <w:pPr>
        <w:pStyle w:val="Heading4"/>
        <w:numPr>
          <w:ilvl w:val="0"/>
          <w:numId w:val="12"/>
        </w:numPr>
      </w:pPr>
      <w:r>
        <w:t>Ground- Neg ground is primarily based on unified generics like innovation, allowing the aff to add extra parts to their plan to get out of the innovation disad means negs have no stable stasis point. Further, this justifies extra-T planks that solve for any disad the neg can think of.</w:t>
      </w:r>
    </w:p>
    <w:p w14:paraId="04CB27B1" w14:textId="77777777" w:rsidR="00F76572" w:rsidRDefault="00F76572" w:rsidP="00F76572"/>
    <w:p w14:paraId="00BE76C3" w14:textId="77777777" w:rsidR="00F76572" w:rsidRPr="00CF2AEA" w:rsidRDefault="00F76572" w:rsidP="00F76572"/>
    <w:p w14:paraId="25DED8EE" w14:textId="77777777" w:rsidR="00F76572" w:rsidRDefault="00F76572" w:rsidP="00F76572">
      <w:pPr>
        <w:pStyle w:val="Heading4"/>
      </w:pPr>
      <w:r>
        <w:t>Topicality should be a voting issue evaluated through competing interpretations—you can’t be reasonably topical because anything beyond the resolution justifies everything beyond the res and topicality debates are very substantively educational and relate directly to the topic. Pre-round prep has already been skewed which means the only remedy is to drop the debater.</w:t>
      </w:r>
    </w:p>
    <w:p w14:paraId="7134DDE1" w14:textId="77777777" w:rsidR="00F76572" w:rsidRDefault="00F76572" w:rsidP="00F76572">
      <w:pPr>
        <w:pStyle w:val="Heading4"/>
      </w:pPr>
      <w:r>
        <w:t xml:space="preserve"> </w:t>
      </w:r>
    </w:p>
    <w:p w14:paraId="1430E7A8" w14:textId="77777777" w:rsidR="00F76572" w:rsidRDefault="00F76572" w:rsidP="00F76572">
      <w:pPr>
        <w:pStyle w:val="Heading4"/>
      </w:pPr>
      <w:r>
        <w:t xml:space="preserve">Fairness and education are voters – debate’s a game that needs rules to evaluate it and education gives us portable skills for life like research and thinking. </w:t>
      </w:r>
    </w:p>
    <w:p w14:paraId="3333CAE9" w14:textId="77777777" w:rsidR="00F76572" w:rsidRPr="00C34D59" w:rsidRDefault="00F76572" w:rsidP="00F76572"/>
    <w:p w14:paraId="64FC0CEE" w14:textId="77777777" w:rsidR="00F76572" w:rsidRDefault="00F76572" w:rsidP="00F76572">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348900D2" w14:textId="77777777" w:rsidR="00F76572" w:rsidRDefault="00F76572" w:rsidP="00F76572">
      <w:pPr>
        <w:pStyle w:val="Heading4"/>
      </w:pPr>
      <w:r>
        <w:t>No RVIs – a) illogical – you shouldn’t win for being fair</w:t>
      </w:r>
    </w:p>
    <w:p w14:paraId="018B5E77" w14:textId="4385556D" w:rsidR="00E42E4C" w:rsidRDefault="00E42E4C" w:rsidP="00F601E6"/>
    <w:p w14:paraId="6D2B1694" w14:textId="7656B9EB" w:rsidR="00EB3B1F" w:rsidRDefault="00EB3B1F" w:rsidP="00EB3B1F">
      <w:pPr>
        <w:pStyle w:val="Heading2"/>
      </w:pPr>
      <w:r>
        <w:t>2</w:t>
      </w:r>
    </w:p>
    <w:p w14:paraId="14817E67" w14:textId="77777777" w:rsidR="00EB3B1F" w:rsidRDefault="00EB3B1F" w:rsidP="00EB3B1F">
      <w:pPr>
        <w:pStyle w:val="Heading4"/>
      </w:pPr>
      <w:r>
        <w:t>CP Text: Member Nations of the WTO should implement section 3(d) law from India</w:t>
      </w:r>
    </w:p>
    <w:p w14:paraId="46DB0298" w14:textId="77777777" w:rsidR="00EB3B1F" w:rsidRDefault="00EB3B1F" w:rsidP="00EB3B1F">
      <w:pPr>
        <w:pStyle w:val="Heading4"/>
      </w:pPr>
      <w:r>
        <w:t>Solvency advocate</w:t>
      </w:r>
    </w:p>
    <w:p w14:paraId="5AFF5E81" w14:textId="77777777" w:rsidR="00EB3B1F" w:rsidRDefault="00EB3B1F" w:rsidP="00EB3B1F">
      <w:pPr>
        <w:spacing w:after="0" w:line="240" w:lineRule="auto"/>
      </w:pPr>
      <w:r w:rsidRPr="00F4313E">
        <w:rPr>
          <w:rStyle w:val="Style13ptBold"/>
        </w:rPr>
        <w:t>Kapczynski 09--</w:t>
      </w:r>
      <w:r w:rsidRPr="00F4313E">
        <w:t xml:space="preserve"> </w:t>
      </w:r>
      <w:r w:rsidRPr="00EB37C0">
        <w:t>Kapczynski, Amy. "Harmonization and its discontents: a case study of TRIPS implementation in India's pharmaceutical sector." Calif. L. Rev. 97 (2009): 1571.</w:t>
      </w:r>
      <w:r>
        <w:t xml:space="preserve"> (AG DebateDrills)</w:t>
      </w:r>
    </w:p>
    <w:p w14:paraId="11D95A2D" w14:textId="77777777" w:rsidR="00EB3B1F" w:rsidRPr="008869CE" w:rsidRDefault="00EB3B1F" w:rsidP="00EB3B1F">
      <w:pPr>
        <w:spacing w:after="0" w:line="240" w:lineRule="auto"/>
        <w:rPr>
          <w:rFonts w:ascii="Times New Roman" w:eastAsia="Times New Roman" w:hAnsi="Times New Roman" w:cs="Times New Roman"/>
          <w:sz w:val="16"/>
        </w:rPr>
      </w:pPr>
      <w:r w:rsidRPr="008869CE">
        <w:rPr>
          <w:rStyle w:val="Emphasis"/>
        </w:rPr>
        <w:t xml:space="preserve">The most important exclusion is </w:t>
      </w:r>
      <w:r w:rsidRPr="008869CE">
        <w:rPr>
          <w:rStyle w:val="Emphasis"/>
          <w:highlight w:val="green"/>
        </w:rPr>
        <w:t>section 3(d)</w:t>
      </w:r>
      <w:r w:rsidRPr="008869CE">
        <w:rPr>
          <w:rStyle w:val="Emphasis"/>
        </w:rPr>
        <w:t xml:space="preserve">, which </w:t>
      </w:r>
      <w:r w:rsidRPr="008869CE">
        <w:rPr>
          <w:rStyle w:val="Emphasis"/>
          <w:highlight w:val="green"/>
        </w:rPr>
        <w:t>forbids patents on both new uses</w:t>
      </w:r>
      <w:r w:rsidRPr="008869CE">
        <w:rPr>
          <w:rStyle w:val="Emphasis"/>
        </w:rPr>
        <w:t xml:space="preserve"> of known substances </w:t>
      </w:r>
      <w:r w:rsidRPr="008869CE">
        <w:rPr>
          <w:rStyle w:val="Emphasis"/>
          <w:highlight w:val="green"/>
        </w:rPr>
        <w:t>and on new forms of known substances</w:t>
      </w:r>
      <w:r w:rsidRPr="008869CE">
        <w:rPr>
          <w:rStyle w:val="Emphasis"/>
        </w:rPr>
        <w:t xml:space="preserve"> that do not enhance “efficacy.”</w:t>
      </w:r>
      <w:r w:rsidRPr="008869CE">
        <w:rPr>
          <w:rFonts w:ascii="Times New Roman" w:eastAsia="Times New Roman" w:hAnsi="Times New Roman" w:cs="Times New Roman"/>
          <w:sz w:val="16"/>
        </w:rPr>
        <w:t xml:space="preserve">102 An important explanatory note clarifies the restriction on patents on new forms:103 “For the purposes of this clause, salts, esters, ethers, polymorphs, metabolites, pure form, particle size, isomers, mixtures of isomers, complexes, combinations, and other derivatives of known substance shall be considered to be the same substance, unless they differ significantly in properties with regard to efficacy.”104 Other countries have limited patents in some of the ways included in section 3(d), for example, restricting patents on new uses of known substances.105 </w:t>
      </w:r>
      <w:r w:rsidRPr="008869CE">
        <w:rPr>
          <w:rStyle w:val="Emphasis"/>
        </w:rPr>
        <w:t xml:space="preserve">But </w:t>
      </w:r>
      <w:r w:rsidRPr="008869CE">
        <w:rPr>
          <w:rStyle w:val="Emphasis"/>
          <w:highlight w:val="green"/>
        </w:rPr>
        <w:t>the scope</w:t>
      </w:r>
      <w:r w:rsidRPr="008869CE">
        <w:rPr>
          <w:rStyle w:val="Emphasis"/>
        </w:rPr>
        <w:t xml:space="preserve"> of section 3(d), and in particular its </w:t>
      </w:r>
      <w:r w:rsidRPr="001F3FCF">
        <w:rPr>
          <w:rStyle w:val="Emphasis"/>
          <w:highlight w:val="green"/>
        </w:rPr>
        <w:t>expansive exclusion of patents on new forms of known substances</w:t>
      </w:r>
      <w:r w:rsidRPr="008869CE">
        <w:rPr>
          <w:rStyle w:val="Emphasis"/>
        </w:rPr>
        <w:t xml:space="preserve">, </w:t>
      </w:r>
      <w:r w:rsidRPr="008869CE">
        <w:rPr>
          <w:rStyle w:val="Emphasis"/>
          <w:highlight w:val="green"/>
        </w:rPr>
        <w:t>is new</w:t>
      </w:r>
      <w:r w:rsidRPr="008869CE">
        <w:rPr>
          <w:rStyle w:val="Emphasis"/>
        </w:rPr>
        <w:t xml:space="preserve"> to patent law.106 It can be explained as a classic act of legal borrowing:107 the definition was taken virtually word-for-word from an EU drug regulatory directive.108 The </w:t>
      </w:r>
      <w:r w:rsidRPr="008869CE">
        <w:rPr>
          <w:rStyle w:val="Emphasis"/>
          <w:highlight w:val="green"/>
        </w:rPr>
        <w:t>motivation was to</w:t>
      </w:r>
      <w:r w:rsidRPr="008869CE">
        <w:rPr>
          <w:rStyle w:val="Emphasis"/>
        </w:rPr>
        <w:t xml:space="preserve"> enhance access to medicines and </w:t>
      </w:r>
      <w:r w:rsidRPr="008869CE">
        <w:rPr>
          <w:rStyle w:val="Emphasis"/>
          <w:highlight w:val="green"/>
        </w:rPr>
        <w:t>prevent</w:t>
      </w:r>
      <w:r w:rsidRPr="008869CE">
        <w:rPr>
          <w:rStyle w:val="Emphasis"/>
        </w:rPr>
        <w:t xml:space="preserve"> so-called </w:t>
      </w:r>
      <w:r w:rsidRPr="008869CE">
        <w:rPr>
          <w:rStyle w:val="Emphasis"/>
          <w:highlight w:val="green"/>
        </w:rPr>
        <w:t>“evergreening”</w:t>
      </w:r>
      <w:r w:rsidRPr="008869CE">
        <w:rPr>
          <w:rStyle w:val="Emphasis"/>
        </w:rPr>
        <w:t xml:space="preserve"> (</w:t>
      </w:r>
      <w:r w:rsidRPr="008869CE">
        <w:rPr>
          <w:rStyle w:val="Emphasis"/>
          <w:highlight w:val="green"/>
        </w:rPr>
        <w:t>where companies secure successive patents</w:t>
      </w:r>
      <w:r w:rsidRPr="008869CE">
        <w:rPr>
          <w:rStyle w:val="Emphasis"/>
        </w:rPr>
        <w:t xml:space="preserve"> to extend the effective period of their exclusive control over a drug).</w:t>
      </w:r>
      <w:r w:rsidRPr="008869CE">
        <w:rPr>
          <w:rFonts w:ascii="Times New Roman" w:eastAsia="Times New Roman" w:hAnsi="Times New Roman" w:cs="Times New Roman"/>
          <w:sz w:val="16"/>
        </w:rPr>
        <w:t xml:space="preserve">109 The significance of the provision can only be appreciated when situated in the context of contemporary pharmaceutical patent practice. </w:t>
      </w:r>
      <w:r w:rsidRPr="008869CE">
        <w:rPr>
          <w:rStyle w:val="Emphasis"/>
          <w:highlight w:val="green"/>
        </w:rPr>
        <w:t>In the U</w:t>
      </w:r>
      <w:r w:rsidRPr="008869CE">
        <w:rPr>
          <w:rStyle w:val="Emphasis"/>
        </w:rPr>
        <w:t xml:space="preserve">nited </w:t>
      </w:r>
      <w:r w:rsidRPr="008869CE">
        <w:rPr>
          <w:rStyle w:val="Emphasis"/>
          <w:highlight w:val="green"/>
        </w:rPr>
        <w:t>S</w:t>
      </w:r>
      <w:r w:rsidRPr="008869CE">
        <w:rPr>
          <w:rStyle w:val="Emphasis"/>
        </w:rPr>
        <w:t xml:space="preserve">tates </w:t>
      </w:r>
      <w:r w:rsidRPr="008869CE">
        <w:rPr>
          <w:rStyle w:val="Emphasis"/>
          <w:highlight w:val="green"/>
        </w:rPr>
        <w:t>and</w:t>
      </w:r>
      <w:r w:rsidRPr="008869CE">
        <w:rPr>
          <w:rStyle w:val="Emphasis"/>
        </w:rPr>
        <w:t xml:space="preserve"> </w:t>
      </w:r>
      <w:r w:rsidRPr="008869CE">
        <w:rPr>
          <w:rStyle w:val="Emphasis"/>
          <w:highlight w:val="green"/>
        </w:rPr>
        <w:t>E</w:t>
      </w:r>
      <w:r w:rsidRPr="008869CE">
        <w:rPr>
          <w:rStyle w:val="Emphasis"/>
        </w:rPr>
        <w:t xml:space="preserve">uropean </w:t>
      </w:r>
      <w:r w:rsidRPr="008869CE">
        <w:rPr>
          <w:rStyle w:val="Emphasis"/>
          <w:highlight w:val="green"/>
        </w:rPr>
        <w:t>U</w:t>
      </w:r>
      <w:r w:rsidRPr="008869CE">
        <w:rPr>
          <w:rStyle w:val="Emphasis"/>
        </w:rPr>
        <w:t xml:space="preserve">nion, for example, pharmaceutical compounds are rarely protected only with a patent on the active ingredient itself. </w:t>
      </w:r>
      <w:r w:rsidRPr="008869CE">
        <w:rPr>
          <w:rStyle w:val="Emphasis"/>
          <w:highlight w:val="green"/>
        </w:rPr>
        <w:t>Companies frequently seek other forms of patents</w:t>
      </w:r>
      <w:r w:rsidRPr="008869CE">
        <w:rPr>
          <w:rStyle w:val="Emphasis"/>
        </w:rPr>
        <w:t xml:space="preserve">, in order </w:t>
      </w:r>
      <w:r w:rsidRPr="008869CE">
        <w:rPr>
          <w:rStyle w:val="Emphasis"/>
          <w:highlight w:val="green"/>
        </w:rPr>
        <w:t>to</w:t>
      </w:r>
      <w:r w:rsidRPr="008869CE">
        <w:rPr>
          <w:rStyle w:val="Emphasis"/>
        </w:rPr>
        <w:t xml:space="preserve"> generate or </w:t>
      </w:r>
      <w:r w:rsidRPr="008869CE">
        <w:rPr>
          <w:rStyle w:val="Emphasis"/>
          <w:highlight w:val="green"/>
        </w:rPr>
        <w:t>extend their exclusive rights</w:t>
      </w:r>
      <w:r w:rsidRPr="008869CE">
        <w:rPr>
          <w:rStyle w:val="Emphasis"/>
        </w:rPr>
        <w:t xml:space="preserve"> over a medicine</w:t>
      </w:r>
      <w:r w:rsidRPr="008869CE">
        <w:rPr>
          <w:rFonts w:ascii="Times New Roman" w:eastAsia="Times New Roman" w:hAnsi="Times New Roman" w:cs="Times New Roman"/>
          <w:sz w:val="16"/>
        </w:rPr>
        <w:t>.110 Patents on the new use of a known substance (</w:t>
      </w:r>
      <w:r w:rsidRPr="008869CE">
        <w:rPr>
          <w:rStyle w:val="Emphasis"/>
          <w:highlight w:val="green"/>
        </w:rPr>
        <w:t>for example, claiming the use of a</w:t>
      </w:r>
      <w:r w:rsidRPr="008869CE">
        <w:rPr>
          <w:rStyle w:val="Emphasis"/>
        </w:rPr>
        <w:t xml:space="preserve"> given </w:t>
      </w:r>
      <w:r w:rsidRPr="008869CE">
        <w:rPr>
          <w:rStyle w:val="Emphasis"/>
          <w:highlight w:val="green"/>
        </w:rPr>
        <w:t>compound to treat HIV</w:t>
      </w:r>
      <w:r w:rsidRPr="008869CE">
        <w:rPr>
          <w:rFonts w:ascii="Times New Roman" w:eastAsia="Times New Roman" w:hAnsi="Times New Roman" w:cs="Times New Roman"/>
          <w:sz w:val="16"/>
        </w:rPr>
        <w:t xml:space="preserve">) are common in the United States and Europe today, and do not cover a compound but rather a compound’s use in a particular way.111 New forms of known substances that have pharmaceutical applications are also commonly patented. Such patents may claim new structural forms of a compound with different properties, such as polymorphs (new crystalline forms)112 or enantiomers (mirror-image isomers).113 </w:t>
      </w:r>
      <w:r w:rsidRPr="008869CE">
        <w:rPr>
          <w:rStyle w:val="Emphasis"/>
          <w:highlight w:val="green"/>
        </w:rPr>
        <w:t>They may also claim</w:t>
      </w:r>
      <w:r w:rsidRPr="008869CE">
        <w:rPr>
          <w:rStyle w:val="Emphasis"/>
        </w:rPr>
        <w:t xml:space="preserve"> particular </w:t>
      </w:r>
      <w:r w:rsidRPr="008869CE">
        <w:rPr>
          <w:rStyle w:val="Emphasis"/>
          <w:highlight w:val="green"/>
        </w:rPr>
        <w:t xml:space="preserve">salts, </w:t>
      </w:r>
      <w:r w:rsidRPr="008869CE">
        <w:rPr>
          <w:rStyle w:val="Emphasis"/>
        </w:rPr>
        <w:t>esters, or ethers of a base compound. Salts, for example, are formed in a reaction between acids and bases; adding different acids to a base will produce different salts with potentially distinct properties.</w:t>
      </w:r>
      <w:r w:rsidRPr="008869CE">
        <w:rPr>
          <w:rFonts w:ascii="Times New Roman" w:eastAsia="Times New Roman" w:hAnsi="Times New Roman" w:cs="Times New Roman"/>
          <w:sz w:val="16"/>
        </w:rPr>
        <w:t xml:space="preserve"> Pharmaceuticals are typically administered in salt form because salts dissolve more easily into the bloodstream and are thus more “bioavailable” than base compounds.114 Different salts of the same base compound may also differ substantially in properties that are important to manufacturing and storage, such as yield, hygroscopicity (attraction to water), stability, and stickiness.115 </w:t>
      </w:r>
      <w:r w:rsidRPr="008869CE">
        <w:rPr>
          <w:rStyle w:val="Emphasis"/>
          <w:highlight w:val="green"/>
        </w:rPr>
        <w:t>Salt selection is a straightforward</w:t>
      </w:r>
      <w:r w:rsidRPr="008869CE">
        <w:rPr>
          <w:rStyle w:val="Emphasis"/>
        </w:rPr>
        <w:t xml:space="preserve">, trial-and-error </w:t>
      </w:r>
      <w:r w:rsidRPr="008869CE">
        <w:rPr>
          <w:rStyle w:val="Emphasis"/>
          <w:highlight w:val="green"/>
        </w:rPr>
        <w:t>process</w:t>
      </w:r>
      <w:r w:rsidRPr="008869CE">
        <w:rPr>
          <w:rStyle w:val="Emphasis"/>
        </w:rPr>
        <w:t xml:space="preserve">, one that has been well described in the field of pharmaceuticals for more than thirty years. 116 </w:t>
      </w:r>
      <w:r w:rsidRPr="008869CE">
        <w:rPr>
          <w:rStyle w:val="Emphasis"/>
          <w:highlight w:val="green"/>
        </w:rPr>
        <w:t>Nonetheless, patents on pharmaceutical salts have been granted for decades in the United States</w:t>
      </w:r>
      <w:r w:rsidRPr="008869CE">
        <w:rPr>
          <w:rStyle w:val="Emphasis"/>
        </w:rPr>
        <w:t>, upon a showing that the salt differed from the previously disclosed compound in an unexpectedly beneficial way</w:t>
      </w:r>
      <w:r w:rsidRPr="008869CE">
        <w:rPr>
          <w:rFonts w:ascii="Times New Roman" w:eastAsia="Times New Roman" w:hAnsi="Times New Roman" w:cs="Times New Roman"/>
          <w:sz w:val="16"/>
        </w:rPr>
        <w:t>.117 Patents on enantiomers were rejected by U.S. courts in the 1940s, because enantiomers are necessarily present in the disclosed “racemic” mixtures from which they are derived.118 Such patents nonetheless have been accepted in recent years, also on a showing that they possessed surprisingly superior properties over the prior art.119</w:t>
      </w:r>
    </w:p>
    <w:p w14:paraId="5A65259F" w14:textId="2C9DA093" w:rsidR="00EB3B1F" w:rsidRDefault="00EB3B1F" w:rsidP="00EB3B1F">
      <w:pPr>
        <w:spacing w:after="0" w:line="240" w:lineRule="auto"/>
      </w:pPr>
    </w:p>
    <w:p w14:paraId="3625F6FA" w14:textId="7B65D9A8" w:rsidR="000C11C4" w:rsidRDefault="000C11C4" w:rsidP="000C11C4">
      <w:pPr>
        <w:pStyle w:val="Heading4"/>
      </w:pPr>
      <w:r>
        <w:t>Solves the entire aff- salts is how companies evergreen- Indian system proves</w:t>
      </w:r>
      <w:r w:rsidR="00890C0F">
        <w:t xml:space="preserve"> this works</w:t>
      </w:r>
    </w:p>
    <w:p w14:paraId="75612438" w14:textId="55E51CEE" w:rsidR="00EB3B1F" w:rsidRDefault="00E9720F" w:rsidP="00EB3B1F">
      <w:r w:rsidRPr="00E9720F">
        <w:rPr>
          <w:rStyle w:val="Style13ptBold"/>
        </w:rPr>
        <w:t>Moir and Gleesen 14</w:t>
      </w:r>
      <w:r w:rsidR="00C96572">
        <w:t xml:space="preserve">—Hazel Moir and Deborah Gleeson; professor in IP and public health respectively; </w:t>
      </w:r>
      <w:r w:rsidR="00DA086E" w:rsidRPr="00DA086E">
        <w:t>Explainer: evergreening and how big pharma keeps drug prices high</w:t>
      </w:r>
      <w:r w:rsidR="00DA086E">
        <w:t xml:space="preserve">; November 5 2014;  </w:t>
      </w:r>
      <w:r w:rsidR="00EB3B1F" w:rsidRPr="005F5CD3">
        <w:t>https://theconversation.com/explainer-evergreening-and-how-big-pharma-keeps-drug-prices-high-33623</w:t>
      </w:r>
    </w:p>
    <w:p w14:paraId="2AB761EB" w14:textId="77777777" w:rsidR="00EB3B1F" w:rsidRPr="00043DC1" w:rsidRDefault="00EB3B1F" w:rsidP="00EB3B1F">
      <w:r w:rsidRPr="001F3FCF">
        <w:rPr>
          <w:rStyle w:val="Emphasis"/>
          <w:highlight w:val="yellow"/>
        </w:rPr>
        <w:t>Evergreening is achieved by seeking extra patents on variations</w:t>
      </w:r>
      <w:r w:rsidRPr="001F3FCF">
        <w:rPr>
          <w:rStyle w:val="Emphasis"/>
        </w:rPr>
        <w:t xml:space="preserve"> of the original drug – new forms of release, new dosages, new combinations or variations, or new forms</w:t>
      </w:r>
      <w:r w:rsidRPr="00043DC1">
        <w:t xml:space="preserve">. Big pharma refers to this as </w:t>
      </w:r>
      <w:hyperlink r:id="rId11" w:history="1">
        <w:r w:rsidRPr="00043DC1">
          <w:rPr>
            <w:rStyle w:val="Hyperlink"/>
          </w:rPr>
          <w:t>“lifecycle management”</w:t>
        </w:r>
      </w:hyperlink>
      <w:r w:rsidRPr="00043DC1">
        <w:t xml:space="preserve">. </w:t>
      </w:r>
      <w:r w:rsidRPr="001F3FCF">
        <w:rPr>
          <w:rStyle w:val="Emphasis"/>
          <w:highlight w:val="yellow"/>
        </w:rPr>
        <w:t>Even if the patent is dubious</w:t>
      </w:r>
      <w:r w:rsidRPr="001F3FCF">
        <w:rPr>
          <w:rStyle w:val="Emphasis"/>
        </w:rPr>
        <w:t>, the c</w:t>
      </w:r>
      <w:r w:rsidRPr="001F3FCF">
        <w:rPr>
          <w:rStyle w:val="Emphasis"/>
          <w:highlight w:val="yellow"/>
        </w:rPr>
        <w:t>ompany can earn more from the higher prices than it pays in legal fees</w:t>
      </w:r>
      <w:r w:rsidRPr="001F3FCF">
        <w:rPr>
          <w:rStyle w:val="Emphasis"/>
        </w:rPr>
        <w:t xml:space="preserve"> to keep the dubious patent alive. </w:t>
      </w:r>
      <w:r w:rsidRPr="001F3FCF">
        <w:rPr>
          <w:rStyle w:val="Emphasis"/>
          <w:highlight w:val="yellow"/>
        </w:rPr>
        <w:t>Evergreening is possible because</w:t>
      </w:r>
      <w:r w:rsidRPr="001F3FCF">
        <w:rPr>
          <w:rStyle w:val="Emphasis"/>
        </w:rPr>
        <w:t xml:space="preserve"> in Australia </w:t>
      </w:r>
      <w:r w:rsidRPr="001F3FCF">
        <w:rPr>
          <w:rStyle w:val="Emphasis"/>
          <w:highlight w:val="yellow"/>
        </w:rPr>
        <w:t>the standard required to get a patent is very low.</w:t>
      </w:r>
      <w:r w:rsidRPr="00043DC1">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Brand pharmaceutical companies argue that these “lifecycle management” patents provide improved health outcomes to the community. They meet the (very low) patentability thresholds of novelty and inventiveness. Critics argue that the claimed improved health outcomes are small or non-existent.</w:t>
      </w:r>
    </w:p>
    <w:p w14:paraId="58344BA9" w14:textId="77777777" w:rsidR="00EB3B1F" w:rsidRDefault="00EB3B1F" w:rsidP="00EB3B1F">
      <w:pPr>
        <w:spacing w:after="0" w:line="240" w:lineRule="auto"/>
      </w:pPr>
    </w:p>
    <w:p w14:paraId="694783AF" w14:textId="77777777" w:rsidR="00EB3B1F" w:rsidRDefault="00EB3B1F" w:rsidP="00EB3B1F">
      <w:pPr>
        <w:spacing w:after="0" w:line="240" w:lineRule="auto"/>
      </w:pPr>
    </w:p>
    <w:p w14:paraId="7793C2FD" w14:textId="77777777" w:rsidR="00EB3B1F" w:rsidRDefault="00EB3B1F" w:rsidP="00EB3B1F">
      <w:r>
        <w:t>No perms:</w:t>
      </w:r>
    </w:p>
    <w:p w14:paraId="7AAC4BC2" w14:textId="77777777" w:rsidR="00EB3B1F" w:rsidRDefault="00EB3B1F" w:rsidP="00EB3B1F">
      <w:pPr>
        <w:pStyle w:val="ListParagraph"/>
        <w:numPr>
          <w:ilvl w:val="0"/>
          <w:numId w:val="13"/>
        </w:numPr>
      </w:pPr>
      <w:r>
        <w:t>Mutually exclusive: you can’t give data exclusivity and not give data exclusivity</w:t>
      </w:r>
    </w:p>
    <w:p w14:paraId="3EE34863" w14:textId="77777777" w:rsidR="00EB3B1F" w:rsidRDefault="00EB3B1F" w:rsidP="00EB3B1F">
      <w:pPr>
        <w:pStyle w:val="ListParagraph"/>
        <w:numPr>
          <w:ilvl w:val="0"/>
          <w:numId w:val="13"/>
        </w:numPr>
      </w:pPr>
      <w:r>
        <w:t>Data exclusivity means less solvency because companies still have an incentive to hide the best salt compound and use that to force insurance companies to buy those drugs</w:t>
      </w:r>
    </w:p>
    <w:p w14:paraId="305CE1FF" w14:textId="77777777" w:rsidR="00EB3B1F" w:rsidRPr="00463F59" w:rsidRDefault="00EB3B1F" w:rsidP="00EB3B1F">
      <w:pPr>
        <w:pStyle w:val="ListParagraph"/>
        <w:numPr>
          <w:ilvl w:val="0"/>
          <w:numId w:val="13"/>
        </w:numPr>
      </w:pPr>
      <w:r>
        <w:t>CPs that are different methods of the aff and could be plan texts for the aff should not be permable: creates more real-world discussion about utilization of resources and best methods to solve a problem</w:t>
      </w:r>
    </w:p>
    <w:p w14:paraId="6CC364FC" w14:textId="77777777" w:rsidR="0029326B" w:rsidRPr="00463F59" w:rsidRDefault="0029326B" w:rsidP="0029326B">
      <w:pPr>
        <w:pStyle w:val="Heading2"/>
      </w:pPr>
      <w:r>
        <w:t>3</w:t>
      </w:r>
    </w:p>
    <w:p w14:paraId="1F0608D7" w14:textId="77777777" w:rsidR="0029326B" w:rsidRDefault="0029326B" w:rsidP="0029326B">
      <w:pPr>
        <w:pStyle w:val="Heading4"/>
        <w:spacing w:before="200"/>
        <w:rPr>
          <w:rFonts w:ascii="Times New Roman" w:hAnsi="Times New Roman"/>
          <w:sz w:val="24"/>
        </w:rPr>
      </w:pPr>
      <w:r>
        <w:rPr>
          <w:rFonts w:cs="Calibri"/>
          <w:color w:val="000000"/>
        </w:rPr>
        <w:t>Scholz wins the election now but its close—a clear win is necessary to have a quick transition.</w:t>
      </w:r>
    </w:p>
    <w:p w14:paraId="458DEC28" w14:textId="77777777" w:rsidR="0029326B" w:rsidRDefault="0029326B" w:rsidP="0029326B">
      <w:pPr>
        <w:pStyle w:val="NormalWeb"/>
        <w:spacing w:before="0" w:beforeAutospacing="0" w:after="0" w:afterAutospacing="0"/>
      </w:pPr>
      <w:r>
        <w:rPr>
          <w:rFonts w:ascii="Calibri" w:hAnsi="Calibri" w:cs="Calibri"/>
          <w:color w:val="000000"/>
          <w:sz w:val="26"/>
          <w:szCs w:val="26"/>
        </w:rPr>
        <w:t>Steitz 9-19</w:t>
      </w:r>
      <w:r>
        <w:rPr>
          <w:rFonts w:ascii="Calibri" w:hAnsi="Calibri" w:cs="Calibri"/>
          <w:color w:val="000000"/>
          <w:sz w:val="22"/>
          <w:szCs w:val="22"/>
        </w:rPr>
        <w:t>[Christoph Steitz, SPD's Scholz wins third TV debate as German election draws close, 9-19-2021,Reuters,https://www.reuters.com/world/europe/merkel-aide-warns-against-protracted-coalition-talks-tv-debate-nears-2021-09-19/, 9-20-2021 amrita]</w:t>
      </w:r>
    </w:p>
    <w:p w14:paraId="70A9A261" w14:textId="77777777" w:rsidR="0029326B" w:rsidRDefault="0029326B" w:rsidP="0029326B">
      <w:pPr>
        <w:pStyle w:val="NormalWeb"/>
        <w:spacing w:before="0" w:beforeAutospacing="0" w:after="0" w:afterAutospacing="0"/>
      </w:pPr>
      <w:r>
        <w:rPr>
          <w:rFonts w:ascii="Calibri" w:hAnsi="Calibri" w:cs="Calibri"/>
          <w:color w:val="000000"/>
          <w:sz w:val="10"/>
          <w:szCs w:val="10"/>
        </w:rPr>
        <w:t xml:space="preserve">FRANKFURT/BERLIN, Sept 19 (Reuters) - </w:t>
      </w:r>
      <w:r>
        <w:rPr>
          <w:rFonts w:ascii="Calibri" w:hAnsi="Calibri" w:cs="Calibri"/>
          <w:b/>
          <w:bCs/>
          <w:color w:val="000000"/>
          <w:sz w:val="22"/>
          <w:szCs w:val="22"/>
          <w:u w:val="single"/>
        </w:rPr>
        <w:t xml:space="preserve">Social Democrat Olaf </w:t>
      </w:r>
      <w:r>
        <w:rPr>
          <w:rFonts w:ascii="Calibri" w:hAnsi="Calibri" w:cs="Calibri"/>
          <w:b/>
          <w:bCs/>
          <w:color w:val="000000"/>
          <w:sz w:val="22"/>
          <w:szCs w:val="22"/>
          <w:u w:val="single"/>
          <w:shd w:val="clear" w:color="auto" w:fill="00FF00"/>
        </w:rPr>
        <w:t xml:space="preserve">Scholz brushed off a last-gasp attack from his conservative rival </w:t>
      </w:r>
      <w:r>
        <w:rPr>
          <w:rFonts w:ascii="Calibri" w:hAnsi="Calibri" w:cs="Calibri"/>
          <w:b/>
          <w:bCs/>
          <w:color w:val="000000"/>
          <w:sz w:val="22"/>
          <w:szCs w:val="22"/>
          <w:u w:val="single"/>
        </w:rPr>
        <w:t xml:space="preserve">in a televised election debate on Sunday, </w:t>
      </w:r>
      <w:r>
        <w:rPr>
          <w:rFonts w:ascii="Calibri" w:hAnsi="Calibri" w:cs="Calibri"/>
          <w:b/>
          <w:bCs/>
          <w:color w:val="000000"/>
          <w:sz w:val="22"/>
          <w:szCs w:val="22"/>
          <w:u w:val="single"/>
          <w:shd w:val="clear" w:color="auto" w:fill="00FF00"/>
        </w:rPr>
        <w:t>cementing his position as front runner</w:t>
      </w:r>
      <w:r>
        <w:rPr>
          <w:rFonts w:ascii="Calibri" w:hAnsi="Calibri" w:cs="Calibri"/>
          <w:b/>
          <w:bCs/>
          <w:color w:val="000000"/>
          <w:sz w:val="22"/>
          <w:szCs w:val="22"/>
          <w:u w:val="single"/>
        </w:rPr>
        <w:t xml:space="preserve"> to succeed Chancellor Angela Merkel after Germans go to the polls in a week.</w:t>
      </w:r>
      <w:r>
        <w:rPr>
          <w:rFonts w:ascii="Calibri" w:hAnsi="Calibri" w:cs="Calibri"/>
          <w:color w:val="000000"/>
          <w:sz w:val="10"/>
          <w:szCs w:val="10"/>
        </w:rPr>
        <w:t xml:space="preserve"> The debate, the last of three ahead of Germany's national election slated for Sept. 26, comes as pressure on the conservative Christian Democratic Union party candidate Armin Laschet intensified to close a gap in polls which have consistently put him behind SPD's Scholz. </w:t>
      </w:r>
      <w:r>
        <w:rPr>
          <w:rFonts w:ascii="Calibri" w:hAnsi="Calibri" w:cs="Calibri"/>
          <w:b/>
          <w:bCs/>
          <w:color w:val="000000"/>
          <w:sz w:val="22"/>
          <w:szCs w:val="22"/>
          <w:u w:val="single"/>
        </w:rPr>
        <w:t>Scholz, who serves as finance minister, used the issue of social inequality to lash out at his main opponent, reiterating that as chancellor he would push through a minimum wage of 12 euros ($14.08) per hour, something the CDU opposes. "Mr Laschet, that may be the difference between you and me. I'm not doing that because there is an election campaign right now. I have made this demand for years," Scholz said. "To me it's about the dignity of citizens. That is, however, what perhaps distinguishes us on this issue."</w:t>
      </w:r>
      <w:r>
        <w:rPr>
          <w:rFonts w:ascii="Calibri" w:hAnsi="Calibri" w:cs="Calibri"/>
          <w:color w:val="000000"/>
          <w:sz w:val="10"/>
          <w:szCs w:val="10"/>
        </w:rPr>
        <w:t xml:space="preserve"> A snap poll shortly after the event, which also included Annalena Baerbock of the Greens </w:t>
      </w:r>
      <w:r>
        <w:rPr>
          <w:rFonts w:ascii="Calibri" w:hAnsi="Calibri" w:cs="Calibri"/>
          <w:b/>
          <w:bCs/>
          <w:color w:val="000000"/>
          <w:sz w:val="22"/>
          <w:szCs w:val="22"/>
          <w:u w:val="single"/>
        </w:rPr>
        <w:t xml:space="preserve">and </w:t>
      </w:r>
      <w:r>
        <w:rPr>
          <w:rFonts w:ascii="Calibri" w:hAnsi="Calibri" w:cs="Calibri"/>
          <w:b/>
          <w:bCs/>
          <w:color w:val="000000"/>
          <w:sz w:val="22"/>
          <w:szCs w:val="22"/>
          <w:u w:val="single"/>
          <w:shd w:val="clear" w:color="auto" w:fill="00FF00"/>
        </w:rPr>
        <w:t xml:space="preserve">featured issues ranging from climate change to digitalisation and security, </w:t>
      </w:r>
      <w:r>
        <w:rPr>
          <w:rFonts w:ascii="Calibri" w:hAnsi="Calibri" w:cs="Calibri"/>
          <w:b/>
          <w:bCs/>
          <w:color w:val="000000"/>
          <w:sz w:val="22"/>
          <w:szCs w:val="22"/>
          <w:u w:val="single"/>
        </w:rPr>
        <w:t xml:space="preserve">declared Scholz as winner, </w:t>
      </w:r>
      <w:r>
        <w:rPr>
          <w:rFonts w:ascii="Calibri" w:hAnsi="Calibri" w:cs="Calibri"/>
          <w:b/>
          <w:bCs/>
          <w:color w:val="000000"/>
          <w:sz w:val="22"/>
          <w:szCs w:val="22"/>
          <w:u w:val="single"/>
          <w:shd w:val="clear" w:color="auto" w:fill="00FF00"/>
        </w:rPr>
        <w:t xml:space="preserve">giving him a clean sweep </w:t>
      </w:r>
      <w:r>
        <w:rPr>
          <w:rFonts w:ascii="Calibri" w:hAnsi="Calibri" w:cs="Calibri"/>
          <w:b/>
          <w:bCs/>
          <w:color w:val="000000"/>
          <w:sz w:val="22"/>
          <w:szCs w:val="22"/>
          <w:u w:val="single"/>
        </w:rPr>
        <w:t xml:space="preserve">in the series of debates. </w:t>
      </w:r>
      <w:r>
        <w:rPr>
          <w:rFonts w:ascii="Calibri" w:hAnsi="Calibri" w:cs="Calibri"/>
          <w:color w:val="000000"/>
          <w:sz w:val="10"/>
          <w:szCs w:val="10"/>
        </w:rPr>
        <w:t>Earlier, an INSA poll for Bild am Sonntag had put the SPD at 26% support, stable from a week ago, while the conservative bloc of Merkel's centre-right Christian Democratic Union and its Bavarian sister party, the Christian Social Union, added half a percentage point to come in at 21%. The gap has been even wider in polls measuring the popularity of the individual chancellor candidates,</w:t>
      </w:r>
      <w:r>
        <w:rPr>
          <w:rFonts w:ascii="Calibri" w:hAnsi="Calibri" w:cs="Calibri"/>
          <w:b/>
          <w:bCs/>
          <w:color w:val="000000"/>
          <w:sz w:val="22"/>
          <w:szCs w:val="22"/>
          <w:u w:val="single"/>
        </w:rPr>
        <w:t xml:space="preserve"> indicating </w:t>
      </w:r>
      <w:r>
        <w:rPr>
          <w:rFonts w:ascii="Calibri" w:hAnsi="Calibri" w:cs="Calibri"/>
          <w:b/>
          <w:bCs/>
          <w:color w:val="000000"/>
          <w:sz w:val="22"/>
          <w:szCs w:val="22"/>
          <w:u w:val="single"/>
          <w:shd w:val="clear" w:color="auto" w:fill="00FF00"/>
        </w:rPr>
        <w:t>the uphill struggle Laschet is facing against Scholz</w:t>
      </w:r>
      <w:r>
        <w:rPr>
          <w:rFonts w:ascii="Calibri" w:hAnsi="Calibri" w:cs="Calibri"/>
          <w:b/>
          <w:bCs/>
          <w:color w:val="000000"/>
          <w:sz w:val="22"/>
          <w:szCs w:val="22"/>
          <w:u w:val="single"/>
        </w:rPr>
        <w:t xml:space="preserve"> ahead of the election. </w:t>
      </w:r>
      <w:r>
        <w:rPr>
          <w:rFonts w:ascii="Calibri" w:hAnsi="Calibri" w:cs="Calibri"/>
          <w:b/>
          <w:bCs/>
          <w:color w:val="000000"/>
          <w:sz w:val="22"/>
          <w:szCs w:val="22"/>
          <w:u w:val="single"/>
          <w:shd w:val="clear" w:color="auto" w:fill="00FF00"/>
        </w:rPr>
        <w:t>Laschet has been under fire</w:t>
      </w:r>
      <w:r>
        <w:rPr>
          <w:rFonts w:ascii="Calibri" w:hAnsi="Calibri" w:cs="Calibri"/>
          <w:b/>
          <w:bCs/>
          <w:color w:val="000000"/>
          <w:sz w:val="22"/>
          <w:szCs w:val="22"/>
          <w:u w:val="single"/>
        </w:rPr>
        <w:t xml:space="preserve"> since he was caught on camera laughing during a visit in the summer to a flood-stricken town. FRAGMENTED </w:t>
      </w:r>
      <w:r>
        <w:rPr>
          <w:rFonts w:ascii="Calibri" w:hAnsi="Calibri" w:cs="Calibri"/>
          <w:color w:val="000000"/>
          <w:sz w:val="10"/>
          <w:szCs w:val="10"/>
        </w:rPr>
        <w:t xml:space="preserve">PICTURE Current polls, which show a highly fragmented picture as voters increasingly flock to smaller parties, leave room for several coalition scenarios, giving the liberal Free Democrats a potential king-maker role in upcoming coalition talks. read more FDP party chief Christian Lindner on Sunday rebuffed demands by the CDU to rule out a so-called traffic light coalition with the SPD and the Greens. "We will not take orders from this (CDU)," he said at a party event. Meantime, Scholz on Sunday expressed his preference for a coalition with the Greens, which current polls put at 15%. Merkel's chief of staff had earlier called on all parties to agree quickly on who should succeed her after the election and avoid the kind of protracted coalition talks that followed the last vote four years ago. The likelihood of long coalition talks after the vote means Merkel will not be leaving office any time soon. She remains chancellor until a majority of Bundestag lawmakers elect a successor, who is then sworn in. read </w:t>
      </w:r>
      <w:r>
        <w:rPr>
          <w:rFonts w:ascii="Calibri" w:hAnsi="Calibri" w:cs="Calibri"/>
          <w:b/>
          <w:bCs/>
          <w:color w:val="000000"/>
          <w:sz w:val="22"/>
          <w:szCs w:val="22"/>
          <w:u w:val="single"/>
        </w:rPr>
        <w:t xml:space="preserve">more "My wish is for a swift government formation," Helge Braun told Reuters, adding that even though the current government would continue to govern during looming coalition talks there were certain limitations over the scope of leadership. "So I warn against losing time due to a very long government formation. One can certainly ask for </w:t>
      </w:r>
      <w:r>
        <w:rPr>
          <w:rFonts w:ascii="Calibri" w:hAnsi="Calibri" w:cs="Calibri"/>
          <w:b/>
          <w:bCs/>
          <w:color w:val="000000"/>
          <w:sz w:val="22"/>
          <w:szCs w:val="22"/>
          <w:u w:val="single"/>
          <w:shd w:val="clear" w:color="auto" w:fill="00FF00"/>
        </w:rPr>
        <w:t>the parties to swiftly express their preferences after the election</w:t>
      </w:r>
      <w:r>
        <w:rPr>
          <w:rFonts w:ascii="Calibri" w:hAnsi="Calibri" w:cs="Calibri"/>
          <w:b/>
          <w:bCs/>
          <w:color w:val="000000"/>
          <w:sz w:val="22"/>
          <w:szCs w:val="22"/>
          <w:u w:val="single"/>
        </w:rPr>
        <w:t xml:space="preserve"> over what their </w:t>
      </w:r>
      <w:r>
        <w:rPr>
          <w:rFonts w:ascii="Calibri" w:hAnsi="Calibri" w:cs="Calibri"/>
          <w:color w:val="000000"/>
          <w:sz w:val="10"/>
          <w:szCs w:val="10"/>
        </w:rPr>
        <w:t xml:space="preserve">favoured coalitions are - so that one does not endlessly lose time in discussions." </w:t>
      </w:r>
      <w:r>
        <w:rPr>
          <w:rFonts w:ascii="Calibri" w:hAnsi="Calibri" w:cs="Calibri"/>
          <w:b/>
          <w:bCs/>
          <w:color w:val="000000"/>
          <w:sz w:val="22"/>
          <w:szCs w:val="22"/>
          <w:u w:val="single"/>
        </w:rPr>
        <w:t xml:space="preserve">There are </w:t>
      </w:r>
      <w:r>
        <w:rPr>
          <w:rFonts w:ascii="Calibri" w:hAnsi="Calibri" w:cs="Calibri"/>
          <w:b/>
          <w:bCs/>
          <w:color w:val="000000"/>
          <w:sz w:val="22"/>
          <w:szCs w:val="22"/>
          <w:u w:val="single"/>
          <w:shd w:val="clear" w:color="auto" w:fill="00FF00"/>
        </w:rPr>
        <w:t xml:space="preserve">no formal restrictions on Merkel's powers </w:t>
      </w:r>
      <w:r>
        <w:rPr>
          <w:rFonts w:ascii="Calibri" w:hAnsi="Calibri" w:cs="Calibri"/>
          <w:b/>
          <w:bCs/>
          <w:color w:val="000000"/>
          <w:sz w:val="22"/>
          <w:szCs w:val="22"/>
          <w:u w:val="single"/>
        </w:rPr>
        <w:t xml:space="preserve">until a successor is chosen, but she is a </w:t>
      </w:r>
      <w:r>
        <w:rPr>
          <w:rFonts w:ascii="Calibri" w:hAnsi="Calibri" w:cs="Calibri"/>
          <w:b/>
          <w:bCs/>
          <w:color w:val="000000"/>
          <w:sz w:val="22"/>
          <w:szCs w:val="22"/>
          <w:u w:val="single"/>
          <w:shd w:val="clear" w:color="auto" w:fill="00FF00"/>
        </w:rPr>
        <w:t xml:space="preserve">consensus seeker and previous </w:t>
      </w:r>
      <w:r>
        <w:rPr>
          <w:rFonts w:ascii="Calibri" w:hAnsi="Calibri" w:cs="Calibri"/>
          <w:b/>
          <w:bCs/>
          <w:color w:val="000000"/>
          <w:sz w:val="22"/>
          <w:szCs w:val="22"/>
          <w:u w:val="single"/>
        </w:rPr>
        <w:t xml:space="preserve">chancellors </w:t>
      </w:r>
      <w:r>
        <w:rPr>
          <w:rFonts w:ascii="Calibri" w:hAnsi="Calibri" w:cs="Calibri"/>
          <w:b/>
          <w:bCs/>
          <w:color w:val="000000"/>
          <w:sz w:val="22"/>
          <w:szCs w:val="22"/>
          <w:u w:val="single"/>
          <w:shd w:val="clear" w:color="auto" w:fill="00FF00"/>
        </w:rPr>
        <w:t xml:space="preserve">have not taken radical decisions </w:t>
      </w:r>
      <w:r>
        <w:rPr>
          <w:rFonts w:ascii="Calibri" w:hAnsi="Calibri" w:cs="Calibri"/>
          <w:b/>
          <w:bCs/>
          <w:color w:val="000000"/>
          <w:sz w:val="22"/>
          <w:szCs w:val="22"/>
          <w:u w:val="single"/>
        </w:rPr>
        <w:t>during this time.</w:t>
      </w:r>
      <w:r>
        <w:rPr>
          <w:rFonts w:ascii="Calibri" w:hAnsi="Calibri" w:cs="Calibri"/>
          <w:color w:val="000000"/>
          <w:sz w:val="10"/>
          <w:szCs w:val="10"/>
        </w:rPr>
        <w:t xml:space="preserve"> Following Germany's last general election in 2017, it took a record six months before the new government was sworn in.</w:t>
      </w:r>
    </w:p>
    <w:p w14:paraId="36C75A00" w14:textId="77777777" w:rsidR="0029326B" w:rsidRDefault="0029326B" w:rsidP="0029326B">
      <w:pPr>
        <w:spacing w:after="240"/>
      </w:pPr>
    </w:p>
    <w:p w14:paraId="18D48818" w14:textId="1B45318D" w:rsidR="0029326B" w:rsidRDefault="0029326B" w:rsidP="0029326B">
      <w:pPr>
        <w:pStyle w:val="Heading4"/>
        <w:spacing w:before="200"/>
      </w:pPr>
      <w:r>
        <w:rPr>
          <w:rFonts w:cs="Calibri"/>
          <w:color w:val="000000"/>
        </w:rPr>
        <w:t>Plan is seen as Germany budging  and causes CDU unity—IP rights are a core issue.</w:t>
      </w:r>
      <w:r w:rsidR="00E45A9B">
        <w:rPr>
          <w:rFonts w:cs="Calibri"/>
          <w:color w:val="000000"/>
        </w:rPr>
        <w:t xml:space="preserve"> The 3d counterplan avoids, it’s a lot less obviously about IP</w:t>
      </w:r>
      <w:r w:rsidR="006361E0">
        <w:rPr>
          <w:rFonts w:cs="Calibri"/>
          <w:color w:val="000000"/>
        </w:rPr>
        <w:t>.</w:t>
      </w:r>
    </w:p>
    <w:p w14:paraId="2C75CF3F" w14:textId="77777777" w:rsidR="0029326B" w:rsidRDefault="0029326B" w:rsidP="0029326B">
      <w:pPr>
        <w:pStyle w:val="NormalWeb"/>
        <w:spacing w:before="0" w:beforeAutospacing="0" w:after="0" w:afterAutospacing="0"/>
      </w:pPr>
      <w:r>
        <w:rPr>
          <w:rFonts w:ascii="Calibri" w:hAnsi="Calibri" w:cs="Calibri"/>
          <w:color w:val="000000"/>
          <w:sz w:val="26"/>
          <w:szCs w:val="26"/>
        </w:rPr>
        <w:t xml:space="preserve">Sangameshwaran 8-13 </w:t>
      </w:r>
      <w:r>
        <w:rPr>
          <w:rFonts w:ascii="Calibri" w:hAnsi="Calibri" w:cs="Calibri"/>
          <w:color w:val="000000"/>
          <w:sz w:val="22"/>
          <w:szCs w:val="22"/>
        </w:rPr>
        <w:t>[Rithika Sangameshwaran, Understanding Germany’s Trenchant Opposition To the TRIPS Waiver,08-13-2021, Geneva Health Files ,https://genevahealthfiles.substack.com/p/understanding-germanys-trenchant, 9-20-2021 amrita]</w:t>
      </w:r>
    </w:p>
    <w:p w14:paraId="3E9C6526" w14:textId="77777777" w:rsidR="0029326B" w:rsidRDefault="0029326B" w:rsidP="0029326B">
      <w:pPr>
        <w:pStyle w:val="NormalWeb"/>
        <w:spacing w:before="0" w:beforeAutospacing="0" w:after="0" w:afterAutospacing="0"/>
      </w:pPr>
      <w:r>
        <w:rPr>
          <w:rFonts w:ascii="Calibri" w:hAnsi="Calibri" w:cs="Calibri"/>
          <w:color w:val="000000"/>
          <w:sz w:val="14"/>
          <w:szCs w:val="14"/>
        </w:rPr>
        <w:t xml:space="preserve">In January 2021, Achim Kessler, </w:t>
      </w:r>
      <w:r>
        <w:rPr>
          <w:rFonts w:ascii="Calibri" w:hAnsi="Calibri" w:cs="Calibri"/>
          <w:b/>
          <w:bCs/>
          <w:color w:val="000000"/>
          <w:sz w:val="22"/>
          <w:szCs w:val="22"/>
          <w:u w:val="single"/>
        </w:rPr>
        <w:t xml:space="preserve">member of </w:t>
      </w:r>
      <w:r>
        <w:rPr>
          <w:rFonts w:ascii="Calibri" w:hAnsi="Calibri" w:cs="Calibri"/>
          <w:b/>
          <w:bCs/>
          <w:color w:val="000000"/>
          <w:sz w:val="22"/>
          <w:szCs w:val="22"/>
          <w:u w:val="single"/>
          <w:shd w:val="clear" w:color="auto" w:fill="00FF00"/>
        </w:rPr>
        <w:t xml:space="preserve">the Left Party </w:t>
      </w:r>
      <w:r>
        <w:rPr>
          <w:rFonts w:ascii="Calibri" w:hAnsi="Calibri" w:cs="Calibri"/>
          <w:b/>
          <w:bCs/>
          <w:color w:val="000000"/>
          <w:sz w:val="22"/>
          <w:szCs w:val="22"/>
          <w:u w:val="single"/>
        </w:rPr>
        <w:t>of Germany</w:t>
      </w:r>
      <w:r>
        <w:rPr>
          <w:rFonts w:ascii="Calibri" w:hAnsi="Calibri" w:cs="Calibri"/>
          <w:color w:val="000000"/>
          <w:sz w:val="14"/>
          <w:szCs w:val="14"/>
        </w:rPr>
        <w:t xml:space="preserve"> (known as Die Linke) co-submitted a motion in the Bundestag (Parliament). It </w:t>
      </w:r>
      <w:r>
        <w:rPr>
          <w:rFonts w:ascii="Calibri" w:hAnsi="Calibri" w:cs="Calibri"/>
          <w:b/>
          <w:bCs/>
          <w:color w:val="000000"/>
          <w:sz w:val="22"/>
          <w:szCs w:val="22"/>
          <w:u w:val="single"/>
          <w:shd w:val="clear" w:color="auto" w:fill="00FF00"/>
        </w:rPr>
        <w:t xml:space="preserve">called on the German </w:t>
      </w:r>
      <w:r>
        <w:rPr>
          <w:rFonts w:ascii="Calibri" w:hAnsi="Calibri" w:cs="Calibri"/>
          <w:b/>
          <w:bCs/>
          <w:color w:val="000000"/>
          <w:sz w:val="22"/>
          <w:szCs w:val="22"/>
          <w:u w:val="single"/>
        </w:rPr>
        <w:t xml:space="preserve">Federal </w:t>
      </w:r>
      <w:r>
        <w:rPr>
          <w:rFonts w:ascii="Calibri" w:hAnsi="Calibri" w:cs="Calibri"/>
          <w:b/>
          <w:bCs/>
          <w:color w:val="000000"/>
          <w:sz w:val="22"/>
          <w:szCs w:val="22"/>
          <w:u w:val="single"/>
          <w:shd w:val="clear" w:color="auto" w:fill="00FF00"/>
        </w:rPr>
        <w:t xml:space="preserve">Government to support the </w:t>
      </w:r>
      <w:r>
        <w:rPr>
          <w:rFonts w:ascii="Calibri" w:hAnsi="Calibri" w:cs="Calibri"/>
          <w:b/>
          <w:bCs/>
          <w:color w:val="000000"/>
          <w:sz w:val="22"/>
          <w:szCs w:val="22"/>
          <w:u w:val="single"/>
        </w:rPr>
        <w:t xml:space="preserve">TRIPS </w:t>
      </w:r>
      <w:r>
        <w:rPr>
          <w:rFonts w:ascii="Calibri" w:hAnsi="Calibri" w:cs="Calibri"/>
          <w:b/>
          <w:bCs/>
          <w:color w:val="000000"/>
          <w:sz w:val="22"/>
          <w:szCs w:val="22"/>
          <w:u w:val="single"/>
          <w:shd w:val="clear" w:color="auto" w:fill="00FF00"/>
        </w:rPr>
        <w:t>waiver</w:t>
      </w:r>
      <w:r>
        <w:rPr>
          <w:rFonts w:ascii="Calibri" w:hAnsi="Calibri" w:cs="Calibri"/>
          <w:color w:val="000000"/>
          <w:sz w:val="14"/>
          <w:szCs w:val="14"/>
        </w:rPr>
        <w:t xml:space="preserve">. After months of deliberation, the motion was rejected in May 2021, with majority members voting against it. </w:t>
      </w:r>
      <w:r>
        <w:rPr>
          <w:rFonts w:ascii="Calibri" w:hAnsi="Calibri" w:cs="Calibri"/>
          <w:b/>
          <w:bCs/>
          <w:color w:val="000000"/>
          <w:sz w:val="22"/>
          <w:szCs w:val="22"/>
          <w:u w:val="single"/>
        </w:rPr>
        <w:t xml:space="preserve">While they unanimously agreed that more needed to be done to increase global vaccine production, just like at the WTO, they differed on ways to achieve it. “There is a difference even within the government, between members of the Social Democratic Party (SPD) and members of the conservative party. Some members of the Social Democrats have been more open. They also rhetorically supported the TRIPS waiver. But </w:t>
      </w:r>
      <w:r>
        <w:rPr>
          <w:rFonts w:ascii="Calibri" w:hAnsi="Calibri" w:cs="Calibri"/>
          <w:b/>
          <w:bCs/>
          <w:color w:val="000000"/>
          <w:sz w:val="22"/>
          <w:szCs w:val="22"/>
          <w:u w:val="single"/>
          <w:shd w:val="clear" w:color="auto" w:fill="00FF00"/>
        </w:rPr>
        <w:t>when it came to voting</w:t>
      </w:r>
      <w:r>
        <w:rPr>
          <w:rFonts w:ascii="Calibri" w:hAnsi="Calibri" w:cs="Calibri"/>
          <w:b/>
          <w:bCs/>
          <w:color w:val="000000"/>
          <w:sz w:val="22"/>
          <w:szCs w:val="22"/>
          <w:u w:val="single"/>
        </w:rPr>
        <w:t xml:space="preserve">, and to the final votes, </w:t>
      </w:r>
      <w:r>
        <w:rPr>
          <w:rFonts w:ascii="Calibri" w:hAnsi="Calibri" w:cs="Calibri"/>
          <w:b/>
          <w:bCs/>
          <w:color w:val="000000"/>
          <w:sz w:val="22"/>
          <w:szCs w:val="22"/>
          <w:u w:val="single"/>
          <w:shd w:val="clear" w:color="auto" w:fill="00FF00"/>
        </w:rPr>
        <w:t>they opposed it</w:t>
      </w:r>
      <w:r>
        <w:rPr>
          <w:rFonts w:ascii="Calibri" w:hAnsi="Calibri" w:cs="Calibri"/>
          <w:b/>
          <w:bCs/>
          <w:color w:val="000000"/>
          <w:sz w:val="22"/>
          <w:szCs w:val="22"/>
          <w:u w:val="single"/>
        </w:rPr>
        <w:t xml:space="preserve">,” </w:t>
      </w:r>
      <w:r>
        <w:rPr>
          <w:rFonts w:ascii="Calibri" w:hAnsi="Calibri" w:cs="Calibri"/>
          <w:color w:val="000000"/>
          <w:sz w:val="14"/>
          <w:szCs w:val="14"/>
        </w:rPr>
        <w:t xml:space="preserve">Achim Kessler told Geneva Health Files. First proposed by South Africa and India in October 2020, the TRIPS waiver proposal seeks to expand access to COVID-19 vaccines, diagnostics and related medical products by temporarily relaxing certain intellectual property rules. Almost a year later, </w:t>
      </w:r>
      <w:r>
        <w:rPr>
          <w:rFonts w:ascii="Calibri" w:hAnsi="Calibri" w:cs="Calibri"/>
          <w:b/>
          <w:bCs/>
          <w:color w:val="000000"/>
          <w:sz w:val="22"/>
          <w:szCs w:val="22"/>
          <w:u w:val="single"/>
          <w:shd w:val="clear" w:color="auto" w:fill="00FF00"/>
        </w:rPr>
        <w:t>the EU, led by Germany, remains a prominent opponent to the waiver</w:t>
      </w:r>
      <w:r>
        <w:rPr>
          <w:rFonts w:ascii="Calibri" w:hAnsi="Calibri" w:cs="Calibri"/>
          <w:b/>
          <w:bCs/>
          <w:color w:val="000000"/>
          <w:sz w:val="22"/>
          <w:szCs w:val="22"/>
          <w:u w:val="single"/>
        </w:rPr>
        <w:t xml:space="preserve">. </w:t>
      </w:r>
      <w:r>
        <w:rPr>
          <w:rFonts w:ascii="Calibri" w:hAnsi="Calibri" w:cs="Calibri"/>
          <w:color w:val="000000"/>
          <w:sz w:val="14"/>
          <w:szCs w:val="14"/>
        </w:rPr>
        <w:t xml:space="preserve">Notwithstanding the farrago of arguments against the waiver, it is useful to examine Germany’s reasons for doing so. This story maps German policy positions and politics on intellectual property and its implications for the TRIPS Waiver discussions. </w:t>
      </w:r>
      <w:r>
        <w:rPr>
          <w:rFonts w:ascii="Calibri" w:hAnsi="Calibri" w:cs="Calibri"/>
          <w:b/>
          <w:bCs/>
          <w:color w:val="000000"/>
          <w:sz w:val="22"/>
          <w:szCs w:val="22"/>
          <w:u w:val="single"/>
        </w:rPr>
        <w:t xml:space="preserve">The politics of scientific knowledge: who owns it and who gets to use it? The belief that relaxing patents would impede innovation was one of the main reasons for rejection of the Left’s motion. Responding to a question thereon, </w:t>
      </w:r>
      <w:r>
        <w:rPr>
          <w:rFonts w:ascii="Calibri" w:hAnsi="Calibri" w:cs="Calibri"/>
          <w:b/>
          <w:bCs/>
          <w:color w:val="000000"/>
          <w:sz w:val="22"/>
          <w:szCs w:val="22"/>
          <w:u w:val="single"/>
          <w:shd w:val="clear" w:color="auto" w:fill="00FF00"/>
        </w:rPr>
        <w:t xml:space="preserve">the federal government stated that it was skeptical about the need </w:t>
      </w:r>
      <w:r>
        <w:rPr>
          <w:rFonts w:ascii="Calibri" w:hAnsi="Calibri" w:cs="Calibri"/>
          <w:b/>
          <w:bCs/>
          <w:color w:val="000000"/>
          <w:sz w:val="22"/>
          <w:szCs w:val="22"/>
          <w:u w:val="single"/>
        </w:rPr>
        <w:t xml:space="preserve">for a waiver. </w:t>
      </w:r>
      <w:r>
        <w:rPr>
          <w:rFonts w:ascii="Calibri" w:hAnsi="Calibri" w:cs="Calibri"/>
          <w:color w:val="000000"/>
          <w:sz w:val="14"/>
          <w:szCs w:val="14"/>
        </w:rPr>
        <w:t>It added (translated from German; can be accessed here): “The European Commission, which leads the negotiations in the TRIPS Council for the member states of the EU, has not yet been convinced by the arguments put forward, according to which intellectual property rights represent a barrier to increasing global production capacities for vaccines against Covid-19</w:t>
      </w:r>
      <w:r>
        <w:rPr>
          <w:rFonts w:ascii="Calibri" w:hAnsi="Calibri" w:cs="Calibri"/>
          <w:b/>
          <w:bCs/>
          <w:color w:val="000000"/>
          <w:sz w:val="22"/>
          <w:szCs w:val="22"/>
          <w:u w:val="single"/>
        </w:rPr>
        <w:t xml:space="preserve">. It sees the </w:t>
      </w:r>
      <w:r>
        <w:rPr>
          <w:rFonts w:ascii="Calibri" w:hAnsi="Calibri" w:cs="Calibri"/>
          <w:b/>
          <w:bCs/>
          <w:color w:val="000000"/>
          <w:sz w:val="22"/>
          <w:szCs w:val="22"/>
          <w:u w:val="single"/>
          <w:shd w:val="clear" w:color="auto" w:fill="00FF00"/>
        </w:rPr>
        <w:t>protection of i</w:t>
      </w:r>
      <w:r>
        <w:rPr>
          <w:rFonts w:ascii="Calibri" w:hAnsi="Calibri" w:cs="Calibri"/>
          <w:b/>
          <w:bCs/>
          <w:color w:val="000000"/>
          <w:sz w:val="22"/>
          <w:szCs w:val="22"/>
          <w:u w:val="single"/>
        </w:rPr>
        <w:t xml:space="preserve">ntellectual </w:t>
      </w:r>
      <w:r>
        <w:rPr>
          <w:rFonts w:ascii="Calibri" w:hAnsi="Calibri" w:cs="Calibri"/>
          <w:b/>
          <w:bCs/>
          <w:color w:val="000000"/>
          <w:sz w:val="22"/>
          <w:szCs w:val="22"/>
          <w:u w:val="single"/>
          <w:shd w:val="clear" w:color="auto" w:fill="00FF00"/>
        </w:rPr>
        <w:t>p</w:t>
      </w:r>
      <w:r>
        <w:rPr>
          <w:rFonts w:ascii="Calibri" w:hAnsi="Calibri" w:cs="Calibri"/>
          <w:b/>
          <w:bCs/>
          <w:color w:val="000000"/>
          <w:sz w:val="22"/>
          <w:szCs w:val="22"/>
          <w:u w:val="single"/>
        </w:rPr>
        <w:t xml:space="preserve">roperty </w:t>
      </w:r>
      <w:r>
        <w:rPr>
          <w:rFonts w:ascii="Calibri" w:hAnsi="Calibri" w:cs="Calibri"/>
          <w:b/>
          <w:bCs/>
          <w:color w:val="000000"/>
          <w:sz w:val="22"/>
          <w:szCs w:val="22"/>
          <w:u w:val="single"/>
          <w:shd w:val="clear" w:color="auto" w:fill="00FF00"/>
        </w:rPr>
        <w:t>rights as a</w:t>
      </w:r>
      <w:r>
        <w:rPr>
          <w:rFonts w:ascii="Calibri" w:hAnsi="Calibri" w:cs="Calibri"/>
          <w:b/>
          <w:bCs/>
          <w:color w:val="000000"/>
          <w:sz w:val="22"/>
          <w:szCs w:val="22"/>
          <w:u w:val="single"/>
        </w:rPr>
        <w:t xml:space="preserve">n essential </w:t>
      </w:r>
      <w:r>
        <w:rPr>
          <w:rFonts w:ascii="Calibri" w:hAnsi="Calibri" w:cs="Calibri"/>
          <w:b/>
          <w:bCs/>
          <w:color w:val="000000"/>
          <w:sz w:val="22"/>
          <w:szCs w:val="22"/>
          <w:u w:val="single"/>
          <w:shd w:val="clear" w:color="auto" w:fill="00FF00"/>
        </w:rPr>
        <w:t xml:space="preserve">stimulus for research </w:t>
      </w:r>
      <w:r>
        <w:rPr>
          <w:rFonts w:ascii="Calibri" w:hAnsi="Calibri" w:cs="Calibri"/>
          <w:b/>
          <w:bCs/>
          <w:color w:val="000000"/>
          <w:sz w:val="22"/>
          <w:szCs w:val="22"/>
          <w:u w:val="single"/>
        </w:rPr>
        <w:t>and development of new vaccines and drug</w:t>
      </w:r>
      <w:r>
        <w:rPr>
          <w:rFonts w:ascii="Calibri" w:hAnsi="Calibri" w:cs="Calibri"/>
          <w:color w:val="000000"/>
          <w:sz w:val="14"/>
          <w:szCs w:val="14"/>
        </w:rPr>
        <w:t>s. This position of the European Commission is shared by the German government</w:t>
      </w:r>
      <w:r>
        <w:rPr>
          <w:rFonts w:ascii="Calibri" w:hAnsi="Calibri" w:cs="Calibri"/>
          <w:b/>
          <w:bCs/>
          <w:color w:val="000000"/>
          <w:sz w:val="22"/>
          <w:szCs w:val="22"/>
          <w:u w:val="single"/>
        </w:rPr>
        <w:t>. The current international and national legal framework for the protection of intellectual property rights already provides the basis for patent holders to grant other companies (voluntarily) licenses for the use of their pharmaceutical invention</w:t>
      </w:r>
      <w:r>
        <w:rPr>
          <w:rFonts w:ascii="Calibri" w:hAnsi="Calibri" w:cs="Calibri"/>
          <w:color w:val="000000"/>
          <w:sz w:val="14"/>
          <w:szCs w:val="14"/>
        </w:rPr>
        <w:t>. Private companies are already making extensive use of this possibility of cooperation to expand the necessary resources and should do so even more in the current pandemic. If voluntary solutions to increase production are not sufficient, the TRIPS Agreement already enables the granting of patent compulsory licenses at national level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Germany, and in particular,</w:t>
      </w:r>
      <w:r>
        <w:rPr>
          <w:rFonts w:ascii="Calibri" w:hAnsi="Calibri" w:cs="Calibri"/>
          <w:b/>
          <w:bCs/>
          <w:color w:val="000000"/>
          <w:sz w:val="22"/>
          <w:szCs w:val="22"/>
          <w:u w:val="single"/>
        </w:rPr>
        <w:t xml:space="preserve"> Chancellor Angela Merkel’s party, the Christian Democratic Union of Germany (</w:t>
      </w:r>
      <w:r>
        <w:rPr>
          <w:rFonts w:ascii="Calibri" w:hAnsi="Calibri" w:cs="Calibri"/>
          <w:b/>
          <w:bCs/>
          <w:color w:val="000000"/>
          <w:sz w:val="22"/>
          <w:szCs w:val="22"/>
          <w:u w:val="single"/>
          <w:shd w:val="clear" w:color="auto" w:fill="00FF00"/>
        </w:rPr>
        <w:t>CDU</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places great importance on</w:t>
      </w:r>
      <w:r>
        <w:rPr>
          <w:rFonts w:ascii="Calibri" w:hAnsi="Calibri" w:cs="Calibri"/>
          <w:b/>
          <w:bCs/>
          <w:color w:val="000000"/>
          <w:sz w:val="22"/>
          <w:szCs w:val="22"/>
          <w:u w:val="single"/>
        </w:rPr>
        <w:t xml:space="preserve"> intellectual property </w:t>
      </w:r>
      <w:r>
        <w:rPr>
          <w:rFonts w:ascii="Calibri" w:hAnsi="Calibri" w:cs="Calibri"/>
          <w:b/>
          <w:bCs/>
          <w:color w:val="000000"/>
          <w:sz w:val="22"/>
          <w:szCs w:val="22"/>
          <w:u w:val="single"/>
          <w:shd w:val="clear" w:color="auto" w:fill="00FF00"/>
        </w:rPr>
        <w:t>(IP) as a driver for innovation and considers it inviolable.</w:t>
      </w:r>
      <w:r>
        <w:rPr>
          <w:rFonts w:ascii="Calibri" w:hAnsi="Calibri" w:cs="Calibri"/>
          <w:b/>
          <w:bCs/>
          <w:color w:val="000000"/>
          <w:sz w:val="22"/>
          <w:szCs w:val="22"/>
          <w:u w:val="single"/>
        </w:rPr>
        <w:t xml:space="preserve"> “I think to understand Germany’s opposition to the waiver, we have to look back on German beliefs on IP rights. And I think in particular, </w:t>
      </w:r>
      <w:r>
        <w:rPr>
          <w:rFonts w:ascii="Calibri" w:hAnsi="Calibri" w:cs="Calibri"/>
          <w:b/>
          <w:bCs/>
          <w:color w:val="000000"/>
          <w:sz w:val="28"/>
          <w:szCs w:val="28"/>
          <w:u w:val="single"/>
          <w:shd w:val="clear" w:color="auto" w:fill="00FF00"/>
        </w:rPr>
        <w:t xml:space="preserve">in the German conservative party there is a strong belief that IP is key </w:t>
      </w:r>
      <w:r>
        <w:rPr>
          <w:rFonts w:ascii="Calibri" w:hAnsi="Calibri" w:cs="Calibri"/>
          <w:b/>
          <w:bCs/>
          <w:color w:val="000000"/>
          <w:sz w:val="22"/>
          <w:szCs w:val="22"/>
          <w:u w:val="single"/>
        </w:rPr>
        <w:t>and an important incentive for creation of medical tools.”</w:t>
      </w:r>
      <w:r>
        <w:rPr>
          <w:rFonts w:ascii="Calibri" w:hAnsi="Calibri" w:cs="Calibri"/>
          <w:color w:val="000000"/>
          <w:sz w:val="14"/>
          <w:szCs w:val="14"/>
        </w:rPr>
        <w:t xml:space="preserve"> Lara Dovifat, International Campaign Manager at Médecins Sans Frontières (MSF) told Geneva Health Files in an interview. </w:t>
      </w:r>
    </w:p>
    <w:p w14:paraId="10E144AA" w14:textId="77777777" w:rsidR="0029326B" w:rsidRDefault="0029326B" w:rsidP="0029326B"/>
    <w:p w14:paraId="2D13E9C7" w14:textId="419146F5" w:rsidR="0029326B" w:rsidRDefault="0029326B" w:rsidP="0029326B">
      <w:pPr>
        <w:pStyle w:val="Heading4"/>
        <w:spacing w:before="200"/>
        <w:rPr>
          <w:rFonts w:cs="Calibri"/>
          <w:color w:val="000000"/>
        </w:rPr>
      </w:pPr>
      <w:r>
        <w:rPr>
          <w:rFonts w:cs="Calibri"/>
          <w:color w:val="000000"/>
        </w:rPr>
        <w:t>CDU doesn’t act on climate change—their role in the EU means that other European countries follow.</w:t>
      </w:r>
    </w:p>
    <w:p w14:paraId="7D5BF985" w14:textId="16C40176" w:rsidR="002B0B4A" w:rsidRDefault="00387811" w:rsidP="002B0B4A">
      <w:r w:rsidRPr="00934DB5">
        <w:rPr>
          <w:rStyle w:val="Style13ptBold"/>
        </w:rPr>
        <w:t>Thurau 9/23</w:t>
      </w:r>
      <w:r>
        <w:t xml:space="preserve">—DW; Jenn Thurau; german news reporter; </w:t>
      </w:r>
      <w:r w:rsidR="0051154D">
        <w:t xml:space="preserve">Sep 23 2021; </w:t>
      </w:r>
      <w:r w:rsidRPr="00387811">
        <w:t>https://www.dw.com/en/german-election-and-climate-change-what-are-the-parties-pledges/a-59285491</w:t>
      </w:r>
    </w:p>
    <w:p w14:paraId="73614A31" w14:textId="54F0F44E" w:rsidR="002B0B4A" w:rsidRPr="002B0B4A" w:rsidRDefault="002B0B4A" w:rsidP="002B0B4A">
      <w:r w:rsidRPr="002B0B4A">
        <w:rPr>
          <w:rStyle w:val="Emphasis"/>
        </w:rPr>
        <w:t>The center-right Christian Democrats (</w:t>
      </w:r>
      <w:r w:rsidRPr="002B0B4A">
        <w:rPr>
          <w:rStyle w:val="Emphasis"/>
          <w:highlight w:val="yellow"/>
        </w:rPr>
        <w:t>CDU</w:t>
      </w:r>
      <w:r w:rsidRPr="002B0B4A">
        <w:rPr>
          <w:rStyle w:val="Emphasis"/>
        </w:rPr>
        <w:t>)</w:t>
      </w:r>
      <w:r w:rsidRPr="002B0B4A">
        <w:t xml:space="preserve">, who have led governments under Chancellor Angela Merkel for the last 16 years, along with their Bavarian sister party, the Christian Social Union (CSU), </w:t>
      </w:r>
      <w:r w:rsidRPr="002B0B4A">
        <w:rPr>
          <w:rStyle w:val="Emphasis"/>
        </w:rPr>
        <w:t xml:space="preserve">are </w:t>
      </w:r>
      <w:r w:rsidRPr="002B0B4A">
        <w:rPr>
          <w:rStyle w:val="Emphasis"/>
          <w:highlight w:val="yellow"/>
        </w:rPr>
        <w:t>committed to the target of climate neutrality by 2045</w:t>
      </w:r>
      <w:r w:rsidRPr="002B0B4A">
        <w:rPr>
          <w:rStyle w:val="Emphasis"/>
        </w:rPr>
        <w:t xml:space="preserve"> and want to greatly expand renewable energies</w:t>
      </w:r>
      <w:r w:rsidRPr="002B0B4A">
        <w:t>. This includes simpler programs for photovoltaics on roofs. In the economy, the CDU and CSU are focusing on climate-neutral hydrogen to replace coal in industry. Exactly how this can be achieved, however, is disputed by many economic experts.</w:t>
      </w:r>
      <w:r>
        <w:t xml:space="preserve"> </w:t>
      </w:r>
      <w:r w:rsidRPr="002B0B4A">
        <w:t xml:space="preserve">For the time being, </w:t>
      </w:r>
      <w:r w:rsidRPr="002B0B4A">
        <w:rPr>
          <w:rStyle w:val="Emphasis"/>
        </w:rPr>
        <w:t xml:space="preserve">the CDU/CSU is </w:t>
      </w:r>
      <w:r w:rsidRPr="002B0B4A">
        <w:rPr>
          <w:rStyle w:val="Emphasis"/>
          <w:highlight w:val="yellow"/>
        </w:rPr>
        <w:t>also sticking to</w:t>
      </w:r>
      <w:r w:rsidRPr="002B0B4A">
        <w:rPr>
          <w:rStyle w:val="Emphasis"/>
        </w:rPr>
        <w:t xml:space="preserve"> its decision to </w:t>
      </w:r>
      <w:r w:rsidRPr="002B0B4A">
        <w:rPr>
          <w:rStyle w:val="Emphasis"/>
          <w:highlight w:val="yellow"/>
        </w:rPr>
        <w:t>phase out coal-fired power generation by 2038</w:t>
      </w:r>
      <w:r w:rsidRPr="002B0B4A">
        <w:rPr>
          <w:rStyle w:val="Emphasis"/>
        </w:rPr>
        <w:t xml:space="preserve">, which many </w:t>
      </w:r>
      <w:r w:rsidRPr="002B0B4A">
        <w:rPr>
          <w:rStyle w:val="Emphasis"/>
          <w:highlight w:val="yellow"/>
        </w:rPr>
        <w:t>environmental experts consider far too late</w:t>
      </w:r>
      <w:r w:rsidRPr="002B0B4A">
        <w:rPr>
          <w:rStyle w:val="Emphasis"/>
        </w:rPr>
        <w:t xml:space="preserve">. </w:t>
      </w:r>
      <w:r w:rsidRPr="002B0B4A">
        <w:t>Chancellor candidate Armin Laschet has stuck firmly to this date, while Friedrich Merz, the former head of the CDU parliamentary group, recently stated that he could imagine an earlier date. The CDU/CSU's plans fall short of achieving the international climate target.</w:t>
      </w:r>
      <w:r w:rsidRPr="002B0B4A">
        <w:rPr>
          <w:rStyle w:val="Emphasis"/>
        </w:rPr>
        <w:t xml:space="preserve">The </w:t>
      </w:r>
      <w:r w:rsidRPr="002B0B4A">
        <w:rPr>
          <w:rStyle w:val="Emphasis"/>
          <w:highlight w:val="yellow"/>
        </w:rPr>
        <w:t>center-left Social Democrats</w:t>
      </w:r>
      <w:r w:rsidRPr="002B0B4A">
        <w:rPr>
          <w:rStyle w:val="Emphasis"/>
        </w:rPr>
        <w:t xml:space="preserve"> (SPD), who have been the junior coalition partner in government for the last eight years, </w:t>
      </w:r>
      <w:r w:rsidRPr="002B0B4A">
        <w:rPr>
          <w:rStyle w:val="Emphasis"/>
          <w:highlight w:val="yellow"/>
        </w:rPr>
        <w:t>want Germany's electricity to come entirely from renewable energies as early as 2040</w:t>
      </w:r>
      <w:r w:rsidRPr="002B0B4A">
        <w:rPr>
          <w:rStyle w:val="Emphasis"/>
        </w:rPr>
        <w:t xml:space="preserve">. This would be </w:t>
      </w:r>
      <w:r w:rsidRPr="002B0B4A">
        <w:rPr>
          <w:rStyle w:val="Emphasis"/>
          <w:highlight w:val="yellow"/>
        </w:rPr>
        <w:t>achieved</w:t>
      </w:r>
      <w:r w:rsidRPr="002B0B4A">
        <w:rPr>
          <w:rStyle w:val="Emphasis"/>
        </w:rPr>
        <w:t xml:space="preserve">, among other things, </w:t>
      </w:r>
      <w:r w:rsidRPr="002B0B4A">
        <w:rPr>
          <w:rStyle w:val="Emphasis"/>
          <w:highlight w:val="yellow"/>
        </w:rPr>
        <w:t>by installing solar panels on all suitable roofs</w:t>
      </w:r>
      <w:r w:rsidRPr="002B0B4A">
        <w:rPr>
          <w:rStyle w:val="Emphasis"/>
        </w:rPr>
        <w:t>.</w:t>
      </w:r>
      <w:r w:rsidRPr="002B0B4A">
        <w:t xml:space="preserve"> The SPD is also backing hydrogen; by 2030, Germany is to become the "lead market" in this area. But if hydrogen is to be climate-neutral, it must be produced using renewable energies.</w:t>
      </w:r>
      <w:r>
        <w:t xml:space="preserve"> </w:t>
      </w:r>
      <w:r w:rsidRPr="002B0B4A">
        <w:t>The SPD wants rail travel to become more attractive than flying, as well as to promote electric cars and the infrastructure for them — but the party does not have plans to ban flights. The party is in favor of a speed limit of 130 kph (80 mph) on German highways. And for the time being, it is sticking to the coal phaseout by 2038, even if its candidate for chancellor, Olaf Scholz, has suggested an earlier date, such as 2034, in TV discussions. But that is not yet confirmed.</w:t>
      </w:r>
    </w:p>
    <w:p w14:paraId="73D5BE4D" w14:textId="77777777" w:rsidR="002B0B4A" w:rsidRPr="002B0B4A" w:rsidRDefault="002B0B4A" w:rsidP="002B0B4A"/>
    <w:p w14:paraId="6FFC3DB9" w14:textId="77777777" w:rsidR="0029326B" w:rsidRDefault="0029326B" w:rsidP="0029326B">
      <w:pPr>
        <w:spacing w:after="240"/>
      </w:pPr>
    </w:p>
    <w:p w14:paraId="3C3D419A" w14:textId="401B3304" w:rsidR="00D1410B" w:rsidRPr="00526A8E" w:rsidRDefault="0029326B" w:rsidP="00D1410B">
      <w:pPr>
        <w:pStyle w:val="Heading4"/>
        <w:spacing w:before="200"/>
      </w:pPr>
      <w:r>
        <w:rPr>
          <w:rFonts w:cs="Calibri"/>
          <w:color w:val="000000"/>
        </w:rPr>
        <w:t>European inaction on climate change means extinction.</w:t>
      </w:r>
    </w:p>
    <w:p w14:paraId="150A85C4" w14:textId="77777777" w:rsidR="00D1410B" w:rsidRDefault="00D1410B" w:rsidP="00D1410B">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4FBA7B5B" w14:textId="77777777" w:rsidR="00D1410B" w:rsidRPr="00CB6619" w:rsidRDefault="00D1410B" w:rsidP="00D1410B">
      <w:pPr>
        <w:rPr>
          <w:sz w:val="16"/>
        </w:rPr>
      </w:pPr>
      <w:r w:rsidRPr="00CB6619">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CB6619">
        <w:rPr>
          <w:rStyle w:val="Emphasis"/>
          <w:highlight w:val="green"/>
        </w:rPr>
        <w:t>Humanity</w:t>
      </w:r>
      <w:r w:rsidRPr="00CB6619">
        <w:rPr>
          <w:rStyle w:val="Emphasis"/>
        </w:rPr>
        <w:t xml:space="preserve"> has become </w:t>
      </w:r>
      <w:r w:rsidRPr="00CB6619">
        <w:rPr>
          <w:rStyle w:val="Emphasis"/>
          <w:highlight w:val="green"/>
        </w:rPr>
        <w:t>one of the driving forces behind Earth’s climate</w:t>
      </w:r>
      <w:r w:rsidRPr="00CB6619">
        <w:rPr>
          <w:rStyle w:val="Emphasis"/>
        </w:rPr>
        <w:t xml:space="preserve"> system (Crutzen 2002).</w:t>
      </w:r>
      <w:r w:rsidRPr="00CB6619">
        <w:rPr>
          <w:sz w:val="16"/>
        </w:rPr>
        <w:t xml:space="preserve"> The major anthropogenic drivers of climate change are the burning of fossil fuels (e.g., coal, oil, and gas), combined with the degradation of Earth’s natural systems for absorbing carbon dioxide, such as deforestation for agriculture (e.g., livestock and monocultures) and resource extraction (e.g., mining and oil), and the warming of the oceans (Kump et al. 2003). </w:t>
      </w:r>
      <w:r w:rsidRPr="00CB6619">
        <w:rPr>
          <w:rStyle w:val="Emphasis"/>
        </w:rPr>
        <w:t xml:space="preserve">While humanity has influenced Earth’s climate since at least the Industrial Revolution, the </w:t>
      </w:r>
      <w:r w:rsidRPr="00CB6619">
        <w:rPr>
          <w:rStyle w:val="Emphasis"/>
          <w:highlight w:val="green"/>
        </w:rPr>
        <w:t>dramatic increase in greenhouse gas</w:t>
      </w:r>
      <w:r w:rsidRPr="00CB6619">
        <w:rPr>
          <w:rStyle w:val="Emphasis"/>
        </w:rPr>
        <w:t xml:space="preserve"> emissions </w:t>
      </w:r>
      <w:r w:rsidRPr="00CB6619">
        <w:rPr>
          <w:rStyle w:val="Emphasis"/>
          <w:highlight w:val="green"/>
        </w:rPr>
        <w:t>since the mid-twentieth century</w:t>
      </w:r>
      <w:r w:rsidRPr="00CB6619">
        <w:rPr>
          <w:rStyle w:val="Emphasis"/>
        </w:rPr>
        <w:t>—the “Great Acceleration”</w:t>
      </w:r>
      <w:r w:rsidRPr="00CB6619">
        <w:rPr>
          <w:sz w:val="16"/>
        </w:rPr>
        <w:t xml:space="preserve"> (Steffen et al. 2007; 2015; McNeill &amp; Engelke 2016)— </w:t>
      </w:r>
      <w:r w:rsidRPr="00CB6619">
        <w:rPr>
          <w:rStyle w:val="Emphasis"/>
          <w:highlight w:val="green"/>
        </w:rPr>
        <w:t>is responsible for contemporary climate change</w:t>
      </w:r>
      <w:r w:rsidRPr="00CB6619">
        <w:rPr>
          <w:rStyle w:val="Emphasis"/>
        </w:rPr>
        <w:t xml:space="preserve">, which has </w:t>
      </w:r>
      <w:r w:rsidRPr="00CB6619">
        <w:rPr>
          <w:rStyle w:val="Emphasis"/>
          <w:highlight w:val="green"/>
        </w:rPr>
        <w:t>reached</w:t>
      </w:r>
      <w:r w:rsidRPr="00CB6619">
        <w:rPr>
          <w:rStyle w:val="Emphasis"/>
        </w:rPr>
        <w:t xml:space="preserve"> approximately </w:t>
      </w:r>
      <w:r w:rsidRPr="00CB6619">
        <w:rPr>
          <w:rStyle w:val="Emphasis"/>
          <w:highlight w:val="green"/>
        </w:rPr>
        <w:t>1°C above preindustrial levels</w:t>
      </w:r>
      <w:r w:rsidRPr="00CB6619">
        <w:rPr>
          <w:sz w:val="16"/>
        </w:rPr>
        <w:t xml:space="preserve"> (IPCC 2018). Climate change could become an existential threat to humanity if the planet’s climate reaches a “Hothouse Earth” state (Ripple et al. 2020). What are the dangers? There are two mechanisms of climate change that threaten humankind. </w:t>
      </w:r>
      <w:r w:rsidRPr="00CB6619">
        <w:rPr>
          <w:rStyle w:val="Emphasis"/>
        </w:rPr>
        <w:t xml:space="preserve">The </w:t>
      </w:r>
      <w:r w:rsidRPr="00CB6619">
        <w:rPr>
          <w:rStyle w:val="Emphasis"/>
          <w:highlight w:val="green"/>
        </w:rPr>
        <w:t>direct threat is extreme heat</w:t>
      </w:r>
      <w:r w:rsidRPr="00CB6619">
        <w:rPr>
          <w:rStyle w:val="Emphasis"/>
        </w:rPr>
        <w:t>.</w:t>
      </w:r>
      <w:r w:rsidRPr="00CB6619">
        <w:rPr>
          <w:sz w:val="16"/>
        </w:rPr>
        <w:t xml:space="preserve"> While human societies possesses some capacity for adaptation and resilience to climate change, the physiological response of humans to heat stress imposes physical limits—with a hard limit at roughly 35°C wet-bulb temperature (Sherwood et al. 2010). A rise in global average temperatures by 3–4°C would increase the risk of heat stress, while </w:t>
      </w:r>
      <w:r w:rsidRPr="00CB6619">
        <w:rPr>
          <w:rStyle w:val="Emphasis"/>
        </w:rPr>
        <w:t>7</w:t>
      </w:r>
      <w:r w:rsidRPr="00CB6619">
        <w:rPr>
          <w:rStyle w:val="Emphasis"/>
          <w:highlight w:val="green"/>
        </w:rPr>
        <w:t>°C could render some regions uninhabitable</w:t>
      </w:r>
      <w:r w:rsidRPr="00CB6619">
        <w:rPr>
          <w:sz w:val="16"/>
        </w:rPr>
        <w:t xml:space="preserve">, and 11–12°C would leave much of the planet too hot for human habitation (Sherwood et al. 2010). </w:t>
      </w:r>
      <w:r w:rsidRPr="00CB6619">
        <w:rPr>
          <w:rStyle w:val="Emphasis"/>
        </w:rPr>
        <w:t xml:space="preserve">The </w:t>
      </w:r>
      <w:r w:rsidRPr="00CB6619">
        <w:rPr>
          <w:rStyle w:val="Emphasis"/>
          <w:highlight w:val="green"/>
        </w:rPr>
        <w:t>indirect effects</w:t>
      </w:r>
      <w:r w:rsidRPr="00CB6619">
        <w:rPr>
          <w:rStyle w:val="Emphasis"/>
        </w:rPr>
        <w:t xml:space="preserve"> of climate change could </w:t>
      </w:r>
      <w:r w:rsidRPr="00CB6619">
        <w:rPr>
          <w:rStyle w:val="Emphasis"/>
          <w:highlight w:val="green"/>
        </w:rPr>
        <w:t>include</w:t>
      </w:r>
      <w:r w:rsidRPr="00CB6619">
        <w:rPr>
          <w:rStyle w:val="Emphasis"/>
        </w:rPr>
        <w:t>, inter alia, rising sea levels</w:t>
      </w:r>
      <w:r w:rsidRPr="00CB6619">
        <w:rPr>
          <w:sz w:val="16"/>
        </w:rPr>
        <w:t xml:space="preserve"> affecting coastal regions (e.g., Miami and Shanghai), or even swallowing entire countries (e.g., Bangladesh and the Maldives); </w:t>
      </w:r>
      <w:r w:rsidRPr="00CB6619">
        <w:rPr>
          <w:rStyle w:val="Emphasis"/>
        </w:rPr>
        <w:t xml:space="preserve">extreme and unpredictable weather and </w:t>
      </w:r>
      <w:r w:rsidRPr="00CB6619">
        <w:rPr>
          <w:rStyle w:val="Emphasis"/>
          <w:highlight w:val="green"/>
        </w:rPr>
        <w:t>natural disasters</w:t>
      </w:r>
      <w:r w:rsidRPr="00CB6619">
        <w:rPr>
          <w:sz w:val="16"/>
        </w:rPr>
        <w:t xml:space="preserve"> (e.g., hurricanes and forest fires); </w:t>
      </w:r>
      <w:r w:rsidRPr="00CB6619">
        <w:rPr>
          <w:rStyle w:val="Emphasis"/>
        </w:rPr>
        <w:t xml:space="preserve">environmental pressures on water and </w:t>
      </w:r>
      <w:r w:rsidRPr="00CB6619">
        <w:rPr>
          <w:rStyle w:val="Emphasis"/>
          <w:highlight w:val="green"/>
        </w:rPr>
        <w:t>food scarcity</w:t>
      </w:r>
      <w:r w:rsidRPr="00CB6619">
        <w:rPr>
          <w:sz w:val="16"/>
        </w:rPr>
        <w:t xml:space="preserve"> (e.g., droughts from less-dispersed rainfall, and lower wheat-yields at higher temperatures); </w:t>
      </w:r>
      <w:r w:rsidRPr="00CB6619">
        <w:rPr>
          <w:rStyle w:val="Emphasis"/>
        </w:rPr>
        <w:t xml:space="preserve">the possible inception of </w:t>
      </w:r>
      <w:r w:rsidRPr="00CB6619">
        <w:rPr>
          <w:rStyle w:val="Emphasis"/>
          <w:highlight w:val="green"/>
        </w:rPr>
        <w:t>new bacteria and viruses</w:t>
      </w:r>
      <w:r w:rsidRPr="00CB6619">
        <w:rPr>
          <w:rStyle w:val="Emphasis"/>
        </w:rPr>
        <w:t xml:space="preserve">; and, of course, large-scale human </w:t>
      </w:r>
      <w:r w:rsidRPr="00CB6619">
        <w:rPr>
          <w:rStyle w:val="Emphasis"/>
          <w:highlight w:val="green"/>
        </w:rPr>
        <w:t>migration</w:t>
      </w:r>
      <w:r w:rsidRPr="00CB6619">
        <w:rPr>
          <w:sz w:val="16"/>
        </w:rPr>
        <w:t xml:space="preserve"> (World Bank 2012; Wallace-Well 2019; Richards, Lupton &amp; Allywood 2001). While it is difficult to determine the existential implications of extreme environmental conditions, there are historic precedents for the collapse of human societies under environmental pressures (Diamond 2005). </w:t>
      </w:r>
      <w:r w:rsidRPr="00A357A3">
        <w:rPr>
          <w:rStyle w:val="Emphasis"/>
          <w:highlight w:val="green"/>
        </w:rPr>
        <w:t>Earth’s “big five” mass extinction events</w:t>
      </w:r>
      <w:r w:rsidRPr="00A357A3">
        <w:rPr>
          <w:rStyle w:val="Emphasis"/>
        </w:rPr>
        <w:t xml:space="preserve"> have been </w:t>
      </w:r>
      <w:r w:rsidRPr="00A357A3">
        <w:rPr>
          <w:rStyle w:val="Emphasis"/>
          <w:highlight w:val="green"/>
        </w:rPr>
        <w:t>linked to</w:t>
      </w:r>
      <w:r w:rsidRPr="00A357A3">
        <w:rPr>
          <w:rStyle w:val="Emphasis"/>
        </w:rPr>
        <w:t xml:space="preserve"> dramatic shifts in Earth’s </w:t>
      </w:r>
      <w:r w:rsidRPr="00A357A3">
        <w:rPr>
          <w:rStyle w:val="Emphasis"/>
          <w:highlight w:val="green"/>
        </w:rPr>
        <w:t>climate</w:t>
      </w:r>
      <w:r w:rsidRPr="00CB6619">
        <w:rPr>
          <w:sz w:val="16"/>
        </w:rPr>
        <w:t xml:space="preserve"> (Ward 2008; Payne &amp; Clapham 2012; Kolbert 2014; Brannen 2017), and a Hothouse Earth climate would represent terra incognita for humanity. </w:t>
      </w:r>
      <w:r w:rsidRPr="00526A8E">
        <w:rPr>
          <w:rStyle w:val="Emphasis"/>
        </w:rPr>
        <w:t xml:space="preserve">Thus, </w:t>
      </w:r>
      <w:r w:rsidRPr="00CB6619">
        <w:rPr>
          <w:rStyle w:val="Emphasis"/>
        </w:rPr>
        <w:t xml:space="preserve">the assumption here is that </w:t>
      </w:r>
      <w:r w:rsidRPr="00526A8E">
        <w:rPr>
          <w:rStyle w:val="Emphasis"/>
          <w:highlight w:val="green"/>
        </w:rPr>
        <w:t>a Hothouse Earth climate could pose an existential threat</w:t>
      </w:r>
      <w:r w:rsidRPr="00526A8E">
        <w:rPr>
          <w:rStyle w:val="Emphasis"/>
        </w:rPr>
        <w:t xml:space="preserve"> to the habitability of the planet for humanity</w:t>
      </w:r>
      <w:r w:rsidRPr="00CB6619">
        <w:rPr>
          <w:sz w:val="16"/>
        </w:rPr>
        <w:t xml:space="preserve"> (Steffen et al. 2018., 5). At what point could climate change cross the threshold of an existential threat to humankind? The complexity of Earth’s natural systems makes it extremely difficult to give a precise figure (Rockstrom et al. 2009; ). </w:t>
      </w:r>
      <w:r w:rsidRPr="00CB6619">
        <w:rPr>
          <w:rStyle w:val="Emphasis"/>
        </w:rPr>
        <w:t xml:space="preserve">However, </w:t>
      </w:r>
      <w:r w:rsidRPr="00526A8E">
        <w:rPr>
          <w:rStyle w:val="Emphasis"/>
          <w:highlight w:val="green"/>
        </w:rPr>
        <w:t xml:space="preserve">much of the concern </w:t>
      </w:r>
      <w:r w:rsidRPr="00CB6619">
        <w:rPr>
          <w:rStyle w:val="Emphasis"/>
        </w:rPr>
        <w:t xml:space="preserve">about climate change </w:t>
      </w:r>
      <w:r w:rsidRPr="00526A8E">
        <w:rPr>
          <w:rStyle w:val="Emphasis"/>
          <w:highlight w:val="green"/>
        </w:rPr>
        <w:t xml:space="preserve">is over </w:t>
      </w:r>
      <w:r w:rsidRPr="00CB6619">
        <w:rPr>
          <w:rStyle w:val="Emphasis"/>
        </w:rPr>
        <w:t xml:space="preserve">the danger of crossing </w:t>
      </w:r>
      <w:r w:rsidRPr="00526A8E">
        <w:rPr>
          <w:rStyle w:val="Emphasis"/>
          <w:highlight w:val="green"/>
        </w:rPr>
        <w:t>“tipping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CB6619">
        <w:rPr>
          <w:rStyle w:val="Emphasis"/>
        </w:rPr>
        <w:t xml:space="preserve">A recent study suggests that </w:t>
      </w:r>
      <w:r w:rsidRPr="00526A8E">
        <w:rPr>
          <w:rStyle w:val="Emphasis"/>
          <w:highlight w:val="green"/>
        </w:rPr>
        <w:t>a “planetary threshold” could exist at global average temperature of 2°C above preindustrial levels</w:t>
      </w:r>
      <w:r w:rsidRPr="00CB6619">
        <w:rPr>
          <w:sz w:val="16"/>
        </w:rPr>
        <w:t xml:space="preserve"> (Steffen et al. 2018; also IPCC 2018). Therefore, the analysis here takes the 2°C rise in global average temperatures as representing the lower-boundary of an existential threat to humanity, with higher temperatures increasing the risk of runaway climate change leading to a Hothouse Earth. </w:t>
      </w:r>
      <w:r w:rsidRPr="00526A8E">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26A8E">
        <w:rPr>
          <w:rStyle w:val="Emphasis"/>
          <w:highlight w:val="green"/>
        </w:rPr>
        <w:t xml:space="preserve">current policies of states </w:t>
      </w:r>
      <w:r w:rsidRPr="00CB6619">
        <w:rPr>
          <w:rStyle w:val="Emphasis"/>
        </w:rPr>
        <w:t xml:space="preserve">are expected to </w:t>
      </w:r>
      <w:r w:rsidRPr="00526A8E">
        <w:rPr>
          <w:rStyle w:val="Emphasis"/>
          <w:highlight w:val="green"/>
        </w:rPr>
        <w:t xml:space="preserve">produce </w:t>
      </w:r>
      <w:r w:rsidRPr="00CB6619">
        <w:rPr>
          <w:rStyle w:val="Emphasis"/>
        </w:rPr>
        <w:t xml:space="preserve">global average temperatures of </w:t>
      </w:r>
      <w:r w:rsidRPr="00526A8E">
        <w:rPr>
          <w:rStyle w:val="Emphasis"/>
          <w:highlight w:val="green"/>
        </w:rPr>
        <w:t xml:space="preserve">2.9°C </w:t>
      </w:r>
      <w:r w:rsidRPr="00CB6619">
        <w:rPr>
          <w:rStyle w:val="Emphasis"/>
        </w:rPr>
        <w:t xml:space="preserve">above preindustrial levels </w:t>
      </w:r>
      <w:r w:rsidRPr="00526A8E">
        <w:rPr>
          <w:rStyle w:val="Emphasis"/>
          <w:highlight w:val="green"/>
        </w:rPr>
        <w:t>by 2100</w:t>
      </w:r>
      <w:r w:rsidRPr="00CB6619">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a period of time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526A8E">
        <w:rPr>
          <w:rStyle w:val="Emphasis"/>
          <w:highlight w:val="green"/>
        </w:rPr>
        <w:t>China’s CO2 emissions are by far the largest amongst the leading states</w:t>
      </w:r>
      <w:r w:rsidRPr="00526A8E">
        <w:rPr>
          <w:rStyle w:val="Emphasis"/>
        </w:rPr>
        <w:t xml:space="preserve">, which amounted to 10.17bt in 2019 </w:t>
      </w:r>
      <w:r w:rsidRPr="00526A8E">
        <w:rPr>
          <w:rStyle w:val="Emphasis"/>
          <w:highlight w:val="green"/>
        </w:rPr>
        <w:t>and are expected to climb</w:t>
      </w:r>
      <w:r w:rsidRPr="00526A8E">
        <w:rPr>
          <w:rStyle w:val="Emphasis"/>
        </w:rPr>
        <w:t xml:space="preserve"> to somewhere below 15bt in the period between 2025 and 2030. </w:t>
      </w:r>
      <w:r w:rsidRPr="00CB6619">
        <w:rPr>
          <w:sz w:val="16"/>
        </w:rPr>
        <w:t xml:space="preserve">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 </w:t>
      </w:r>
    </w:p>
    <w:p w14:paraId="11DF3D3F" w14:textId="77777777" w:rsidR="00D1410B" w:rsidRPr="00D1410B" w:rsidRDefault="00D1410B" w:rsidP="00D1410B"/>
    <w:p w14:paraId="1DE50FD9" w14:textId="2BF738F7" w:rsidR="00EB3B1F" w:rsidRDefault="00EB3B1F" w:rsidP="00F601E6"/>
    <w:p w14:paraId="46511C9E" w14:textId="607AA8EA" w:rsidR="0029326B" w:rsidRDefault="0029326B" w:rsidP="0029326B">
      <w:pPr>
        <w:pStyle w:val="Heading2"/>
      </w:pPr>
      <w:r>
        <w:t>4</w:t>
      </w:r>
    </w:p>
    <w:p w14:paraId="009133D4" w14:textId="71CC00F5" w:rsidR="0029326B" w:rsidRDefault="00F42FD6" w:rsidP="0029326B">
      <w:pPr>
        <w:pStyle w:val="Heading4"/>
      </w:pPr>
      <w:r>
        <w:t>Counterp</w:t>
      </w:r>
      <w:r w:rsidR="0029326B">
        <w:t xml:space="preserve">lan </w:t>
      </w:r>
      <w:r>
        <w:t>text</w:t>
      </w:r>
      <w:r w:rsidR="0029326B">
        <w:t xml:space="preserve">– </w:t>
      </w:r>
      <w:r w:rsidR="0029326B" w:rsidRPr="006C53E1">
        <w:t xml:space="preserve">The member nations of the World Trade Organization </w:t>
      </w:r>
      <w:r w:rsidR="0029326B">
        <w:t xml:space="preserve">except for Germany </w:t>
      </w:r>
      <w:r w:rsidR="0029326B" w:rsidRPr="006C53E1">
        <w:t>ought to reduce intellectual property protections for medicines</w:t>
      </w:r>
      <w:r w:rsidR="0029326B">
        <w:t xml:space="preserve"> by implementing a one-and-done approach for patent protection.</w:t>
      </w:r>
    </w:p>
    <w:p w14:paraId="5CAF03EE" w14:textId="4136A305" w:rsidR="0029326B" w:rsidRDefault="0029326B" w:rsidP="0029326B"/>
    <w:p w14:paraId="6818BD52" w14:textId="592AEF51" w:rsidR="0029326B" w:rsidRDefault="00715D14" w:rsidP="0029326B">
      <w:r>
        <w:t>Solves the aff, the entire aff is about the US</w:t>
      </w:r>
    </w:p>
    <w:p w14:paraId="26380031" w14:textId="77777777" w:rsidR="00715D14" w:rsidRDefault="00715D14" w:rsidP="0029326B"/>
    <w:p w14:paraId="35BDB0FD" w14:textId="661A4DF1" w:rsidR="0029326B" w:rsidRDefault="0029326B" w:rsidP="0029326B">
      <w:pPr>
        <w:pStyle w:val="Heading2"/>
      </w:pPr>
      <w:r>
        <w:t>Case</w:t>
      </w:r>
    </w:p>
    <w:p w14:paraId="70AD3C79" w14:textId="1888FF61" w:rsidR="002C4717" w:rsidRDefault="002C4717" w:rsidP="002C4717">
      <w:pPr>
        <w:pStyle w:val="Heading4"/>
      </w:pPr>
      <w:r>
        <w:t>They can’t solve</w:t>
      </w:r>
      <w:r w:rsidR="001C0D53">
        <w:t>,</w:t>
      </w:r>
      <w:r>
        <w:t>- own card shows alt causes</w:t>
      </w:r>
      <w:r w:rsidR="001C0D53">
        <w:t xml:space="preserve"> for evergreening</w:t>
      </w:r>
      <w:r>
        <w:t xml:space="preserve"> like orphan drug exclusivities</w:t>
      </w:r>
      <w:r w:rsidR="006A67EC">
        <w:t xml:space="preserve"> and slightly revised compounds</w:t>
      </w:r>
      <w:r>
        <w:t>- we read yellow</w:t>
      </w:r>
    </w:p>
    <w:p w14:paraId="40F5F461" w14:textId="77777777" w:rsidR="002C4717" w:rsidRPr="00791206" w:rsidRDefault="002C4717" w:rsidP="002C471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2"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6AD01FC" w14:textId="77777777" w:rsidR="002C4717" w:rsidRPr="00E974A9" w:rsidRDefault="002C4717" w:rsidP="002C4717">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w:t>
      </w:r>
      <w:r w:rsidRPr="006A67EC">
        <w:rPr>
          <w:rStyle w:val="Emphasis"/>
          <w:highlight w:val="yellow"/>
        </w:rPr>
        <w:t>eight orphan drug exclusivities and 91 total additional protections from</w:t>
      </w:r>
      <w:r w:rsidRPr="006A67EC">
        <w:rPr>
          <w:rStyle w:val="Emphasis"/>
        </w:rPr>
        <w:t xml:space="preserve"> the U.S. Food and Drug Administration (</w:t>
      </w:r>
      <w:r w:rsidRPr="006A67EC">
        <w:rPr>
          <w:rStyle w:val="Emphasis"/>
          <w:highlight w:val="yellow"/>
        </w:rPr>
        <w:t>FDA</w:t>
      </w:r>
      <w:r w:rsidRPr="006A67EC">
        <w:rPr>
          <w:rStyle w:val="Emphasis"/>
        </w:rPr>
        <w:t>) s</w:t>
      </w:r>
      <w:r w:rsidRPr="00E974A9">
        <w:rPr>
          <w:u w:val="single"/>
        </w:rPr>
        <w:t xml:space="preserve">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sz w:val="26"/>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w:t>
      </w:r>
      <w:r w:rsidRPr="008B7354">
        <w:rPr>
          <w:highlight w:val="yellow"/>
          <w:u w:val="single"/>
        </w:rPr>
        <w:t xml:space="preserve">AstraZeneca received 97 protections stemming from 16 patents. </w:t>
      </w:r>
      <w:r w:rsidRPr="008B7354">
        <w:rPr>
          <w:rStyle w:val="Emphasis"/>
          <w:highlight w:val="yellow"/>
        </w:rPr>
        <w:t>These included revised dosages, compounds, and formul</w:t>
      </w:r>
      <w:r w:rsidRPr="006A67EC">
        <w:rPr>
          <w:rStyle w:val="Emphasis"/>
          <w:highlight w:val="yellow"/>
        </w:rPr>
        <w:t>ations.</w:t>
      </w:r>
      <w:r w:rsidRPr="00E974A9">
        <w:rPr>
          <w:sz w:val="16"/>
        </w:rPr>
        <w:t xml:space="preserve">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w:t>
      </w:r>
      <w:r w:rsidRPr="006A67EC">
        <w:rPr>
          <w:rStyle w:val="Emphasis"/>
        </w:rPr>
        <w:t xml:space="preserve">An </w:t>
      </w:r>
      <w:r w:rsidRPr="002651DC">
        <w:rPr>
          <w:rStyle w:val="Emphasis"/>
          <w:highlight w:val="yellow"/>
        </w:rPr>
        <w:t>earlier version of Suboxone also obtained an orphan drug designation, despite an opioid epidemic that has expanded Suboxone’s customer base to millions</w:t>
      </w:r>
      <w:r w:rsidRPr="006A67EC">
        <w:rPr>
          <w:rStyle w:val="Emphasis"/>
        </w:rPr>
        <w:t xml:space="preserve"> of potential customers.</w:t>
      </w:r>
      <w:r w:rsidRPr="00E974A9">
        <w:rPr>
          <w:sz w:val="16"/>
        </w:rPr>
        <w:t xml:space="preserve">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PrEP,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A2CF45D" w14:textId="65883DF7" w:rsidR="0029326B" w:rsidRDefault="0029326B" w:rsidP="0029326B"/>
    <w:p w14:paraId="34F1CAFC" w14:textId="77777777" w:rsidR="00060C41" w:rsidRPr="00466EB8" w:rsidRDefault="00060C41" w:rsidP="00060C41">
      <w:pPr>
        <w:pStyle w:val="Heading3"/>
        <w:rPr>
          <w:rFonts w:cs="Times New Roman"/>
        </w:rPr>
      </w:pPr>
      <w:r w:rsidRPr="00466EB8">
        <w:rPr>
          <w:rFonts w:cs="Times New Roman"/>
        </w:rPr>
        <w:t>Reasonability---1</w:t>
      </w:r>
      <w:r>
        <w:rPr>
          <w:rFonts w:cs="Times New Roman"/>
        </w:rPr>
        <w:t>NC</w:t>
      </w:r>
    </w:p>
    <w:p w14:paraId="3B04FD24" w14:textId="77D5B689" w:rsidR="00060C41" w:rsidRPr="00466EB8" w:rsidRDefault="00060C41" w:rsidP="00060C41">
      <w:pPr>
        <w:pStyle w:val="Heading4"/>
        <w:rPr>
          <w:rFonts w:cs="Times New Roman"/>
          <w:sz w:val="28"/>
        </w:rPr>
      </w:pPr>
      <w:r w:rsidRPr="00466EB8">
        <w:rPr>
          <w:rFonts w:cs="Times New Roman"/>
          <w:sz w:val="28"/>
        </w:rPr>
        <w:t>Use reasonability</w:t>
      </w:r>
      <w:r>
        <w:rPr>
          <w:rFonts w:cs="Times New Roman"/>
          <w:sz w:val="28"/>
        </w:rPr>
        <w:t xml:space="preserve"> </w:t>
      </w:r>
      <w:r w:rsidR="00073597">
        <w:rPr>
          <w:rFonts w:cs="Times New Roman"/>
          <w:sz w:val="28"/>
        </w:rPr>
        <w:t xml:space="preserve">on theory </w:t>
      </w:r>
      <w:r>
        <w:rPr>
          <w:rFonts w:cs="Times New Roman"/>
          <w:sz w:val="28"/>
        </w:rPr>
        <w:t>with the briteline that it was clearly delineated and answerable</w:t>
      </w:r>
      <w:r w:rsidRPr="00466EB8">
        <w:rPr>
          <w:rFonts w:cs="Times New Roman"/>
          <w:sz w:val="28"/>
        </w:rPr>
        <w:t>—</w:t>
      </w:r>
    </w:p>
    <w:p w14:paraId="49700E84" w14:textId="77777777" w:rsidR="00060C41" w:rsidRPr="00466EB8" w:rsidRDefault="00060C41" w:rsidP="00060C41">
      <w:pPr>
        <w:pStyle w:val="Heading4"/>
        <w:rPr>
          <w:rFonts w:cs="Times New Roman"/>
          <w:sz w:val="28"/>
        </w:rPr>
      </w:pPr>
      <w:r w:rsidRPr="00466EB8">
        <w:rPr>
          <w:rFonts w:cs="Times New Roman"/>
          <w:sz w:val="28"/>
        </w:rPr>
        <w:t xml:space="preserve">1. Competing interps over-incentivizes reading </w:t>
      </w:r>
      <w:r>
        <w:rPr>
          <w:rFonts w:cs="Times New Roman"/>
          <w:sz w:val="28"/>
        </w:rPr>
        <w:t>theory</w:t>
      </w:r>
      <w:r w:rsidRPr="00466EB8">
        <w:rPr>
          <w:rFonts w:cs="Times New Roman"/>
          <w:sz w:val="28"/>
        </w:rPr>
        <w:t xml:space="preserve"> which detracts from substantive clash</w:t>
      </w:r>
    </w:p>
    <w:p w14:paraId="6AE9BFE2" w14:textId="77777777" w:rsidR="00060C41" w:rsidRPr="00466EB8" w:rsidRDefault="00060C41" w:rsidP="00060C41">
      <w:pPr>
        <w:pStyle w:val="Heading4"/>
        <w:rPr>
          <w:rFonts w:cs="Times New Roman"/>
          <w:sz w:val="28"/>
        </w:rPr>
      </w:pPr>
      <w:r w:rsidRPr="00466EB8">
        <w:rPr>
          <w:rFonts w:cs="Times New Roman"/>
          <w:sz w:val="28"/>
        </w:rPr>
        <w:t>2. Over-punishing—otherwise you vote on a tiny amount of abuse—kills proportionality which is the definition of fairness</w:t>
      </w:r>
    </w:p>
    <w:p w14:paraId="24732A74" w14:textId="77777777" w:rsidR="00060C41" w:rsidRPr="00466EB8" w:rsidRDefault="00060C41" w:rsidP="00060C41">
      <w:pPr>
        <w:pStyle w:val="Heading4"/>
        <w:rPr>
          <w:rFonts w:cs="Times New Roman"/>
          <w:sz w:val="28"/>
        </w:rPr>
      </w:pPr>
      <w:r w:rsidRPr="00466EB8">
        <w:rPr>
          <w:rFonts w:cs="Times New Roman"/>
          <w:sz w:val="28"/>
        </w:rPr>
        <w:t xml:space="preserve">Arbitrariness inevitable—there’s no objective way to judge rights vs. death, reps vs. consequences, etc. so it’s best to intervene in a way that reduces the asinine nature of LD theory </w:t>
      </w:r>
    </w:p>
    <w:p w14:paraId="36BE1329" w14:textId="77777777" w:rsidR="00060C41" w:rsidRPr="0029326B" w:rsidRDefault="00060C41" w:rsidP="0029326B"/>
    <w:sectPr w:rsidR="00060C41" w:rsidRPr="002932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BB3365"/>
    <w:multiLevelType w:val="hybridMultilevel"/>
    <w:tmpl w:val="6D8855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15273"/>
    <w:multiLevelType w:val="hybridMultilevel"/>
    <w:tmpl w:val="0CEC3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6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C41"/>
    <w:rsid w:val="000638C1"/>
    <w:rsid w:val="00065FEE"/>
    <w:rsid w:val="00066E3C"/>
    <w:rsid w:val="00072718"/>
    <w:rsid w:val="00073597"/>
    <w:rsid w:val="0007381E"/>
    <w:rsid w:val="00076094"/>
    <w:rsid w:val="0008785F"/>
    <w:rsid w:val="00090CBE"/>
    <w:rsid w:val="00094DEC"/>
    <w:rsid w:val="000A2D8A"/>
    <w:rsid w:val="000C11C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D53"/>
    <w:rsid w:val="001C316D"/>
    <w:rsid w:val="001D1A0D"/>
    <w:rsid w:val="001D36BF"/>
    <w:rsid w:val="001D4C28"/>
    <w:rsid w:val="001E0B1F"/>
    <w:rsid w:val="001E0C0F"/>
    <w:rsid w:val="001E1E0B"/>
    <w:rsid w:val="001F1173"/>
    <w:rsid w:val="001F3FCF"/>
    <w:rsid w:val="002005A8"/>
    <w:rsid w:val="00203DD8"/>
    <w:rsid w:val="00204E1D"/>
    <w:rsid w:val="002059BD"/>
    <w:rsid w:val="00207FD8"/>
    <w:rsid w:val="00210FAF"/>
    <w:rsid w:val="00213B1E"/>
    <w:rsid w:val="00215284"/>
    <w:rsid w:val="002168F2"/>
    <w:rsid w:val="0022589F"/>
    <w:rsid w:val="002343FE"/>
    <w:rsid w:val="00235F7B"/>
    <w:rsid w:val="002502CF"/>
    <w:rsid w:val="002651DC"/>
    <w:rsid w:val="00267EBB"/>
    <w:rsid w:val="0027023B"/>
    <w:rsid w:val="00272F3F"/>
    <w:rsid w:val="00274EDB"/>
    <w:rsid w:val="0027729E"/>
    <w:rsid w:val="002843B2"/>
    <w:rsid w:val="00284ED6"/>
    <w:rsid w:val="00290C5A"/>
    <w:rsid w:val="00290C92"/>
    <w:rsid w:val="0029326B"/>
    <w:rsid w:val="0029647A"/>
    <w:rsid w:val="00296504"/>
    <w:rsid w:val="002B0B4A"/>
    <w:rsid w:val="002B5511"/>
    <w:rsid w:val="002B7ACF"/>
    <w:rsid w:val="002C471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811"/>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13"/>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5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1E0"/>
    <w:rsid w:val="006379E9"/>
    <w:rsid w:val="006438CB"/>
    <w:rsid w:val="006529B9"/>
    <w:rsid w:val="00654695"/>
    <w:rsid w:val="0065500A"/>
    <w:rsid w:val="00655217"/>
    <w:rsid w:val="0065727C"/>
    <w:rsid w:val="00674A78"/>
    <w:rsid w:val="00696A16"/>
    <w:rsid w:val="006A4840"/>
    <w:rsid w:val="006A52A0"/>
    <w:rsid w:val="006A67EC"/>
    <w:rsid w:val="006A7E1D"/>
    <w:rsid w:val="006C3A56"/>
    <w:rsid w:val="006D13F4"/>
    <w:rsid w:val="006D6AED"/>
    <w:rsid w:val="006E6D0B"/>
    <w:rsid w:val="006F126E"/>
    <w:rsid w:val="006F32C9"/>
    <w:rsid w:val="006F3834"/>
    <w:rsid w:val="006F5693"/>
    <w:rsid w:val="006F5D4C"/>
    <w:rsid w:val="00715D1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C0F"/>
    <w:rsid w:val="00890E4C"/>
    <w:rsid w:val="00890E74"/>
    <w:rsid w:val="00892798"/>
    <w:rsid w:val="0089418F"/>
    <w:rsid w:val="00897C29"/>
    <w:rsid w:val="008A1A9C"/>
    <w:rsid w:val="008A4633"/>
    <w:rsid w:val="008B032E"/>
    <w:rsid w:val="008B7354"/>
    <w:rsid w:val="008C0FA2"/>
    <w:rsid w:val="008C2342"/>
    <w:rsid w:val="008C77B6"/>
    <w:rsid w:val="008D1B91"/>
    <w:rsid w:val="008D724A"/>
    <w:rsid w:val="008E7A3E"/>
    <w:rsid w:val="008F41FD"/>
    <w:rsid w:val="008F4479"/>
    <w:rsid w:val="008F4BA0"/>
    <w:rsid w:val="00901726"/>
    <w:rsid w:val="00920E6A"/>
    <w:rsid w:val="00931816"/>
    <w:rsid w:val="00932C71"/>
    <w:rsid w:val="00934DB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2BF"/>
    <w:rsid w:val="00A8674A"/>
    <w:rsid w:val="00A96E24"/>
    <w:rsid w:val="00AA6F6E"/>
    <w:rsid w:val="00AB122B"/>
    <w:rsid w:val="00AB21B0"/>
    <w:rsid w:val="00AB48D3"/>
    <w:rsid w:val="00AB68B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361C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572"/>
    <w:rsid w:val="00CA013C"/>
    <w:rsid w:val="00CA6D6D"/>
    <w:rsid w:val="00CC7A4E"/>
    <w:rsid w:val="00CD1359"/>
    <w:rsid w:val="00CD4C83"/>
    <w:rsid w:val="00D01EDC"/>
    <w:rsid w:val="00D078AA"/>
    <w:rsid w:val="00D078C7"/>
    <w:rsid w:val="00D10058"/>
    <w:rsid w:val="00D11978"/>
    <w:rsid w:val="00D1410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4BE"/>
    <w:rsid w:val="00D80F0C"/>
    <w:rsid w:val="00D92077"/>
    <w:rsid w:val="00D951E2"/>
    <w:rsid w:val="00D9565A"/>
    <w:rsid w:val="00DA086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A9B"/>
    <w:rsid w:val="00E47013"/>
    <w:rsid w:val="00E541F9"/>
    <w:rsid w:val="00E57B79"/>
    <w:rsid w:val="00E63419"/>
    <w:rsid w:val="00E64496"/>
    <w:rsid w:val="00E72115"/>
    <w:rsid w:val="00E8322E"/>
    <w:rsid w:val="00E903E0"/>
    <w:rsid w:val="00E9720F"/>
    <w:rsid w:val="00EA1115"/>
    <w:rsid w:val="00EA39EB"/>
    <w:rsid w:val="00EA58CE"/>
    <w:rsid w:val="00EB33FF"/>
    <w:rsid w:val="00EB3B1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51A"/>
    <w:rsid w:val="00F1313D"/>
    <w:rsid w:val="00F201E7"/>
    <w:rsid w:val="00F204E0"/>
    <w:rsid w:val="00F20B16"/>
    <w:rsid w:val="00F21C79"/>
    <w:rsid w:val="00F238C9"/>
    <w:rsid w:val="00F23CA5"/>
    <w:rsid w:val="00F277AA"/>
    <w:rsid w:val="00F31955"/>
    <w:rsid w:val="00F34C06"/>
    <w:rsid w:val="00F42FD6"/>
    <w:rsid w:val="00F43EA3"/>
    <w:rsid w:val="00F50C55"/>
    <w:rsid w:val="00F57FFB"/>
    <w:rsid w:val="00F601E6"/>
    <w:rsid w:val="00F73954"/>
    <w:rsid w:val="00F7657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16ABC"/>
  <w14:defaultImageDpi w14:val="300"/>
  <w15:docId w15:val="{752ED4B4-F55E-4744-8A76-D82FABE11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5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35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5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35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0735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5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597"/>
  </w:style>
  <w:style w:type="character" w:customStyle="1" w:styleId="Heading1Char">
    <w:name w:val="Heading 1 Char"/>
    <w:aliases w:val="Pocket Char"/>
    <w:basedOn w:val="DefaultParagraphFont"/>
    <w:link w:val="Heading1"/>
    <w:uiPriority w:val="9"/>
    <w:rsid w:val="000735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59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7359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735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359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07359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735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359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073597"/>
    <w:rPr>
      <w:color w:val="auto"/>
      <w:u w:val="none"/>
    </w:rPr>
  </w:style>
  <w:style w:type="paragraph" w:styleId="DocumentMap">
    <w:name w:val="Document Map"/>
    <w:basedOn w:val="Normal"/>
    <w:link w:val="DocumentMapChar"/>
    <w:uiPriority w:val="99"/>
    <w:semiHidden/>
    <w:unhideWhenUsed/>
    <w:rsid w:val="000735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597"/>
    <w:rPr>
      <w:rFonts w:ascii="Lucida Grande" w:hAnsi="Lucida Grande" w:cs="Lucida Grande"/>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
    <w:basedOn w:val="Heading1"/>
    <w:link w:val="Hyperlink"/>
    <w:autoRedefine/>
    <w:uiPriority w:val="99"/>
    <w:qFormat/>
    <w:rsid w:val="00F765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EB3B1F"/>
    <w:pPr>
      <w:ind w:left="720"/>
      <w:contextualSpacing/>
    </w:pPr>
  </w:style>
  <w:style w:type="paragraph" w:styleId="NormalWeb">
    <w:name w:val="Normal (Web)"/>
    <w:basedOn w:val="Normal"/>
    <w:uiPriority w:val="99"/>
    <w:semiHidden/>
    <w:unhideWhenUsed/>
    <w:rsid w:val="0029326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2B0B4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961162">
      <w:bodyDiv w:val="1"/>
      <w:marLeft w:val="0"/>
      <w:marRight w:val="0"/>
      <w:marTop w:val="0"/>
      <w:marBottom w:val="0"/>
      <w:divBdr>
        <w:top w:val="none" w:sz="0" w:space="0" w:color="auto"/>
        <w:left w:val="none" w:sz="0" w:space="0" w:color="auto"/>
        <w:bottom w:val="none" w:sz="0" w:space="0" w:color="auto"/>
        <w:right w:val="none" w:sz="0" w:space="0" w:color="auto"/>
      </w:divBdr>
    </w:div>
    <w:div w:id="2020765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noldventures.org/stories/evergreening-stunts-competition-costs-consumers-and-taxpay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mj.sagepub.com/content/8/4/293.abstract" TargetMode="External"/><Relationship Id="rId5" Type="http://schemas.openxmlformats.org/officeDocument/2006/relationships/numbering" Target="numbering.xml"/><Relationship Id="rId10"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doi.org/10.4337/9781800885349.0001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6808</Words>
  <Characters>38807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33</cp:revision>
  <dcterms:created xsi:type="dcterms:W3CDTF">2021-09-25T23:48:00Z</dcterms:created>
  <dcterms:modified xsi:type="dcterms:W3CDTF">2021-09-26T00:53:00Z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