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BD7F0" w14:textId="485024A7" w:rsidR="003F065D" w:rsidRDefault="003F065D" w:rsidP="00C91068">
      <w:pPr>
        <w:pStyle w:val="Heading2"/>
      </w:pPr>
      <w:r>
        <w:t>1</w:t>
      </w:r>
    </w:p>
    <w:p w14:paraId="0114C3DC" w14:textId="77777777" w:rsidR="00A91986" w:rsidRPr="002F5AEC" w:rsidRDefault="00A91986" w:rsidP="00A91986">
      <w:pPr>
        <w:pStyle w:val="Heading3"/>
      </w:pPr>
      <w:r w:rsidRPr="002F5AEC">
        <w:lastRenderedPageBreak/>
        <w:t>Extra T</w:t>
      </w:r>
    </w:p>
    <w:p w14:paraId="14AA8A45" w14:textId="77777777" w:rsidR="00A91986" w:rsidRPr="002F5AEC" w:rsidRDefault="00A91986" w:rsidP="00A91986">
      <w:pPr>
        <w:pStyle w:val="Heading4"/>
      </w:pPr>
      <w:r w:rsidRPr="002F5AEC">
        <w:t xml:space="preserve">Interp and violation – recognize means to acknowledge. Any further governmental action by the aff is extra t </w:t>
      </w:r>
    </w:p>
    <w:p w14:paraId="6D872725" w14:textId="77777777" w:rsidR="00A91986" w:rsidRPr="002F5AEC" w:rsidRDefault="00A91986" w:rsidP="00A91986">
      <w:pPr>
        <w:rPr>
          <w:sz w:val="16"/>
        </w:rPr>
      </w:pPr>
      <w:r w:rsidRPr="002F5AEC">
        <w:rPr>
          <w:rStyle w:val="Style13ptBold"/>
        </w:rPr>
        <w:t>Merriam Webster ND</w:t>
      </w:r>
      <w:r w:rsidRPr="002F5AEC">
        <w:rPr>
          <w:sz w:val="16"/>
        </w:rPr>
        <w:t xml:space="preserve"> Merriam Webster, “recognize”, </w:t>
      </w:r>
      <w:hyperlink r:id="rId9" w:history="1">
        <w:r w:rsidRPr="002F5AEC">
          <w:rPr>
            <w:rStyle w:val="Hyperlink"/>
            <w:sz w:val="16"/>
          </w:rPr>
          <w:t>https://www.merriam-webster.com/dictionary/recognize</w:t>
        </w:r>
      </w:hyperlink>
      <w:r w:rsidRPr="002F5AEC">
        <w:rPr>
          <w:sz w:val="16"/>
        </w:rPr>
        <w:t xml:space="preserve"> DD AG</w:t>
      </w:r>
    </w:p>
    <w:p w14:paraId="74F5B6FA" w14:textId="77777777" w:rsidR="00A91986" w:rsidRPr="002F5AEC" w:rsidRDefault="00A91986" w:rsidP="00A91986">
      <w:pPr>
        <w:rPr>
          <w:sz w:val="16"/>
        </w:rPr>
      </w:pPr>
      <w:r w:rsidRPr="002F5AEC">
        <w:rPr>
          <w:sz w:val="16"/>
        </w:rPr>
        <w:t xml:space="preserve">: </w:t>
      </w:r>
      <w:r w:rsidRPr="002F5AEC">
        <w:rPr>
          <w:rStyle w:val="Style13ptBold"/>
          <w:highlight w:val="green"/>
        </w:rPr>
        <w:t>to acknowledge formally</w:t>
      </w:r>
      <w:r w:rsidRPr="002F5AEC">
        <w:rPr>
          <w:sz w:val="16"/>
        </w:rPr>
        <w:t>: such as</w:t>
      </w:r>
    </w:p>
    <w:p w14:paraId="11799912" w14:textId="77777777" w:rsidR="00A91986" w:rsidRPr="002F5AEC" w:rsidRDefault="00A91986" w:rsidP="00A91986">
      <w:pPr>
        <w:rPr>
          <w:sz w:val="16"/>
        </w:rPr>
      </w:pPr>
      <w:r w:rsidRPr="002F5AEC">
        <w:rPr>
          <w:sz w:val="16"/>
        </w:rPr>
        <w:t>a: to admit as being lord or sovereign</w:t>
      </w:r>
    </w:p>
    <w:p w14:paraId="00F211F2" w14:textId="77777777" w:rsidR="00A91986" w:rsidRPr="002F5AEC" w:rsidRDefault="00A91986" w:rsidP="00A91986">
      <w:pPr>
        <w:rPr>
          <w:sz w:val="16"/>
        </w:rPr>
      </w:pPr>
      <w:r w:rsidRPr="002F5AEC">
        <w:rPr>
          <w:sz w:val="16"/>
        </w:rPr>
        <w:t>b: to admit as being of a particular status</w:t>
      </w:r>
    </w:p>
    <w:p w14:paraId="61A7328D" w14:textId="77777777" w:rsidR="00A91986" w:rsidRPr="002F5AEC" w:rsidRDefault="00A91986" w:rsidP="00A91986">
      <w:pPr>
        <w:rPr>
          <w:sz w:val="16"/>
        </w:rPr>
      </w:pPr>
      <w:r w:rsidRPr="002F5AEC">
        <w:rPr>
          <w:sz w:val="16"/>
        </w:rPr>
        <w:t>c: to admit as being one entitled to be heard : give the floor to</w:t>
      </w:r>
    </w:p>
    <w:p w14:paraId="664B298E" w14:textId="77777777" w:rsidR="00A91986" w:rsidRDefault="00A91986" w:rsidP="00A91986">
      <w:pPr>
        <w:rPr>
          <w:sz w:val="16"/>
        </w:rPr>
      </w:pPr>
      <w:r w:rsidRPr="002F5AEC">
        <w:rPr>
          <w:sz w:val="16"/>
        </w:rPr>
        <w:t>d: to acknowledge the de facto existence or the independence of</w:t>
      </w:r>
    </w:p>
    <w:p w14:paraId="6C862C30" w14:textId="77777777" w:rsidR="00A91986" w:rsidRPr="002F5AEC" w:rsidRDefault="00A91986" w:rsidP="00A91986">
      <w:pPr>
        <w:pStyle w:val="Heading4"/>
      </w:pPr>
      <w:r>
        <w:t>Standards</w:t>
      </w:r>
    </w:p>
    <w:p w14:paraId="725A1416" w14:textId="77777777" w:rsidR="00A91986" w:rsidRPr="002F5AEC" w:rsidRDefault="00A91986" w:rsidP="00A91986">
      <w:pPr>
        <w:pStyle w:val="Heading4"/>
      </w:pPr>
      <w:r w:rsidRPr="002F5AEC">
        <w:t>1] Limits and ground – Affs that don’t defend legal protections for strikes justify infinite affs that fiat anything from aid for strikes to a white house statement that gain offense off perception and explode neg prep burden.  Independently decks core neg ground because the aff is barely a shift from the squo and we lose DA links.</w:t>
      </w:r>
      <w:r>
        <w:t xml:space="preserve"> </w:t>
      </w:r>
    </w:p>
    <w:p w14:paraId="04C18A81" w14:textId="77777777" w:rsidR="00A91986" w:rsidRPr="002F5AEC" w:rsidRDefault="00A91986" w:rsidP="00A91986">
      <w:pPr>
        <w:pStyle w:val="Heading4"/>
      </w:pPr>
      <w:r w:rsidRPr="002F5AEC">
        <w:t>2] Precision – by not using recognize, they shift the goalposts and justify arbitrarily jettisoning words in the rez or shifting words like recognize to concede – best case they’re totally non topical, worst case, they’re extra t for specifying beyond the bounds of the rez</w:t>
      </w:r>
    </w:p>
    <w:p w14:paraId="49C7B0FF" w14:textId="77777777" w:rsidR="003F065D" w:rsidRPr="003F065D" w:rsidRDefault="003F065D" w:rsidP="003F065D"/>
    <w:p w14:paraId="3B83F028" w14:textId="70DEE9C4" w:rsidR="003F065D" w:rsidRPr="003F065D" w:rsidRDefault="003F065D" w:rsidP="003F065D">
      <w:pPr>
        <w:pStyle w:val="Heading4"/>
      </w:pPr>
      <w:r>
        <w:t>Topicality should be a voting issue evaluated through competing interpretations—reasonability invites arbitrary judge intervention that takes the debate out of the hands of the debaters. Pre-round prep has already been skewed which means the only remedy is to drop the debater.</w:t>
      </w:r>
    </w:p>
    <w:p w14:paraId="45984FB6" w14:textId="7D13C00E" w:rsidR="00C91068" w:rsidRPr="00C91068" w:rsidRDefault="003F065D" w:rsidP="00C91068">
      <w:pPr>
        <w:pStyle w:val="Heading2"/>
      </w:pPr>
      <w:r>
        <w:lastRenderedPageBreak/>
        <w:t>2</w:t>
      </w:r>
    </w:p>
    <w:p w14:paraId="5A70330F" w14:textId="0238516C" w:rsidR="00C91068" w:rsidRPr="00D671F4" w:rsidRDefault="00C91068" w:rsidP="00C91068">
      <w:pPr>
        <w:pStyle w:val="Heading4"/>
      </w:pPr>
      <w:r>
        <w:t xml:space="preserve">The right to strike is a </w:t>
      </w:r>
      <w:r>
        <w:rPr>
          <w:u w:val="single"/>
        </w:rPr>
        <w:t>dangerous fantasy</w:t>
      </w:r>
      <w:r>
        <w:t xml:space="preserve"> antithetical to </w:t>
      </w:r>
      <w:r w:rsidRPr="00CD6EA4">
        <w:rPr>
          <w:u w:val="single"/>
        </w:rPr>
        <w:t>any effective deployment</w:t>
      </w:r>
      <w:r>
        <w:t xml:space="preserve"> of labor power</w:t>
      </w:r>
    </w:p>
    <w:p w14:paraId="1D63B1D3" w14:textId="77777777" w:rsidR="00C91068" w:rsidRPr="007D5E1F" w:rsidRDefault="00C91068" w:rsidP="00C91068">
      <w:pPr>
        <w:rPr>
          <w:rStyle w:val="StyleUnderline"/>
          <w:b/>
          <w:sz w:val="16"/>
          <w:u w:val="none"/>
        </w:rPr>
      </w:pPr>
      <w:r>
        <w:rPr>
          <w:rStyle w:val="Style13ptBold"/>
        </w:rPr>
        <w:t>White 18</w:t>
      </w:r>
      <w:r w:rsidRPr="007D5E1F">
        <w:t xml:space="preserve"> </w:t>
      </w:r>
      <w:r>
        <w:t>– Ahmed White (</w:t>
      </w:r>
      <w:r w:rsidRPr="007D5E1F">
        <w:t>Nicholas Rosenbaum Professor of Law, University of Colorado-Boulder</w:t>
      </w:r>
      <w:r>
        <w:t xml:space="preserve">), </w:t>
      </w:r>
      <w:r w:rsidRPr="007D5E1F">
        <w:t>Its Own Dubious Battle: The Impossible Defense of an Effective Right to Strike</w:t>
      </w:r>
      <w:r>
        <w:t xml:space="preserve">, 2018, </w:t>
      </w:r>
      <w:r w:rsidRPr="007D5E1F">
        <w:t>2018 Wis. L. Rev. 1065</w:t>
      </w:r>
      <w:r>
        <w:t xml:space="preserve"> </w:t>
      </w:r>
      <w:r w:rsidRPr="007D5E1F">
        <w:t>https://scholar.law.colorado.edu/cgi/viewcontent.cgi?article=2369&amp;context=articles</w:t>
      </w:r>
      <w:r>
        <w:t xml:space="preserve"> WJ</w:t>
      </w:r>
    </w:p>
    <w:p w14:paraId="14A9AA4C" w14:textId="77777777" w:rsidR="00C91068" w:rsidRPr="00D671F4" w:rsidRDefault="00C91068" w:rsidP="00C91068">
      <w:pPr>
        <w:rPr>
          <w:rStyle w:val="Emphasis"/>
        </w:rPr>
      </w:pPr>
      <w:r w:rsidRPr="00CB6EB2">
        <w:rPr>
          <w:rStyle w:val="StyleUnderline"/>
        </w:rPr>
        <w:t>One of the most important statutes ever enacted, the National Labor Relations Act envisaged the right to strike as the centerpiece of a system of labor law whose central aims included dramatically diminishing the pervasive exploitation and steep inequality that are endemic to modern capitalism</w:t>
      </w:r>
      <w:r w:rsidRPr="00CB6EB2">
        <w:rPr>
          <w:sz w:val="16"/>
        </w:rPr>
        <w:t xml:space="preserve">. </w:t>
      </w:r>
      <w:r w:rsidRPr="00CB6EB2">
        <w:rPr>
          <w:rStyle w:val="Emphasis"/>
        </w:rPr>
        <w:t>These goals have never been more relevant</w:t>
      </w:r>
      <w:r w:rsidRPr="00CB6EB2">
        <w:rPr>
          <w:sz w:val="16"/>
        </w:rPr>
        <w:t xml:space="preserve">. But they have proved difficult to realize via the labor law, in large part because </w:t>
      </w:r>
      <w:r w:rsidRPr="00D671F4">
        <w:rPr>
          <w:rStyle w:val="StyleUnderline"/>
          <w:highlight w:val="yellow"/>
        </w:rPr>
        <w:t>an effective right to strike has long been elusive</w:t>
      </w:r>
      <w:r w:rsidRPr="00CB6EB2">
        <w:rPr>
          <w:rStyle w:val="StyleUnderline"/>
        </w:rPr>
        <w:t>, undermined by courts, Congress, the NLRB, and powerful elements of the business community</w:t>
      </w:r>
      <w:r w:rsidRPr="00CB6EB2">
        <w:rPr>
          <w:sz w:val="16"/>
        </w:rPr>
        <w:t xml:space="preserve">. Recognizing this, </w:t>
      </w:r>
      <w:r w:rsidRPr="00CB6EB2">
        <w:rPr>
          <w:rStyle w:val="StyleUnderline"/>
        </w:rPr>
        <w:t xml:space="preserve">labor </w:t>
      </w:r>
      <w:r w:rsidRPr="00D671F4">
        <w:rPr>
          <w:rStyle w:val="StyleUnderline"/>
          <w:highlight w:val="yellow"/>
        </w:rPr>
        <w:t>scholars have made the restoration</w:t>
      </w:r>
      <w:r w:rsidRPr="00CB6EB2">
        <w:rPr>
          <w:rStyle w:val="StyleUnderline"/>
        </w:rPr>
        <w:t xml:space="preserve"> of the right to strike </w:t>
      </w:r>
      <w:r w:rsidRPr="00D671F4">
        <w:rPr>
          <w:rStyle w:val="StyleUnderline"/>
          <w:highlight w:val="yellow"/>
        </w:rPr>
        <w:t>a cornerstone of</w:t>
      </w:r>
      <w:r w:rsidRPr="00CB6EB2">
        <w:rPr>
          <w:rStyle w:val="StyleUnderline"/>
        </w:rPr>
        <w:t xml:space="preserve"> labor law </w:t>
      </w:r>
      <w:r w:rsidRPr="00D671F4">
        <w:rPr>
          <w:rStyle w:val="StyleUnderline"/>
          <w:highlight w:val="yellow"/>
        </w:rPr>
        <w:t>scholarship</w:t>
      </w:r>
      <w:r w:rsidRPr="00CB6EB2">
        <w:rPr>
          <w:sz w:val="16"/>
        </w:rPr>
        <w:t xml:space="preserve">. Authorities in the field have developed an impressive literature that stresses the importance of strikes and strongly criticizes the arguments that judges, legislators, and others have used to justify their degradation of the right to strike. But </w:t>
      </w:r>
      <w:r w:rsidRPr="00CB6EB2">
        <w:rPr>
          <w:rStyle w:val="Emphasis"/>
        </w:rPr>
        <w:t xml:space="preserve">this literature has developed </w:t>
      </w:r>
      <w:r w:rsidRPr="00D671F4">
        <w:rPr>
          <w:rStyle w:val="Emphasis"/>
          <w:highlight w:val="yellow"/>
        </w:rPr>
        <w:t>without</w:t>
      </w:r>
      <w:r w:rsidRPr="00CB6EB2">
        <w:rPr>
          <w:rStyle w:val="Emphasis"/>
        </w:rPr>
        <w:t xml:space="preserve"> its authors </w:t>
      </w:r>
      <w:r w:rsidRPr="00D671F4">
        <w:rPr>
          <w:rStyle w:val="Emphasis"/>
          <w:highlight w:val="yellow"/>
        </w:rPr>
        <w:t>ever answering</w:t>
      </w:r>
      <w:r w:rsidRPr="00CB6EB2">
        <w:rPr>
          <w:rStyle w:val="Emphasis"/>
        </w:rPr>
        <w:t xml:space="preserve"> a fundamental question, which is </w:t>
      </w:r>
      <w:r w:rsidRPr="00D671F4">
        <w:rPr>
          <w:rStyle w:val="Emphasis"/>
          <w:highlight w:val="yellow"/>
        </w:rPr>
        <w:t>whether an effective right to strike is a viable aspiration</w:t>
      </w:r>
      <w:r w:rsidRPr="00CB6EB2">
        <w:rPr>
          <w:rStyle w:val="Emphasis"/>
        </w:rPr>
        <w:t xml:space="preserve"> in the first place</w:t>
      </w:r>
      <w:r w:rsidRPr="00CB6EB2">
        <w:rPr>
          <w:sz w:val="16"/>
        </w:rPr>
        <w:t xml:space="preserve">. This Article takes up this question. It documents the crucial role that strikes have played in building the labor movement, legitimating the labor law itself, and indeed validating the New Deal and, with this, the modern administrative state; and </w:t>
      </w:r>
      <w:r w:rsidRPr="00CB6EB2">
        <w:rPr>
          <w:rStyle w:val="StyleUnderline"/>
        </w:rPr>
        <w:t>it confirms the integral role that strikes play in contesting the corrosive power capitalism accords employers over the workplace and the spoils of production</w:t>
      </w:r>
      <w:r w:rsidRPr="00CB6EB2">
        <w:rPr>
          <w:sz w:val="16"/>
        </w:rPr>
        <w:t xml:space="preserve">. But this Article also shows how </w:t>
      </w:r>
      <w:r w:rsidRPr="00CB6EB2">
        <w:rPr>
          <w:rStyle w:val="StyleUnderline"/>
        </w:rPr>
        <w:t xml:space="preserve">the </w:t>
      </w:r>
      <w:r w:rsidRPr="00D671F4">
        <w:rPr>
          <w:rStyle w:val="StyleUnderline"/>
          <w:highlight w:val="yellow"/>
        </w:rPr>
        <w:t>strikes that were effective in</w:t>
      </w:r>
      <w:r w:rsidRPr="00CB6EB2">
        <w:rPr>
          <w:rStyle w:val="StyleUnderline"/>
        </w:rPr>
        <w:t xml:space="preserve"> these </w:t>
      </w:r>
      <w:r w:rsidRPr="00D671F4">
        <w:rPr>
          <w:rStyle w:val="StyleUnderline"/>
          <w:highlight w:val="yellow"/>
        </w:rPr>
        <w:t xml:space="preserve">crucial ways were not </w:t>
      </w:r>
      <w:r w:rsidRPr="00D671F4">
        <w:rPr>
          <w:rStyle w:val="Emphasis"/>
          <w:highlight w:val="yellow"/>
        </w:rPr>
        <w:t>conventional strikes</w:t>
      </w:r>
      <w:r w:rsidRPr="00CB6EB2">
        <w:rPr>
          <w:sz w:val="16"/>
        </w:rPr>
        <w:t xml:space="preserve">, </w:t>
      </w:r>
      <w:r w:rsidRPr="00CB6EB2">
        <w:rPr>
          <w:rStyle w:val="StyleUnderline"/>
        </w:rPr>
        <w:t>limited to the simple withholding of labor and the advertisement of workers’ grievances</w:t>
      </w:r>
      <w:r w:rsidRPr="00CB6EB2">
        <w:rPr>
          <w:sz w:val="16"/>
        </w:rPr>
        <w:t xml:space="preserve">. Instead, </w:t>
      </w:r>
      <w:r w:rsidRPr="00D671F4">
        <w:rPr>
          <w:rStyle w:val="StyleUnderline"/>
          <w:highlight w:val="yellow"/>
        </w:rPr>
        <w:t>they inevitably embraced disorderly, coercive tactics</w:t>
      </w:r>
      <w:r w:rsidRPr="00CB6EB2">
        <w:rPr>
          <w:rStyle w:val="StyleUnderline"/>
        </w:rPr>
        <w:t xml:space="preserve"> like mass picketing and sit-down strikes to a degree </w:t>
      </w:r>
      <w:r w:rsidRPr="00D671F4">
        <w:rPr>
          <w:rStyle w:val="StyleUnderline"/>
          <w:highlight w:val="yellow"/>
        </w:rPr>
        <w:t>that suggests that</w:t>
      </w:r>
      <w:r w:rsidRPr="00CB6EB2">
        <w:rPr>
          <w:rStyle w:val="StyleUnderline"/>
        </w:rPr>
        <w:t xml:space="preserve"> tactics such as </w:t>
      </w:r>
      <w:r w:rsidRPr="00D671F4">
        <w:rPr>
          <w:rStyle w:val="Emphasis"/>
          <w:highlight w:val="yellow"/>
        </w:rPr>
        <w:t>these are</w:t>
      </w:r>
      <w:r w:rsidRPr="00CB6EB2">
        <w:rPr>
          <w:rStyle w:val="Emphasis"/>
        </w:rPr>
        <w:t xml:space="preserve"> indeed </w:t>
      </w:r>
      <w:r w:rsidRPr="00D671F4">
        <w:rPr>
          <w:rStyle w:val="Emphasis"/>
          <w:highlight w:val="yellow"/>
        </w:rPr>
        <w:t>essential if strikes are to be effective</w:t>
      </w:r>
      <w:r w:rsidRPr="00CB6EB2">
        <w:rPr>
          <w:sz w:val="16"/>
        </w:rPr>
        <w:t xml:space="preserve">. </w:t>
      </w:r>
      <w:r w:rsidRPr="00D671F4">
        <w:rPr>
          <w:rStyle w:val="StyleUnderline"/>
          <w:highlight w:val="yellow"/>
        </w:rPr>
        <w:t>Yet strikes that have featured these tactics</w:t>
      </w:r>
      <w:r w:rsidRPr="00CB6EB2">
        <w:rPr>
          <w:rStyle w:val="StyleUnderline"/>
        </w:rPr>
        <w:t xml:space="preserve"> have </w:t>
      </w:r>
      <w:r w:rsidRPr="00D671F4">
        <w:rPr>
          <w:rStyle w:val="StyleUnderline"/>
          <w:highlight w:val="yellow"/>
        </w:rPr>
        <w:t>never enjoyed any legitimacy beyond the ranks of labor</w:t>
      </w:r>
      <w:r w:rsidRPr="00CB6EB2">
        <w:rPr>
          <w:rStyle w:val="StyleUnderline"/>
        </w:rPr>
        <w:t>, radical activists, and academic sympathizers</w:t>
      </w:r>
      <w:r w:rsidRPr="00CB6EB2">
        <w:rPr>
          <w:sz w:val="16"/>
        </w:rPr>
        <w:t xml:space="preserve">. </w:t>
      </w:r>
      <w:r w:rsidRPr="00D671F4">
        <w:rPr>
          <w:rStyle w:val="StyleUnderline"/>
          <w:highlight w:val="yellow"/>
        </w:rPr>
        <w:t>Their inherent affronts to property and public order place them well beyond</w:t>
      </w:r>
      <w:r w:rsidRPr="00D671F4">
        <w:rPr>
          <w:rStyle w:val="StyleUnderline"/>
        </w:rPr>
        <w:t xml:space="preserve"> the purview of what could ever constitute a viable legal right in liberal society; and they have been treated accordingly by </w:t>
      </w:r>
      <w:r w:rsidRPr="00D671F4">
        <w:rPr>
          <w:rStyle w:val="StyleUnderline"/>
          <w:highlight w:val="yellow"/>
        </w:rPr>
        <w:t>courts, Congress, and other elite authorities</w:t>
      </w:r>
      <w:r w:rsidRPr="00CB6EB2">
        <w:rPr>
          <w:sz w:val="16"/>
        </w:rPr>
        <w:t xml:space="preserve">. From this vantage, </w:t>
      </w:r>
      <w:r w:rsidRPr="00CB6EB2">
        <w:rPr>
          <w:rStyle w:val="StyleUnderline"/>
        </w:rPr>
        <w:t xml:space="preserve">it becomes clear that </w:t>
      </w:r>
      <w:r w:rsidRPr="00D671F4">
        <w:rPr>
          <w:rStyle w:val="StyleUnderline"/>
          <w:highlight w:val="yellow"/>
        </w:rPr>
        <w:t>an effective right to strike is</w:t>
      </w:r>
      <w:r w:rsidRPr="00CB6EB2">
        <w:rPr>
          <w:rStyle w:val="StyleUnderline"/>
        </w:rPr>
        <w:t xml:space="preserve"> </w:t>
      </w:r>
      <w:r w:rsidRPr="00D671F4">
        <w:rPr>
          <w:rStyle w:val="StyleUnderline"/>
          <w:highlight w:val="yellow"/>
        </w:rPr>
        <w:t xml:space="preserve">not only an </w:t>
      </w:r>
      <w:r w:rsidRPr="00D671F4">
        <w:rPr>
          <w:rStyle w:val="Emphasis"/>
          <w:highlight w:val="yellow"/>
        </w:rPr>
        <w:t>impossible distraction</w:t>
      </w:r>
      <w:r w:rsidRPr="00D671F4">
        <w:rPr>
          <w:rStyle w:val="StyleUnderline"/>
          <w:highlight w:val="yellow"/>
        </w:rPr>
        <w:t xml:space="preserve"> but a </w:t>
      </w:r>
      <w:r w:rsidRPr="00D671F4">
        <w:rPr>
          <w:rStyle w:val="Emphasis"/>
          <w:highlight w:val="yellow"/>
        </w:rPr>
        <w:t>dangerous fantasy</w:t>
      </w:r>
      <w:r w:rsidRPr="00D671F4">
        <w:rPr>
          <w:rStyle w:val="StyleUnderline"/>
          <w:highlight w:val="yellow"/>
        </w:rPr>
        <w:t xml:space="preserve"> that prevents labor’s champions from confronting</w:t>
      </w:r>
      <w:r w:rsidRPr="00CB6EB2">
        <w:rPr>
          <w:rStyle w:val="StyleUnderline"/>
        </w:rPr>
        <w:t xml:space="preserve"> the broader, sobering truths </w:t>
      </w:r>
      <w:r w:rsidRPr="00D671F4">
        <w:rPr>
          <w:rStyle w:val="StyleUnderline"/>
          <w:highlight w:val="yellow"/>
        </w:rPr>
        <w:t>that this country’s legal and political system are</w:t>
      </w:r>
      <w:r w:rsidRPr="00CB6EB2">
        <w:rPr>
          <w:rStyle w:val="StyleUnderline"/>
        </w:rPr>
        <w:t xml:space="preserve">, at root, </w:t>
      </w:r>
      <w:r w:rsidRPr="00D671F4">
        <w:rPr>
          <w:rStyle w:val="StyleUnderline"/>
          <w:highlight w:val="yellow"/>
        </w:rPr>
        <w:t>anathema to a truly viable system of labor rights</w:t>
      </w:r>
      <w:r w:rsidRPr="00CB6EB2">
        <w:rPr>
          <w:rStyle w:val="StyleUnderline"/>
        </w:rPr>
        <w:t xml:space="preserve"> and that </w:t>
      </w:r>
      <w:r w:rsidRPr="00D671F4">
        <w:rPr>
          <w:rStyle w:val="Emphasis"/>
          <w:highlight w:val="yellow"/>
        </w:rPr>
        <w:t>labor’s salvation must be sought elsewhere.</w:t>
      </w:r>
    </w:p>
    <w:p w14:paraId="4BF6D364" w14:textId="77777777" w:rsidR="00C91068" w:rsidRPr="007D5E1F" w:rsidRDefault="00C91068" w:rsidP="00C91068">
      <w:pPr>
        <w:pStyle w:val="Heading4"/>
      </w:pPr>
      <w:r>
        <w:t>Their approach results in elitist and top-down unionism -- it legitimizes the judicial state and crushes movements</w:t>
      </w:r>
    </w:p>
    <w:p w14:paraId="57187C7E" w14:textId="77777777" w:rsidR="00C91068" w:rsidRPr="007D5E1F" w:rsidRDefault="00C91068" w:rsidP="00C91068">
      <w:pPr>
        <w:rPr>
          <w:sz w:val="16"/>
        </w:rPr>
      </w:pPr>
      <w:r w:rsidRPr="007D5E1F">
        <w:rPr>
          <w:rStyle w:val="Style13ptBold"/>
        </w:rPr>
        <w:t>Walchuk 11</w:t>
      </w:r>
      <w:r w:rsidRPr="007D5E1F">
        <w:rPr>
          <w:sz w:val="16"/>
        </w:rPr>
        <w:t xml:space="preserve"> -- Brad Walchuk (York University, Canada), Union Democracy and Labour Rights: A Cautionary Tale, Global Labour Journal Vol. 2 No. 2: May 2011, https://mulpress.mcmaster.ca/globallabour/article/view/1099 WJ</w:t>
      </w:r>
    </w:p>
    <w:p w14:paraId="616CCD75" w14:textId="77777777" w:rsidR="00C91068" w:rsidRPr="007D5E1F" w:rsidRDefault="00C91068" w:rsidP="00C91068">
      <w:pPr>
        <w:rPr>
          <w:sz w:val="16"/>
        </w:rPr>
      </w:pPr>
      <w:r w:rsidRPr="00D671F4">
        <w:rPr>
          <w:rStyle w:val="StyleUnderline"/>
          <w:highlight w:val="yellow"/>
        </w:rPr>
        <w:t>Despite a wealth of literature</w:t>
      </w:r>
      <w:r w:rsidRPr="007D5E1F">
        <w:rPr>
          <w:rStyle w:val="StyleUnderline"/>
        </w:rPr>
        <w:t xml:space="preserve"> that is </w:t>
      </w:r>
      <w:r w:rsidRPr="00D671F4">
        <w:rPr>
          <w:rStyle w:val="StyleUnderline"/>
          <w:highlight w:val="yellow"/>
        </w:rPr>
        <w:t>critical of constructing labour rights</w:t>
      </w:r>
      <w:r w:rsidRPr="007D5E1F">
        <w:rPr>
          <w:rStyle w:val="StyleUnderline"/>
        </w:rPr>
        <w:t xml:space="preserve"> as human rights </w:t>
      </w:r>
      <w:r w:rsidRPr="00D671F4">
        <w:rPr>
          <w:rStyle w:val="StyleUnderline"/>
          <w:highlight w:val="yellow"/>
        </w:rPr>
        <w:t>and the</w:t>
      </w:r>
      <w:r w:rsidRPr="007D5E1F">
        <w:rPr>
          <w:rStyle w:val="StyleUnderline"/>
        </w:rPr>
        <w:t xml:space="preserve"> accompanying </w:t>
      </w:r>
      <w:r w:rsidRPr="00D671F4">
        <w:rPr>
          <w:rStyle w:val="StyleUnderline"/>
          <w:highlight w:val="yellow"/>
        </w:rPr>
        <w:t>judiciali</w:t>
      </w:r>
      <w:r w:rsidRPr="007D5E1F">
        <w:rPr>
          <w:rStyle w:val="StyleUnderline"/>
        </w:rPr>
        <w:t xml:space="preserve">zed </w:t>
      </w:r>
      <w:r w:rsidRPr="00D671F4">
        <w:rPr>
          <w:rStyle w:val="StyleUnderline"/>
          <w:highlight w:val="yellow"/>
        </w:rPr>
        <w:t>strategy required</w:t>
      </w:r>
      <w:r w:rsidRPr="007D5E1F">
        <w:rPr>
          <w:rStyle w:val="StyleUnderline"/>
        </w:rPr>
        <w:t xml:space="preserve"> to achieve this, the discussion of the </w:t>
      </w:r>
      <w:r w:rsidRPr="00D671F4">
        <w:rPr>
          <w:rStyle w:val="StyleUnderline"/>
          <w:highlight w:val="yellow"/>
        </w:rPr>
        <w:t>effects</w:t>
      </w:r>
      <w:r w:rsidRPr="007D5E1F">
        <w:rPr>
          <w:rStyle w:val="StyleUnderline"/>
        </w:rPr>
        <w:t xml:space="preserve"> of such a strategy </w:t>
      </w:r>
      <w:r w:rsidRPr="00D671F4">
        <w:rPr>
          <w:rStyle w:val="StyleUnderline"/>
          <w:highlight w:val="yellow"/>
        </w:rPr>
        <w:t>on</w:t>
      </w:r>
      <w:r w:rsidRPr="007D5E1F">
        <w:rPr>
          <w:rStyle w:val="StyleUnderline"/>
        </w:rPr>
        <w:t xml:space="preserve"> the </w:t>
      </w:r>
      <w:r w:rsidRPr="00D671F4">
        <w:rPr>
          <w:rStyle w:val="StyleUnderline"/>
          <w:highlight w:val="yellow"/>
        </w:rPr>
        <w:t>capacity building and</w:t>
      </w:r>
      <w:r w:rsidRPr="007D5E1F">
        <w:rPr>
          <w:rStyle w:val="StyleUnderline"/>
        </w:rPr>
        <w:t xml:space="preserve"> mobilization of the labour movement’s </w:t>
      </w:r>
      <w:r w:rsidRPr="00D671F4">
        <w:rPr>
          <w:rStyle w:val="StyleUnderline"/>
          <w:highlight w:val="yellow"/>
        </w:rPr>
        <w:t>grassroots</w:t>
      </w:r>
      <w:r w:rsidRPr="007D5E1F">
        <w:rPr>
          <w:rStyle w:val="StyleUnderline"/>
        </w:rPr>
        <w:t xml:space="preserve">, </w:t>
      </w:r>
      <w:r w:rsidRPr="00D671F4">
        <w:rPr>
          <w:rStyle w:val="StyleUnderline"/>
          <w:highlight w:val="yellow"/>
        </w:rPr>
        <w:lastRenderedPageBreak/>
        <w:t>rank-and- file</w:t>
      </w:r>
      <w:r w:rsidRPr="007D5E1F">
        <w:rPr>
          <w:rStyle w:val="StyleUnderline"/>
        </w:rPr>
        <w:t xml:space="preserve"> </w:t>
      </w:r>
      <w:r w:rsidRPr="00D671F4">
        <w:rPr>
          <w:rStyle w:val="StyleUnderline"/>
          <w:highlight w:val="yellow"/>
        </w:rPr>
        <w:t>members has been downplayed</w:t>
      </w:r>
      <w:r w:rsidRPr="007D5E1F">
        <w:rPr>
          <w:sz w:val="16"/>
        </w:rPr>
        <w:t xml:space="preserve">. Consequently, this essay seeks to fill the void and analyze in considerable detail the long-term effects of rights-based strategy on rank-and-file activism. Although some discussion of the effects of rights-based strategy on rank-and-file democracy has occurred, it has been done largely in passing and with evidence that is non-existent or, at best, anecdotal. For example, Joseph McCartin, in contrasting the rise of pre-war unionism based on industrial democracy and contemporary unionism based on rights-discourse, maintains that ‘...the [pre-war] demand for industrial democracy helped counter the tendency of unions to follow the “iron law of oligarchy...”’ adding that ‘it is [now] difficult to imagine how rights talk can foster this democratic spirit’ (McCartin 2005: 64). Viewed in this light, </w:t>
      </w:r>
      <w:r w:rsidRPr="00D671F4">
        <w:rPr>
          <w:rStyle w:val="StyleUnderline"/>
          <w:highlight w:val="yellow"/>
        </w:rPr>
        <w:t>a union renewal</w:t>
      </w:r>
      <w:r w:rsidRPr="007D5E1F">
        <w:rPr>
          <w:rStyle w:val="StyleUnderline"/>
        </w:rPr>
        <w:t xml:space="preserve"> strategy </w:t>
      </w:r>
      <w:r w:rsidRPr="00D671F4">
        <w:rPr>
          <w:rStyle w:val="StyleUnderline"/>
          <w:highlight w:val="yellow"/>
        </w:rPr>
        <w:t>based upon</w:t>
      </w:r>
      <w:r w:rsidRPr="007D5E1F">
        <w:rPr>
          <w:rStyle w:val="StyleUnderline"/>
        </w:rPr>
        <w:t xml:space="preserve"> constructing </w:t>
      </w:r>
      <w:r w:rsidRPr="00D671F4">
        <w:rPr>
          <w:rStyle w:val="StyleUnderline"/>
          <w:highlight w:val="yellow"/>
        </w:rPr>
        <w:t>labour rights</w:t>
      </w:r>
      <w:r w:rsidRPr="007D5E1F">
        <w:rPr>
          <w:rStyle w:val="StyleUnderline"/>
        </w:rPr>
        <w:t xml:space="preserve"> as human rights </w:t>
      </w:r>
      <w:r w:rsidRPr="00D671F4">
        <w:rPr>
          <w:rStyle w:val="StyleUnderline"/>
          <w:highlight w:val="yellow"/>
        </w:rPr>
        <w:t>privileges a bureaucratic form of unionism</w:t>
      </w:r>
      <w:r w:rsidRPr="007D5E1F">
        <w:rPr>
          <w:sz w:val="16"/>
        </w:rPr>
        <w:t xml:space="preserve">, thus </w:t>
      </w:r>
      <w:r w:rsidRPr="00D671F4">
        <w:rPr>
          <w:rStyle w:val="Emphasis"/>
          <w:highlight w:val="yellow"/>
        </w:rPr>
        <w:t>shifting the emphasis from democratic</w:t>
      </w:r>
      <w:r w:rsidRPr="007D5E1F">
        <w:rPr>
          <w:rStyle w:val="Emphasis"/>
        </w:rPr>
        <w:t xml:space="preserve"> rank-and-file </w:t>
      </w:r>
      <w:r w:rsidRPr="00D671F4">
        <w:rPr>
          <w:rStyle w:val="Emphasis"/>
          <w:highlight w:val="yellow"/>
        </w:rPr>
        <w:t>activism to top-down</w:t>
      </w:r>
      <w:r w:rsidRPr="007D5E1F">
        <w:rPr>
          <w:rStyle w:val="Emphasis"/>
        </w:rPr>
        <w:t xml:space="preserve"> leader-driven </w:t>
      </w:r>
      <w:r w:rsidRPr="00D671F4">
        <w:rPr>
          <w:rStyle w:val="Emphasis"/>
          <w:highlight w:val="yellow"/>
        </w:rPr>
        <w:t>unionism</w:t>
      </w:r>
      <w:r w:rsidRPr="007D5E1F">
        <w:rPr>
          <w:sz w:val="16"/>
        </w:rPr>
        <w:t xml:space="preserve">. As a result, it is suggested that </w:t>
      </w:r>
      <w:r w:rsidRPr="00D671F4">
        <w:rPr>
          <w:rStyle w:val="StyleUnderline"/>
          <w:highlight w:val="yellow"/>
        </w:rPr>
        <w:t>unions will succumb to</w:t>
      </w:r>
      <w:r w:rsidRPr="007D5E1F">
        <w:rPr>
          <w:rStyle w:val="StyleUnderline"/>
        </w:rPr>
        <w:t xml:space="preserve"> the iron law of </w:t>
      </w:r>
      <w:r w:rsidRPr="00D671F4">
        <w:rPr>
          <w:rStyle w:val="StyleUnderline"/>
          <w:highlight w:val="yellow"/>
        </w:rPr>
        <w:t>oligarchy by relying too heavily on rights</w:t>
      </w:r>
      <w:r w:rsidRPr="007D5E1F">
        <w:rPr>
          <w:rStyle w:val="StyleUnderline"/>
        </w:rPr>
        <w:t>- based strategy</w:t>
      </w:r>
      <w:r w:rsidRPr="007D5E1F">
        <w:rPr>
          <w:sz w:val="16"/>
        </w:rPr>
        <w:t>.1</w:t>
      </w:r>
    </w:p>
    <w:p w14:paraId="2612D99F" w14:textId="77777777" w:rsidR="00C91068" w:rsidRPr="007D5E1F" w:rsidRDefault="00C91068" w:rsidP="00C91068">
      <w:pPr>
        <w:rPr>
          <w:sz w:val="16"/>
        </w:rPr>
      </w:pPr>
      <w:r w:rsidRPr="007D5E1F">
        <w:rPr>
          <w:sz w:val="16"/>
        </w:rPr>
        <w:t>Similarly, in a cautioning account of the effects of the rise of rights discourse within the labour movement, Nelson Lichtenstein argues that ‘</w:t>
      </w:r>
      <w:r w:rsidRPr="007D5E1F">
        <w:rPr>
          <w:rStyle w:val="StyleUnderline"/>
        </w:rPr>
        <w:t>the spread of employee rights has suffered through its necessary dependence upon professional, governmental expertise’</w:t>
      </w:r>
      <w:r w:rsidRPr="007D5E1F">
        <w:rPr>
          <w:sz w:val="16"/>
        </w:rPr>
        <w:t xml:space="preserve"> (Lichtenstein 2003: 71). For labour rights to be actualized, </w:t>
      </w:r>
      <w:r w:rsidRPr="007D5E1F">
        <w:rPr>
          <w:rStyle w:val="StyleUnderline"/>
        </w:rPr>
        <w:t xml:space="preserve">rank-and-file </w:t>
      </w:r>
      <w:r w:rsidRPr="00D671F4">
        <w:rPr>
          <w:rStyle w:val="StyleUnderline"/>
          <w:highlight w:val="yellow"/>
        </w:rPr>
        <w:t>workers are forced to</w:t>
      </w:r>
      <w:r w:rsidRPr="007D5E1F">
        <w:rPr>
          <w:rStyle w:val="StyleUnderline"/>
        </w:rPr>
        <w:t xml:space="preserve"> </w:t>
      </w:r>
      <w:r w:rsidRPr="00D671F4">
        <w:rPr>
          <w:rStyle w:val="StyleUnderline"/>
          <w:highlight w:val="yellow"/>
        </w:rPr>
        <w:t>rely on</w:t>
      </w:r>
      <w:r w:rsidRPr="007D5E1F">
        <w:rPr>
          <w:rStyle w:val="StyleUnderline"/>
        </w:rPr>
        <w:t xml:space="preserve"> union </w:t>
      </w:r>
      <w:r w:rsidRPr="00D671F4">
        <w:rPr>
          <w:rStyle w:val="StyleUnderline"/>
          <w:highlight w:val="yellow"/>
        </w:rPr>
        <w:t>bureaucrats</w:t>
      </w:r>
      <w:r w:rsidRPr="007D5E1F">
        <w:rPr>
          <w:rStyle w:val="StyleUnderline"/>
        </w:rPr>
        <w:t xml:space="preserve"> – especially labour lawyers </w:t>
      </w:r>
      <w:r w:rsidRPr="00D671F4">
        <w:rPr>
          <w:rStyle w:val="StyleUnderline"/>
          <w:highlight w:val="yellow"/>
        </w:rPr>
        <w:t>– as opposed to</w:t>
      </w:r>
      <w:r w:rsidRPr="007D5E1F">
        <w:rPr>
          <w:rStyle w:val="StyleUnderline"/>
        </w:rPr>
        <w:t xml:space="preserve"> their own </w:t>
      </w:r>
      <w:r w:rsidRPr="00D671F4">
        <w:rPr>
          <w:rStyle w:val="StyleUnderline"/>
          <w:highlight w:val="yellow"/>
        </w:rPr>
        <w:t>active participation</w:t>
      </w:r>
      <w:r w:rsidRPr="007D5E1F">
        <w:rPr>
          <w:sz w:val="16"/>
        </w:rPr>
        <w:t>. ‘</w:t>
      </w:r>
      <w:r w:rsidRPr="00D671F4">
        <w:rPr>
          <w:rStyle w:val="Emphasis"/>
          <w:highlight w:val="yellow"/>
        </w:rPr>
        <w:t>Rights</w:t>
      </w:r>
      <w:r w:rsidRPr="007D5E1F">
        <w:rPr>
          <w:rStyle w:val="Emphasis"/>
        </w:rPr>
        <w:t xml:space="preserve"> consciousness’, he continues, ‘...</w:t>
      </w:r>
      <w:r w:rsidRPr="00D671F4">
        <w:rPr>
          <w:rStyle w:val="Emphasis"/>
          <w:highlight w:val="yellow"/>
        </w:rPr>
        <w:t>transfers authority into the hands of another body</w:t>
      </w:r>
      <w:r w:rsidRPr="007D5E1F">
        <w:rPr>
          <w:rStyle w:val="Emphasis"/>
        </w:rPr>
        <w:t>...to sort out the various claims and strike the approximate balance’</w:t>
      </w:r>
      <w:r w:rsidRPr="007D5E1F">
        <w:rPr>
          <w:sz w:val="16"/>
        </w:rPr>
        <w:t xml:space="preserve"> (Lichtenstein 2003: 71). </w:t>
      </w:r>
      <w:r w:rsidRPr="007D5E1F">
        <w:rPr>
          <w:rStyle w:val="StyleUnderline"/>
        </w:rPr>
        <w:t xml:space="preserve">While rights-discourse may lead to meaningful ends for rank-and-file workers, </w:t>
      </w:r>
      <w:r w:rsidRPr="00D671F4">
        <w:rPr>
          <w:rStyle w:val="StyleUnderline"/>
          <w:highlight w:val="yellow"/>
        </w:rPr>
        <w:t>the means used</w:t>
      </w:r>
      <w:r w:rsidRPr="007D5E1F">
        <w:rPr>
          <w:rStyle w:val="StyleUnderline"/>
        </w:rPr>
        <w:t xml:space="preserve"> to achieve those ends </w:t>
      </w:r>
      <w:r w:rsidRPr="00D671F4">
        <w:rPr>
          <w:rStyle w:val="Emphasis"/>
          <w:highlight w:val="yellow"/>
        </w:rPr>
        <w:t>do little to foster a sense of activism</w:t>
      </w:r>
      <w:r w:rsidRPr="007D5E1F">
        <w:rPr>
          <w:rStyle w:val="Emphasis"/>
        </w:rPr>
        <w:t xml:space="preserve"> amongst workers or to facilitate their capacity buildi</w:t>
      </w:r>
      <w:r w:rsidRPr="007D5E1F">
        <w:rPr>
          <w:rStyle w:val="StyleUnderline"/>
        </w:rPr>
        <w:t>ng</w:t>
      </w:r>
      <w:r w:rsidRPr="007D5E1F">
        <w:rPr>
          <w:sz w:val="16"/>
        </w:rPr>
        <w:t>. Lichtenstein aptly concludes that ‘justice is served, but not always democratic participation’ (2003: 71).</w:t>
      </w:r>
    </w:p>
    <w:p w14:paraId="3C33739E" w14:textId="77777777" w:rsidR="00C91068" w:rsidRPr="007D5E1F" w:rsidRDefault="00C91068" w:rsidP="00C91068">
      <w:pPr>
        <w:rPr>
          <w:sz w:val="16"/>
        </w:rPr>
      </w:pPr>
      <w:r w:rsidRPr="007D5E1F">
        <w:rPr>
          <w:sz w:val="16"/>
        </w:rPr>
        <w:t xml:space="preserve">While McCartin and Lichenstein draw important conclusions regarding the effects of constructing labour rights as human rights on democratic rank-and-file participation, they do so only in passing as part of a broader normative argument regarding the limitations associated with rights discourse. Furthermore, they cite no evidence of labour rights campaigns adversely affecting rank-and-file activism and instead present broad generalizations of what they expect to happen under such a construction. While there is considerable merit to their conclusions, they are weakened by sole presence of normative assertions and the absence of empirical evidence. However, the use of both a typology of trade unionism and a concrete case study of a labour-backed, rights-based campaign will strengthen the claim that </w:t>
      </w:r>
      <w:r w:rsidRPr="00D671F4">
        <w:rPr>
          <w:rStyle w:val="StyleUnderline"/>
          <w:highlight w:val="yellow"/>
        </w:rPr>
        <w:t>constructing labour rights</w:t>
      </w:r>
      <w:r w:rsidRPr="007D5E1F">
        <w:rPr>
          <w:rStyle w:val="StyleUnderline"/>
        </w:rPr>
        <w:t xml:space="preserve"> as human rights </w:t>
      </w:r>
      <w:r w:rsidRPr="00D671F4">
        <w:rPr>
          <w:rStyle w:val="StyleUnderline"/>
          <w:highlight w:val="yellow"/>
        </w:rPr>
        <w:t>prevents</w:t>
      </w:r>
      <w:r w:rsidRPr="007D5E1F">
        <w:rPr>
          <w:rStyle w:val="StyleUnderline"/>
        </w:rPr>
        <w:t xml:space="preserve"> the development of a form </w:t>
      </w:r>
      <w:r w:rsidRPr="00D671F4">
        <w:rPr>
          <w:rStyle w:val="StyleUnderline"/>
          <w:highlight w:val="yellow"/>
        </w:rPr>
        <w:t>a more radical</w:t>
      </w:r>
      <w:r w:rsidRPr="007D5E1F">
        <w:rPr>
          <w:rStyle w:val="StyleUnderline"/>
        </w:rPr>
        <w:t xml:space="preserve">, grassroots, rank-and-file led </w:t>
      </w:r>
      <w:r w:rsidRPr="00D671F4">
        <w:rPr>
          <w:rStyle w:val="StyleUnderline"/>
          <w:highlight w:val="yellow"/>
        </w:rPr>
        <w:t>social movement</w:t>
      </w:r>
      <w:r w:rsidRPr="007D5E1F">
        <w:rPr>
          <w:rStyle w:val="StyleUnderline"/>
        </w:rPr>
        <w:t xml:space="preserve"> unionism </w:t>
      </w:r>
      <w:r w:rsidRPr="00D671F4">
        <w:rPr>
          <w:rStyle w:val="StyleUnderline"/>
          <w:highlight w:val="yellow"/>
        </w:rPr>
        <w:t>and</w:t>
      </w:r>
      <w:r w:rsidRPr="007D5E1F">
        <w:rPr>
          <w:rStyle w:val="StyleUnderline"/>
        </w:rPr>
        <w:t xml:space="preserve"> instead </w:t>
      </w:r>
      <w:r w:rsidRPr="00D671F4">
        <w:rPr>
          <w:rStyle w:val="StyleUnderline"/>
          <w:highlight w:val="yellow"/>
        </w:rPr>
        <w:t>facilitates the proliferation of</w:t>
      </w:r>
      <w:r w:rsidRPr="007D5E1F">
        <w:rPr>
          <w:rStyle w:val="StyleUnderline"/>
        </w:rPr>
        <w:t xml:space="preserve"> more </w:t>
      </w:r>
      <w:r w:rsidRPr="00D671F4">
        <w:rPr>
          <w:rStyle w:val="StyleUnderline"/>
          <w:highlight w:val="yellow"/>
        </w:rPr>
        <w:t>hierarchical, elite dominated forms</w:t>
      </w:r>
      <w:r w:rsidRPr="007D5E1F">
        <w:rPr>
          <w:rStyle w:val="StyleUnderline"/>
        </w:rPr>
        <w:t xml:space="preserve"> of trade unionism</w:t>
      </w:r>
      <w:r w:rsidRPr="007D5E1F">
        <w:rPr>
          <w:sz w:val="16"/>
        </w:rPr>
        <w:t>.</w:t>
      </w:r>
    </w:p>
    <w:p w14:paraId="1CE7397C" w14:textId="77777777" w:rsidR="00C91068" w:rsidRPr="00A5328E" w:rsidRDefault="00C91068" w:rsidP="00C91068">
      <w:pPr>
        <w:pStyle w:val="Heading4"/>
        <w:rPr>
          <w:rStyle w:val="Style13ptBold"/>
          <w:rFonts w:cs="Calibri"/>
          <w:b/>
        </w:rPr>
      </w:pPr>
      <w:r>
        <w:rPr>
          <w:rStyle w:val="Style13ptBold"/>
          <w:rFonts w:cs="Calibri"/>
          <w:b/>
        </w:rPr>
        <w:t>Demands for recognition from the judiciary produce</w:t>
      </w:r>
      <w:r w:rsidRPr="00A5328E">
        <w:rPr>
          <w:rStyle w:val="Style13ptBold"/>
          <w:rFonts w:cs="Calibri"/>
          <w:b/>
        </w:rPr>
        <w:t xml:space="preserve"> exclusion from and cooption by whiteness. </w:t>
      </w:r>
      <w:r>
        <w:rPr>
          <w:rStyle w:val="Style13ptBold"/>
          <w:rFonts w:cs="Calibri"/>
          <w:b/>
        </w:rPr>
        <w:t>Their requests cede and reinforce fascist state power.</w:t>
      </w:r>
    </w:p>
    <w:p w14:paraId="6D950FA7" w14:textId="77777777" w:rsidR="00C91068" w:rsidRPr="00A5328E" w:rsidRDefault="00C91068" w:rsidP="00C91068">
      <w:r w:rsidRPr="00A5328E">
        <w:rPr>
          <w:rStyle w:val="Style13ptBold"/>
        </w:rPr>
        <w:t>Weheliye 14</w:t>
      </w:r>
      <w:r w:rsidRPr="00A5328E">
        <w:t xml:space="preserve"> Alexander Weheliye, Professor of African American Studies at Northwestern University, 2014, “Habeas Viscus: Racializing Assemblages, Biopolitics, and Black Feminist Theories of the Human”</w:t>
      </w:r>
    </w:p>
    <w:p w14:paraId="0A86700F" w14:textId="77777777" w:rsidR="00C91068" w:rsidRPr="00A5328E" w:rsidRDefault="00C91068" w:rsidP="00C91068">
      <w:pPr>
        <w:rPr>
          <w:rStyle w:val="Emphasis"/>
        </w:rPr>
      </w:pPr>
      <w:r w:rsidRPr="00A5328E">
        <w:rPr>
          <w:rStyle w:val="Emphasis"/>
        </w:rPr>
        <w:t xml:space="preserve">Nevertheless, the benefits accrued through the </w:t>
      </w:r>
      <w:r w:rsidRPr="00A5328E">
        <w:rPr>
          <w:rStyle w:val="Emphasis"/>
          <w:highlight w:val="green"/>
        </w:rPr>
        <w:t>juridical acknowledgment of racialized subjects as</w:t>
      </w:r>
      <w:r w:rsidRPr="00A5328E">
        <w:rPr>
          <w:rStyle w:val="Emphasis"/>
        </w:rPr>
        <w:t xml:space="preserve"> fully </w:t>
      </w:r>
      <w:r w:rsidRPr="00A5328E">
        <w:rPr>
          <w:rStyle w:val="Emphasis"/>
          <w:highlight w:val="green"/>
        </w:rPr>
        <w:t>human</w:t>
      </w:r>
      <w:r w:rsidRPr="00A5328E">
        <w:rPr>
          <w:rStyle w:val="Emphasis"/>
        </w:rPr>
        <w:t xml:space="preserve"> often exacts a steep entry price, because inclusion </w:t>
      </w:r>
      <w:r w:rsidRPr="00A5328E">
        <w:rPr>
          <w:rStyle w:val="Emphasis"/>
          <w:highlight w:val="green"/>
        </w:rPr>
        <w:t>hinges on</w:t>
      </w:r>
      <w:r w:rsidRPr="00A5328E">
        <w:rPr>
          <w:rStyle w:val="Emphasis"/>
        </w:rPr>
        <w:t xml:space="preserve"> accepting </w:t>
      </w:r>
      <w:r w:rsidRPr="00A5328E">
        <w:rPr>
          <w:rStyle w:val="Emphasis"/>
          <w:highlight w:val="green"/>
        </w:rPr>
        <w:t>the codification of personhood as property</w:t>
      </w:r>
      <w:r w:rsidRPr="00A5328E">
        <w:rPr>
          <w:rStyle w:val="Emphasis"/>
        </w:rPr>
        <w:t xml:space="preserve">, which is, in turn, </w:t>
      </w:r>
      <w:r w:rsidRPr="00A5328E">
        <w:rPr>
          <w:rStyle w:val="Emphasis"/>
          <w:highlight w:val="green"/>
        </w:rPr>
        <w:t>based on the comparative distinction between groups</w:t>
      </w:r>
      <w:r w:rsidRPr="00A5328E">
        <w:rPr>
          <w:rStyle w:val="Emphasis"/>
        </w:rPr>
        <w:t>, as in one of the best-known court cases in U.S. history: the Dred Scott case</w:t>
      </w:r>
      <w:r w:rsidRPr="00A5328E">
        <w:t xml:space="preserve">. In 1857, the Supreme Court invalidated Dred Scott’s habeas corpus, since, as an escaped slave, Scott could not be a legal person. According to Chief Jus- tice Taney: “Dred Scott is not a citizen of the State of Missouri, as alleged in his declaration, because he is a negro of African descent; his ancestors were of pure African blood, and were brought into this country and sold as negro slaves.”8 </w:t>
      </w:r>
      <w:r w:rsidRPr="00A5328E">
        <w:rPr>
          <w:rStyle w:val="Emphasis"/>
        </w:rPr>
        <w:t xml:space="preserve">In order to justify withdrawing Dred Scott’s legal right to ownership </w:t>
      </w:r>
      <w:r w:rsidRPr="00A5328E">
        <w:rPr>
          <w:rStyle w:val="Emphasis"/>
        </w:rPr>
        <w:lastRenderedPageBreak/>
        <w:t>of self, Chief Justice Taney’s opinion in the decision contrasts the status of black subjects with the legal position of Native Americans</w:t>
      </w:r>
      <w:r w:rsidRPr="00A5328E">
        <w:t xml:space="preserve"> vis- à-vis the possibility of U.S. citizenship and personhood: “The situation of [the negro] population was altogether unlike that of the Indian race. These Indian Governments were regarded and treated as foreign Governments. . . . [Indians] may, without doubt, like the subjects of any other foreign Govern- ment, be naturalized . . . and become citizens of a State, and of the United States; and if an individual should leave his nation or tribe, and take up his abode among the white population, he would be entitled to all the rights and privileges which would belong to an emigrant from any other foreign peo- ple.”9 </w:t>
      </w:r>
      <w:r w:rsidRPr="00A5328E">
        <w:rPr>
          <w:rStyle w:val="Emphasis"/>
        </w:rPr>
        <w:t xml:space="preserve">While slaves were not accorded the status of being humans that be- longed to a different nation, </w:t>
      </w:r>
      <w:r w:rsidRPr="00A5328E">
        <w:rPr>
          <w:rStyle w:val="Emphasis"/>
          <w:highlight w:val="green"/>
        </w:rPr>
        <w:t>Indians could</w:t>
      </w:r>
      <w:r w:rsidRPr="00A5328E">
        <w:rPr>
          <w:rStyle w:val="Emphasis"/>
        </w:rPr>
        <w:t xml:space="preserve"> theoretically </w:t>
      </w:r>
      <w:r w:rsidRPr="00A5328E">
        <w:rPr>
          <w:rStyle w:val="Emphasis"/>
          <w:highlight w:val="green"/>
        </w:rPr>
        <w:t>overcome</w:t>
      </w:r>
      <w:r w:rsidRPr="00A5328E">
        <w:rPr>
          <w:rStyle w:val="Emphasis"/>
        </w:rPr>
        <w:t xml:space="preserve"> their law- ful </w:t>
      </w:r>
      <w:r w:rsidRPr="00A5328E">
        <w:rPr>
          <w:rStyle w:val="Emphasis"/>
          <w:highlight w:val="green"/>
        </w:rPr>
        <w:t>foreignness</w:t>
      </w:r>
      <w:r w:rsidRPr="00A5328E">
        <w:rPr>
          <w:rStyle w:val="Emphasis"/>
        </w:rPr>
        <w:t xml:space="preserve">, but only </w:t>
      </w:r>
      <w:r w:rsidRPr="00A5328E">
        <w:rPr>
          <w:rStyle w:val="Emphasis"/>
          <w:highlight w:val="green"/>
        </w:rPr>
        <w:t>if they renounced previous forms of personhood and citizenship</w:t>
      </w:r>
      <w:r w:rsidRPr="00A5328E">
        <w:t xml:space="preserve">. </w:t>
      </w:r>
      <w:r w:rsidRPr="00A5328E">
        <w:rPr>
          <w:rStyle w:val="Emphasis"/>
        </w:rPr>
        <w:t xml:space="preserve">Hence, </w:t>
      </w:r>
      <w:r w:rsidRPr="00A5328E">
        <w:rPr>
          <w:rStyle w:val="Emphasis"/>
          <w:highlight w:val="green"/>
        </w:rPr>
        <w:t>the tabula rasa of whiteness</w:t>
      </w:r>
      <w:r w:rsidRPr="00A5328E">
        <w:rPr>
          <w:rStyle w:val="Emphasis"/>
        </w:rPr>
        <w:t>—</w:t>
      </w:r>
      <w:r w:rsidRPr="00A5328E">
        <w:rPr>
          <w:rStyle w:val="Emphasis"/>
          <w:highlight w:val="green"/>
        </w:rPr>
        <w:t>which all groups but blacks can access</w:t>
      </w:r>
      <w:r w:rsidRPr="00A5328E">
        <w:rPr>
          <w:rStyle w:val="Emphasis"/>
        </w:rPr>
        <w:t>—</w:t>
      </w:r>
      <w:r w:rsidRPr="00A5328E">
        <w:rPr>
          <w:rStyle w:val="Emphasis"/>
          <w:highlight w:val="green"/>
        </w:rPr>
        <w:t xml:space="preserve">serves as the prerequisite </w:t>
      </w:r>
      <w:r w:rsidRPr="00A5328E">
        <w:rPr>
          <w:rStyle w:val="Emphasis"/>
        </w:rPr>
        <w:t>for the law’s magical tran- substantiation of a thing to be possessed into a property-owning subject</w:t>
      </w:r>
      <w:r w:rsidRPr="00A5328E">
        <w:t xml:space="preserve">.10 </w:t>
      </w:r>
      <w:r w:rsidRPr="00A5328E">
        <w:rPr>
          <w:rStyle w:val="Emphasis"/>
        </w:rPr>
        <w:t xml:space="preserve">The judge’s comparison underscores the dangers of ceding definitions of personhood to the law and of comparing different forms of political subjugation, since hypothetical </w:t>
      </w:r>
      <w:r w:rsidRPr="00A5328E">
        <w:rPr>
          <w:rStyle w:val="Emphasis"/>
          <w:highlight w:val="green"/>
        </w:rPr>
        <w:t>Indian personhood in the law rests on</w:t>
      </w:r>
      <w:r w:rsidRPr="00A5328E">
        <w:rPr>
          <w:rStyle w:val="Emphasis"/>
        </w:rPr>
        <w:t xml:space="preserve"> at- taining </w:t>
      </w:r>
      <w:r w:rsidRPr="00A5328E">
        <w:rPr>
          <w:rStyle w:val="Emphasis"/>
          <w:highlight w:val="green"/>
        </w:rPr>
        <w:t>whiteness and</w:t>
      </w:r>
      <w:r w:rsidRPr="00A5328E">
        <w:rPr>
          <w:rStyle w:val="Emphasis"/>
        </w:rPr>
        <w:t xml:space="preserve"> the violent </w:t>
      </w:r>
      <w:r w:rsidRPr="00A5328E">
        <w:rPr>
          <w:rStyle w:val="Emphasis"/>
          <w:highlight w:val="green"/>
        </w:rPr>
        <w:t>denial of</w:t>
      </w:r>
      <w:r w:rsidRPr="00A5328E">
        <w:rPr>
          <w:rStyle w:val="Emphasis"/>
        </w:rPr>
        <w:t xml:space="preserve"> said status to </w:t>
      </w:r>
      <w:r w:rsidRPr="00A5328E">
        <w:rPr>
          <w:rStyle w:val="Emphasis"/>
          <w:highlight w:val="green"/>
        </w:rPr>
        <w:t>black subjects</w:t>
      </w:r>
      <w:r w:rsidRPr="00A5328E">
        <w:t xml:space="preserve">. Additionally, while the court conceded limited capabilities of personhood to indigenous subjects if they chose to convert to whiteness, it did not pre- vent the U.S. government from instituting various genocidal measures to ensure that American Indians would become white and therefore no lon- ger exist as Indians. In other words, the legal conception of personhood comes with a steep price, as in this instance where being </w:t>
      </w:r>
      <w:r w:rsidRPr="00A5328E">
        <w:rPr>
          <w:rStyle w:val="Emphasis"/>
        </w:rPr>
        <w:t>seemingly granted rights laid the groundwork for the U.S. government’s genocidal policies against Native Americans, since the “racialization of indigenous peoples, especially through the use of blood quantum classification, in particular follows . . . ‘genocidal logic,</w:t>
      </w:r>
      <w:r w:rsidRPr="00A5328E">
        <w:t xml:space="preserve">’ rather than simply a logic of subordination or discrimination,” and as a result “whiteness constitutes a project of dis- appearance for Native peoples rather than signifying privilege.”11 Begin- ning in the nineteenth century the U.S. government instituted a program in which Native American children were forcibly removed from their fami- lies and placed in Christian day and boarding schools, and which sought to civilize children by “killing the Indian to save the man,” representing one of the most significant examples of the violent and legal enforced assimi- lation of Native Americans into U.S. whiteness.12 Though there is no clear causal relationship between Taney’s arguments in the Scott decision and the boarding school initiative, both establish that legal personhood is available to indigenous subjects only if the Indian can be killed—either literally or figuratively—in order to save the world of Man (in this case settler colo- nialism and white supremacy). </w:t>
      </w:r>
      <w:r w:rsidRPr="00A5328E">
        <w:rPr>
          <w:rStyle w:val="Emphasis"/>
        </w:rPr>
        <w:t xml:space="preserve">Furthermore, </w:t>
      </w:r>
      <w:r w:rsidRPr="00A5328E">
        <w:rPr>
          <w:rStyle w:val="Emphasis"/>
          <w:highlight w:val="green"/>
        </w:rPr>
        <w:t>the denial of personhood qua whiteness</w:t>
      </w:r>
      <w:r w:rsidRPr="00A5328E">
        <w:rPr>
          <w:rStyle w:val="Emphasis"/>
        </w:rPr>
        <w:t xml:space="preserve"> to African American subjects does not stand in opposition to the genocidal wages of whiteness bequeathed to indigenous subjects but rather </w:t>
      </w:r>
      <w:r w:rsidRPr="00A5328E">
        <w:rPr>
          <w:rStyle w:val="Emphasis"/>
          <w:highlight w:val="green"/>
        </w:rPr>
        <w:t>represents</w:t>
      </w:r>
      <w:r w:rsidRPr="00A5328E">
        <w:rPr>
          <w:rStyle w:val="Emphasis"/>
        </w:rPr>
        <w:t xml:space="preserve"> different properties of the same </w:t>
      </w:r>
      <w:r w:rsidRPr="00A5328E">
        <w:rPr>
          <w:rStyle w:val="Emphasis"/>
          <w:highlight w:val="green"/>
        </w:rPr>
        <w:t>racializing juridical assemblage that</w:t>
      </w:r>
      <w:r w:rsidRPr="00A5328E">
        <w:rPr>
          <w:rStyle w:val="Emphasis"/>
        </w:rPr>
        <w:t xml:space="preserve"> differentially </w:t>
      </w:r>
      <w:r w:rsidRPr="00A5328E">
        <w:rPr>
          <w:rStyle w:val="Emphasis"/>
          <w:highlight w:val="green"/>
        </w:rPr>
        <w:t>produces</w:t>
      </w:r>
      <w:r w:rsidRPr="00A5328E">
        <w:rPr>
          <w:rStyle w:val="Emphasis"/>
        </w:rPr>
        <w:t xml:space="preserve"> both black and native </w:t>
      </w:r>
      <w:r w:rsidRPr="00A5328E">
        <w:rPr>
          <w:rStyle w:val="Emphasis"/>
          <w:highlight w:val="green"/>
        </w:rPr>
        <w:t>subjects as</w:t>
      </w:r>
      <w:r w:rsidRPr="00A5328E">
        <w:rPr>
          <w:rStyle w:val="Emphasis"/>
        </w:rPr>
        <w:t xml:space="preserve"> aberrations from Man and thus </w:t>
      </w:r>
      <w:r w:rsidRPr="00A5328E">
        <w:rPr>
          <w:rStyle w:val="Emphasis"/>
          <w:highlight w:val="green"/>
        </w:rPr>
        <w:t>not-quite-human</w:t>
      </w:r>
      <w:r w:rsidRPr="00A5328E">
        <w:rPr>
          <w:rStyle w:val="Emphasis"/>
        </w:rPr>
        <w:t>.</w:t>
      </w:r>
      <w:r w:rsidRPr="00A5328E">
        <w:t xml:space="preserve"> The writ of habeas corpus—and the law more generally—anoints those individualized subjects who are deemed deserving with bodies even while this assemblage continually enlists new and/or different groups to exclude, banish, or exterminate from the world of Man. </w:t>
      </w:r>
      <w:r w:rsidRPr="00A5328E">
        <w:rPr>
          <w:rStyle w:val="Emphasis"/>
        </w:rPr>
        <w:t xml:space="preserve">In the end, </w:t>
      </w:r>
      <w:r w:rsidRPr="00A5328E">
        <w:rPr>
          <w:rStyle w:val="Emphasis"/>
          <w:highlight w:val="green"/>
        </w:rPr>
        <w:t>the law,</w:t>
      </w:r>
      <w:r w:rsidRPr="00A5328E">
        <w:rPr>
          <w:rStyle w:val="Emphasis"/>
        </w:rPr>
        <w:t xml:space="preserve"> whether bound by national borders or spanning the globe, establishes an international division of humanity, which grants previously excluded subjects </w:t>
      </w:r>
      <w:r w:rsidRPr="00A5328E">
        <w:rPr>
          <w:rStyle w:val="Emphasis"/>
        </w:rPr>
        <w:lastRenderedPageBreak/>
        <w:t xml:space="preserve">limited access to personhood as property at the same time as it </w:t>
      </w:r>
      <w:r w:rsidRPr="00A5328E">
        <w:rPr>
          <w:rStyle w:val="Emphasis"/>
          <w:highlight w:val="green"/>
        </w:rPr>
        <w:t>fortifies the supremacy of Man</w:t>
      </w:r>
      <w:r w:rsidRPr="00A5328E">
        <w:rPr>
          <w:rStyle w:val="Emphasis"/>
        </w:rPr>
        <w:t xml:space="preserve">.13 </w:t>
      </w:r>
    </w:p>
    <w:p w14:paraId="6285A2A0" w14:textId="77777777" w:rsidR="00C91068" w:rsidRDefault="00C91068" w:rsidP="00C91068">
      <w:pPr>
        <w:pStyle w:val="Heading4"/>
      </w:pPr>
      <w:r>
        <w:t>The alternative refuses rights discourse in favor of militant political power – only our approach can harness the forces behind 20</w:t>
      </w:r>
      <w:r w:rsidRPr="00CC4CF6">
        <w:rPr>
          <w:vertAlign w:val="superscript"/>
        </w:rPr>
        <w:t>th</w:t>
      </w:r>
      <w:r>
        <w:rPr>
          <w:vertAlign w:val="superscript"/>
        </w:rPr>
        <w:t xml:space="preserve"> </w:t>
      </w:r>
      <w:r>
        <w:t>century unionism and ensure democratic protection</w:t>
      </w:r>
    </w:p>
    <w:p w14:paraId="3BBCB04A" w14:textId="77777777" w:rsidR="00C91068" w:rsidRPr="00377286" w:rsidRDefault="00C91068" w:rsidP="00C91068">
      <w:pPr>
        <w:rPr>
          <w:sz w:val="16"/>
        </w:rPr>
      </w:pPr>
      <w:r w:rsidRPr="00377286">
        <w:rPr>
          <w:rStyle w:val="Style13ptBold"/>
        </w:rPr>
        <w:t>McCartin 11</w:t>
      </w:r>
      <w:r w:rsidRPr="00377286">
        <w:rPr>
          <w:sz w:val="16"/>
        </w:rPr>
        <w:t xml:space="preserve"> -- Joseph A. McCartin (Georgetown University), Probing the Limits of Rights Discourse in the Obama Era: A Crossroads for Labor and Liberalism, International Labor and Working-Class History, No. 80 (Fall 2011), pp. 148-160, https://www.jstor.org/stable/41307197?seq=1</w:t>
      </w:r>
      <w:r>
        <w:rPr>
          <w:sz w:val="16"/>
        </w:rPr>
        <w:t xml:space="preserve"> WJ</w:t>
      </w:r>
    </w:p>
    <w:p w14:paraId="50C3CA64" w14:textId="1081A8D7" w:rsidR="00C91068" w:rsidRDefault="00C91068" w:rsidP="00C91068">
      <w:pPr>
        <w:rPr>
          <w:sz w:val="16"/>
        </w:rPr>
      </w:pPr>
      <w:r w:rsidRPr="00CC4CF6">
        <w:rPr>
          <w:sz w:val="16"/>
        </w:rPr>
        <w:t xml:space="preserve">I have argued elsewhere that </w:t>
      </w:r>
      <w:r w:rsidRPr="00CC4CF6">
        <w:rPr>
          <w:rStyle w:val="StyleUnderline"/>
        </w:rPr>
        <w:t>the struggle for industrial democracy played a more salutary role in organizing progressive forces to address the labor question in the early twentieth century than a rights-based formulation of the labor problem would have been able to do</w:t>
      </w:r>
      <w:r w:rsidRPr="00CC4CF6">
        <w:rPr>
          <w:sz w:val="16"/>
        </w:rPr>
        <w:t xml:space="preserve">. </w:t>
      </w:r>
      <w:r w:rsidRPr="00DD4360">
        <w:rPr>
          <w:rStyle w:val="StyleUnderline"/>
          <w:highlight w:val="yellow"/>
        </w:rPr>
        <w:t>By privileging</w:t>
      </w:r>
      <w:r w:rsidRPr="00CC4CF6">
        <w:rPr>
          <w:rStyle w:val="StyleUnderline"/>
        </w:rPr>
        <w:t xml:space="preserve"> the ideal of </w:t>
      </w:r>
      <w:r w:rsidRPr="00DD4360">
        <w:rPr>
          <w:rStyle w:val="StyleUnderline"/>
          <w:highlight w:val="yellow"/>
        </w:rPr>
        <w:t>majority rule rather than workers' rights</w:t>
      </w:r>
      <w:r w:rsidRPr="00CC4CF6">
        <w:rPr>
          <w:sz w:val="16"/>
        </w:rPr>
        <w:t xml:space="preserve">, the concept of </w:t>
      </w:r>
      <w:r w:rsidRPr="00CC4CF6">
        <w:rPr>
          <w:rStyle w:val="StyleUnderline"/>
        </w:rPr>
        <w:t xml:space="preserve">industrial </w:t>
      </w:r>
      <w:r w:rsidRPr="00DD4360">
        <w:rPr>
          <w:rStyle w:val="StyleUnderline"/>
          <w:highlight w:val="yellow"/>
        </w:rPr>
        <w:t>democracy provided a powerful counterweight to</w:t>
      </w:r>
      <w:r w:rsidRPr="00CC4CF6">
        <w:rPr>
          <w:rStyle w:val="StyleUnderline"/>
        </w:rPr>
        <w:t xml:space="preserve"> the </w:t>
      </w:r>
      <w:r w:rsidRPr="00DD4360">
        <w:rPr>
          <w:rStyle w:val="StyleUnderline"/>
          <w:highlight w:val="yellow"/>
        </w:rPr>
        <w:t>individualism</w:t>
      </w:r>
      <w:r w:rsidRPr="00CC4CF6">
        <w:rPr>
          <w:sz w:val="16"/>
        </w:rPr>
        <w:t xml:space="preserve"> which was so deeply rooted in both the culture and the judicial system; </w:t>
      </w:r>
      <w:r w:rsidRPr="00CC4CF6">
        <w:rPr>
          <w:rStyle w:val="StyleUnderline"/>
        </w:rPr>
        <w:t xml:space="preserve">by </w:t>
      </w:r>
      <w:r w:rsidRPr="00DD4360">
        <w:rPr>
          <w:rStyle w:val="StyleUnderline"/>
          <w:highlight w:val="yellow"/>
        </w:rPr>
        <w:t>helping reformers articulate the linkages between the workplace and the state</w:t>
      </w:r>
      <w:r w:rsidRPr="00CC4CF6">
        <w:rPr>
          <w:sz w:val="16"/>
        </w:rPr>
        <w:t xml:space="preserve">, </w:t>
      </w:r>
      <w:r w:rsidRPr="00CC4CF6">
        <w:rPr>
          <w:rStyle w:val="Emphasis"/>
        </w:rPr>
        <w:t>it helped them make the case for the necessity of reform in both arenas of power</w:t>
      </w:r>
      <w:r w:rsidRPr="00CC4CF6">
        <w:rPr>
          <w:sz w:val="16"/>
        </w:rPr>
        <w:t xml:space="preserve">; and by positing the enhancement of democracy as a central goal of labor relations, </w:t>
      </w:r>
      <w:r w:rsidRPr="00CC4CF6">
        <w:rPr>
          <w:rStyle w:val="StyleUnderline"/>
        </w:rPr>
        <w:t>it lent encouragement to workers who sought to make their unions more democratic</w:t>
      </w:r>
      <w:r w:rsidRPr="00CC4CF6">
        <w:rPr>
          <w:sz w:val="16"/>
        </w:rPr>
        <w:t xml:space="preserve">. Industrial democracy was, moreover, a malleable concept, open to appropriation by radicals, reformers, and pure-and-simple trade unionists alike. That framework was not without its own flaws: The majoritarian biases of the industrial democracy ideal proved unsuitable to the task of rooting out systemic discrimination against women and racial minorities. However, </w:t>
      </w:r>
      <w:r w:rsidRPr="00FF6822">
        <w:rPr>
          <w:rStyle w:val="StyleUnderline"/>
          <w:highlight w:val="yellow"/>
        </w:rPr>
        <w:t xml:space="preserve">despite </w:t>
      </w:r>
      <w:r w:rsidRPr="00FF6822">
        <w:rPr>
          <w:rStyle w:val="StyleUnderline"/>
        </w:rPr>
        <w:t xml:space="preserve">these </w:t>
      </w:r>
      <w:r w:rsidRPr="00FF6822">
        <w:rPr>
          <w:rStyle w:val="StyleUnderline"/>
          <w:highlight w:val="yellow"/>
        </w:rPr>
        <w:t>limitations</w:t>
      </w:r>
      <w:r w:rsidRPr="00CC4CF6">
        <w:rPr>
          <w:rStyle w:val="StyleUnderline"/>
        </w:rPr>
        <w:t xml:space="preserve"> the ideal of industrial </w:t>
      </w:r>
      <w:r w:rsidRPr="00FF6822">
        <w:rPr>
          <w:rStyle w:val="StyleUnderline"/>
          <w:highlight w:val="yellow"/>
        </w:rPr>
        <w:t>democracy functioned extraordinarily well</w:t>
      </w:r>
      <w:r w:rsidRPr="00CC4CF6">
        <w:rPr>
          <w:rStyle w:val="StyleUnderline"/>
        </w:rPr>
        <w:t xml:space="preserve"> during its heyday </w:t>
      </w:r>
      <w:r w:rsidRPr="00FF6822">
        <w:rPr>
          <w:rStyle w:val="StyleUnderline"/>
          <w:highlight w:val="yellow"/>
        </w:rPr>
        <w:t>as a concept around which</w:t>
      </w:r>
      <w:r w:rsidRPr="00CC4CF6">
        <w:rPr>
          <w:rStyle w:val="StyleUnderline"/>
        </w:rPr>
        <w:t xml:space="preserve"> liberals and </w:t>
      </w:r>
      <w:r w:rsidRPr="00FF6822">
        <w:rPr>
          <w:rStyle w:val="StyleUnderline"/>
          <w:highlight w:val="yellow"/>
        </w:rPr>
        <w:t>labor could</w:t>
      </w:r>
      <w:r w:rsidRPr="00CC4CF6">
        <w:rPr>
          <w:rStyle w:val="StyleUnderline"/>
        </w:rPr>
        <w:t xml:space="preserve"> pull in </w:t>
      </w:r>
      <w:r w:rsidRPr="00FF6822">
        <w:rPr>
          <w:rStyle w:val="StyleUnderline"/>
          <w:highlight w:val="yellow"/>
        </w:rPr>
        <w:t>harness</w:t>
      </w:r>
      <w:r w:rsidRPr="00CC4CF6">
        <w:rPr>
          <w:rStyle w:val="StyleUnderline"/>
        </w:rPr>
        <w:t xml:space="preserve"> to their mutual advantage</w:t>
      </w:r>
      <w:r w:rsidRPr="00CC4CF6">
        <w:rPr>
          <w:sz w:val="16"/>
        </w:rPr>
        <w:t>.</w:t>
      </w:r>
      <w:r w:rsidRPr="00FF6822">
        <w:rPr>
          <w:rStyle w:val="StyleUnderline"/>
        </w:rPr>
        <w:t xml:space="preserve">35 If the liberals and labor </w:t>
      </w:r>
      <w:r w:rsidRPr="00FF6822">
        <w:rPr>
          <w:rStyle w:val="StyleUnderline"/>
          <w:highlight w:val="yellow"/>
        </w:rPr>
        <w:t>activists of the early twentieth century did not depend upon rights</w:t>
      </w:r>
      <w:r w:rsidRPr="00FF6822">
        <w:rPr>
          <w:rStyle w:val="StyleUnderline"/>
        </w:rPr>
        <w:t xml:space="preserve">-based arguments, </w:t>
      </w:r>
      <w:r w:rsidRPr="00FF6822">
        <w:rPr>
          <w:rStyle w:val="StyleUnderline"/>
          <w:highlight w:val="yellow"/>
        </w:rPr>
        <w:t>there is no reason why</w:t>
      </w:r>
      <w:r w:rsidRPr="00CC4CF6">
        <w:rPr>
          <w:rStyle w:val="StyleUnderline"/>
        </w:rPr>
        <w:t xml:space="preserve"> their </w:t>
      </w:r>
      <w:r w:rsidRPr="00FF6822">
        <w:rPr>
          <w:rStyle w:val="StyleUnderline"/>
          <w:highlight w:val="yellow"/>
        </w:rPr>
        <w:t>present-day heirs must</w:t>
      </w:r>
      <w:r w:rsidRPr="00CC4CF6">
        <w:rPr>
          <w:rStyle w:val="StyleUnderline"/>
        </w:rPr>
        <w:t xml:space="preserve"> depend so heavily upon them</w:t>
      </w:r>
      <w:r w:rsidRPr="00CC4CF6">
        <w:rPr>
          <w:sz w:val="16"/>
        </w:rPr>
        <w:t xml:space="preserve">. Human </w:t>
      </w:r>
      <w:r w:rsidRPr="00FF6822">
        <w:rPr>
          <w:rStyle w:val="StyleUnderline"/>
          <w:highlight w:val="yellow"/>
        </w:rPr>
        <w:t xml:space="preserve">rights appeals </w:t>
      </w:r>
      <w:r w:rsidRPr="00FF6822">
        <w:rPr>
          <w:rStyle w:val="Emphasis"/>
          <w:highlight w:val="yellow"/>
        </w:rPr>
        <w:t>can and should</w:t>
      </w:r>
      <w:r w:rsidRPr="00CC4CF6">
        <w:rPr>
          <w:rStyle w:val="Emphasis"/>
        </w:rPr>
        <w:t xml:space="preserve"> continue to </w:t>
      </w:r>
      <w:r w:rsidRPr="00FF6822">
        <w:rPr>
          <w:rStyle w:val="Emphasis"/>
          <w:highlight w:val="yellow"/>
        </w:rPr>
        <w:t>play an important role</w:t>
      </w:r>
      <w:r w:rsidRPr="00CC4CF6">
        <w:rPr>
          <w:rStyle w:val="StyleUnderline"/>
        </w:rPr>
        <w:t xml:space="preserve"> in the struggle for workers' empowerment</w:t>
      </w:r>
      <w:r w:rsidRPr="00CC4CF6">
        <w:rPr>
          <w:sz w:val="16"/>
        </w:rPr>
        <w:t xml:space="preserve">, especially in international or transnational contexts.36 But </w:t>
      </w:r>
      <w:r w:rsidRPr="00CC4CF6">
        <w:rPr>
          <w:rStyle w:val="StyleUnderline"/>
        </w:rPr>
        <w:t xml:space="preserve">both labor and </w:t>
      </w:r>
      <w:r w:rsidRPr="00FF6822">
        <w:rPr>
          <w:rStyle w:val="StyleUnderline"/>
          <w:highlight w:val="yellow"/>
        </w:rPr>
        <w:t>today's progressives have much to gain</w:t>
      </w:r>
      <w:r w:rsidRPr="00CC4CF6">
        <w:rPr>
          <w:rStyle w:val="StyleUnderline"/>
        </w:rPr>
        <w:t xml:space="preserve"> by </w:t>
      </w:r>
      <w:r w:rsidRPr="00FF6822">
        <w:rPr>
          <w:rStyle w:val="StyleUnderline"/>
          <w:highlight w:val="yellow"/>
        </w:rPr>
        <w:t>developing a framework that reaches beyond rights</w:t>
      </w:r>
      <w:r w:rsidRPr="00CC4CF6">
        <w:rPr>
          <w:rStyle w:val="StyleUnderline"/>
        </w:rPr>
        <w:t xml:space="preserve"> to articulate a vision that references </w:t>
      </w:r>
      <w:r w:rsidRPr="00313B35">
        <w:rPr>
          <w:rStyle w:val="StyleUnderline"/>
        </w:rPr>
        <w:t>to rights</w:t>
      </w:r>
      <w:r w:rsidRPr="00313B35">
        <w:rPr>
          <w:sz w:val="16"/>
        </w:rPr>
        <w:t xml:space="preserve"> </w:t>
      </w:r>
      <w:r w:rsidRPr="00313B35">
        <w:rPr>
          <w:rStyle w:val="StyleUnderline"/>
        </w:rPr>
        <w:t>alone cannot</w:t>
      </w:r>
      <w:r w:rsidRPr="00CC4CF6">
        <w:rPr>
          <w:rStyle w:val="StyleUnderline"/>
        </w:rPr>
        <w:t xml:space="preserve"> evoke</w:t>
      </w:r>
      <w:r w:rsidRPr="00CC4CF6">
        <w:rPr>
          <w:sz w:val="16"/>
        </w:rPr>
        <w:t xml:space="preserve">. What that vision is and how best to articulate it is not yet clear. Nor will we find it in the past. While industrial democracy worked well in its time, it was a product of distinctive circumstances and of a unique historical moment that is long gone: We cannot simply resurrect that dated ideal. But what </w:t>
      </w:r>
      <w:r w:rsidRPr="00CC4CF6">
        <w:rPr>
          <w:rStyle w:val="StyleUnderline"/>
        </w:rPr>
        <w:t>we can do is learn from it and look for our own ways of articulating democratic aspirations</w:t>
      </w:r>
      <w:r w:rsidRPr="00CC4CF6">
        <w:rPr>
          <w:sz w:val="16"/>
        </w:rPr>
        <w:t xml:space="preserve">, just as the demand for industrial democracy once did. </w:t>
      </w:r>
      <w:r w:rsidRPr="00FF6822">
        <w:rPr>
          <w:rStyle w:val="StyleUnderline"/>
          <w:highlight w:val="yellow"/>
        </w:rPr>
        <w:t>We can</w:t>
      </w:r>
      <w:r w:rsidRPr="00CC4CF6">
        <w:rPr>
          <w:rStyle w:val="StyleUnderline"/>
        </w:rPr>
        <w:t xml:space="preserve"> also </w:t>
      </w:r>
      <w:r w:rsidRPr="00FF6822">
        <w:rPr>
          <w:rStyle w:val="StyleUnderline"/>
          <w:highlight w:val="yellow"/>
        </w:rPr>
        <w:t>seek ways to link</w:t>
      </w:r>
      <w:r w:rsidRPr="00CC4CF6">
        <w:rPr>
          <w:rStyle w:val="StyleUnderline"/>
        </w:rPr>
        <w:t xml:space="preserve"> those </w:t>
      </w:r>
      <w:r w:rsidRPr="00FF6822">
        <w:rPr>
          <w:rStyle w:val="StyleUnderline"/>
          <w:highlight w:val="yellow"/>
        </w:rPr>
        <w:t>aspirations with</w:t>
      </w:r>
      <w:r w:rsidRPr="00CC4CF6">
        <w:rPr>
          <w:rStyle w:val="StyleUnderline"/>
        </w:rPr>
        <w:t xml:space="preserve"> the </w:t>
      </w:r>
      <w:r w:rsidRPr="00FF6822">
        <w:rPr>
          <w:rStyle w:val="StyleUnderline"/>
          <w:highlight w:val="yellow"/>
        </w:rPr>
        <w:t>growing desires for transparency, accountability, and sustainability</w:t>
      </w:r>
      <w:r w:rsidRPr="00CC4CF6">
        <w:rPr>
          <w:rStyle w:val="StyleUnderline"/>
        </w:rPr>
        <w:t xml:space="preserve"> that are making themselves felt across the political landscape in inchoate and sometimes contradictory ways, and with the abiding hunger for solidarity and community that acquisitive individualism has yet to extinguish</w:t>
      </w:r>
      <w:r w:rsidRPr="00CC4CF6">
        <w:rPr>
          <w:sz w:val="16"/>
        </w:rPr>
        <w:t xml:space="preserve"> - a hunger that </w:t>
      </w:r>
      <w:r w:rsidRPr="00FF6822">
        <w:rPr>
          <w:rStyle w:val="Emphasis"/>
          <w:highlight w:val="yellow"/>
        </w:rPr>
        <w:t>rights-based appeals have never fully satisfied</w:t>
      </w:r>
      <w:r w:rsidRPr="00CC4CF6">
        <w:rPr>
          <w:sz w:val="16"/>
        </w:rPr>
        <w:t xml:space="preserve">. To be sure, this moment marks a nadir, a time for crisis for both organized labor and its progressive allies. But it is also a moment of opportunity, a time to discard or revise </w:t>
      </w:r>
      <w:r w:rsidRPr="00FF6822">
        <w:rPr>
          <w:sz w:val="16"/>
        </w:rPr>
        <w:t xml:space="preserve">timeworn frameworks and strategies, a time to begin anew. </w:t>
      </w:r>
      <w:r w:rsidRPr="00FF6822">
        <w:rPr>
          <w:rStyle w:val="StyleUnderline"/>
        </w:rPr>
        <w:t>There is no guarantee that organized labor can find a way to surmount the obstacles it faces</w:t>
      </w:r>
      <w:r w:rsidRPr="00FF6822">
        <w:rPr>
          <w:sz w:val="16"/>
        </w:rPr>
        <w:t xml:space="preserve">. But </w:t>
      </w:r>
      <w:r w:rsidRPr="00FF6822">
        <w:rPr>
          <w:rStyle w:val="StyleUnderline"/>
        </w:rPr>
        <w:t>it would be folly to continue to employ strategies that</w:t>
      </w:r>
      <w:r w:rsidRPr="00CC4CF6">
        <w:rPr>
          <w:rStyle w:val="StyleUnderline"/>
        </w:rPr>
        <w:t xml:space="preserve"> are not working</w:t>
      </w:r>
      <w:r w:rsidRPr="00CC4CF6">
        <w:rPr>
          <w:sz w:val="16"/>
        </w:rPr>
        <w:t xml:space="preserve">. </w:t>
      </w:r>
      <w:r w:rsidRPr="00FF6822">
        <w:rPr>
          <w:rStyle w:val="Emphasis"/>
          <w:highlight w:val="yellow"/>
        </w:rPr>
        <w:t>The time has come to move beyond</w:t>
      </w:r>
      <w:r w:rsidRPr="00CC4CF6">
        <w:rPr>
          <w:rStyle w:val="Emphasis"/>
        </w:rPr>
        <w:t xml:space="preserve"> our </w:t>
      </w:r>
      <w:r w:rsidRPr="00FF6822">
        <w:rPr>
          <w:rStyle w:val="Emphasis"/>
          <w:highlight w:val="yellow"/>
        </w:rPr>
        <w:t xml:space="preserve">over-reliance on </w:t>
      </w:r>
      <w:r w:rsidRPr="00FF6822">
        <w:rPr>
          <w:rStyle w:val="Emphasis"/>
        </w:rPr>
        <w:t xml:space="preserve">the </w:t>
      </w:r>
      <w:r w:rsidRPr="00FF6822">
        <w:rPr>
          <w:rStyle w:val="Emphasis"/>
          <w:highlight w:val="yellow"/>
        </w:rPr>
        <w:t>rights</w:t>
      </w:r>
      <w:r w:rsidRPr="00CC4CF6">
        <w:rPr>
          <w:rStyle w:val="Emphasis"/>
        </w:rPr>
        <w:t xml:space="preserve">-based framework </w:t>
      </w:r>
      <w:r w:rsidRPr="00FF6822">
        <w:rPr>
          <w:rStyle w:val="Emphasis"/>
          <w:highlight w:val="yellow"/>
        </w:rPr>
        <w:t>in search of a new vision whose full dimensions are still only dimly visible</w:t>
      </w:r>
      <w:r w:rsidRPr="00CC4CF6">
        <w:rPr>
          <w:sz w:val="16"/>
        </w:rPr>
        <w:t>, but whose broad outlines our recent experience has begun to illuminate.</w:t>
      </w:r>
    </w:p>
    <w:p w14:paraId="593703FD" w14:textId="2EA0F07B" w:rsidR="005B3008" w:rsidRDefault="005B3008" w:rsidP="00C91068">
      <w:pPr>
        <w:rPr>
          <w:sz w:val="16"/>
        </w:rPr>
      </w:pPr>
    </w:p>
    <w:p w14:paraId="14A401EB" w14:textId="77777777" w:rsidR="005B3008" w:rsidRDefault="005B3008" w:rsidP="005B3008">
      <w:pPr>
        <w:pStyle w:val="Heading4"/>
      </w:pPr>
      <w:r>
        <w:lastRenderedPageBreak/>
        <w:t xml:space="preserve">Labor scholarship must analyze the </w:t>
      </w:r>
      <w:r w:rsidRPr="00A73B53">
        <w:rPr>
          <w:u w:val="single"/>
        </w:rPr>
        <w:t>form</w:t>
      </w:r>
      <w:r>
        <w:t xml:space="preserve"> of the law before its </w:t>
      </w:r>
      <w:r w:rsidRPr="00A73B53">
        <w:rPr>
          <w:u w:val="single"/>
        </w:rPr>
        <w:t>content</w:t>
      </w:r>
    </w:p>
    <w:p w14:paraId="72EA5C39" w14:textId="77777777" w:rsidR="005B3008" w:rsidRPr="00A73B53" w:rsidRDefault="005B3008" w:rsidP="005B3008">
      <w:pPr>
        <w:rPr>
          <w:sz w:val="16"/>
        </w:rPr>
      </w:pPr>
      <w:r w:rsidRPr="00A73B53">
        <w:rPr>
          <w:rStyle w:val="Style13ptBold"/>
        </w:rPr>
        <w:t>Dimick 19</w:t>
      </w:r>
      <w:r w:rsidRPr="00A73B53">
        <w:rPr>
          <w:sz w:val="16"/>
        </w:rPr>
        <w:t xml:space="preserve"> – Matt Dimick teaches law at the University at Buffalo School of Law, Catalyst Journal vol 3 no 1, 2019, “Counterfeit Liberty”, https://catalyst-journal.com/2019/07/counterfeit-liberty WJ</w:t>
      </w:r>
    </w:p>
    <w:p w14:paraId="23E0FE54" w14:textId="77777777" w:rsidR="005B3008" w:rsidRPr="00CD6EA4" w:rsidRDefault="005B3008" w:rsidP="005B3008">
      <w:pPr>
        <w:rPr>
          <w:sz w:val="16"/>
        </w:rPr>
      </w:pPr>
      <w:r w:rsidRPr="00CD6EA4">
        <w:rPr>
          <w:rStyle w:val="StyleUnderline"/>
        </w:rPr>
        <w:t>Because of unions’ strong workplace presence but weak capacity for coordinating activity across workplaces</w:t>
      </w:r>
      <w:r w:rsidRPr="00CD6EA4">
        <w:rPr>
          <w:sz w:val="16"/>
        </w:rPr>
        <w:t xml:space="preserve">, the </w:t>
      </w:r>
      <w:r w:rsidRPr="00CD6EA4">
        <w:rPr>
          <w:rStyle w:val="StyleUnderline"/>
        </w:rPr>
        <w:t>regulation of labor relations was achieved by recourse to the law</w:t>
      </w:r>
      <w:r w:rsidRPr="00CD6EA4">
        <w:rPr>
          <w:sz w:val="16"/>
        </w:rPr>
        <w:t xml:space="preserve">. This claim cuts directly against the thrust of a tradition of “critical” labor law. </w:t>
      </w:r>
      <w:r w:rsidRPr="00A73B53">
        <w:rPr>
          <w:rStyle w:val="StyleUnderline"/>
        </w:rPr>
        <w:t>The story told by critical labor law scholars is of a potentially “anticapitalist” National Labor Relations Act that was “deradicalized” by conservative judges and narrow-minded intellectuals</w:t>
      </w:r>
      <w:r w:rsidRPr="00CD6EA4">
        <w:rPr>
          <w:sz w:val="16"/>
        </w:rPr>
        <w:t xml:space="preserve">.41 In these approaches there is never any question whether the law should be used to regulate labor relations. Rather, </w:t>
      </w:r>
      <w:r w:rsidRPr="00CD6EA4">
        <w:rPr>
          <w:rStyle w:val="StyleUnderline"/>
        </w:rPr>
        <w:t xml:space="preserve">the line of attack is </w:t>
      </w:r>
      <w:r w:rsidRPr="00A73B53">
        <w:rPr>
          <w:rStyle w:val="StyleUnderline"/>
          <w:highlight w:val="yellow"/>
        </w:rPr>
        <w:t>to challenge the particular content of the labor law, not the form of regulation itself</w:t>
      </w:r>
      <w:r w:rsidRPr="00CD6EA4">
        <w:rPr>
          <w:rStyle w:val="StyleUnderline"/>
        </w:rPr>
        <w:t>.</w:t>
      </w:r>
      <w:r w:rsidRPr="00CD6EA4">
        <w:rPr>
          <w:sz w:val="16"/>
        </w:rPr>
        <w:t xml:space="preserve"> Not only </w:t>
      </w:r>
      <w:r w:rsidRPr="00A73B53">
        <w:rPr>
          <w:rStyle w:val="StyleUnderline"/>
          <w:highlight w:val="yellow"/>
        </w:rPr>
        <w:t>is</w:t>
      </w:r>
      <w:r w:rsidRPr="00CD6EA4">
        <w:rPr>
          <w:sz w:val="16"/>
        </w:rPr>
        <w:t xml:space="preserve"> </w:t>
      </w:r>
      <w:r w:rsidRPr="00CD6EA4">
        <w:rPr>
          <w:rStyle w:val="StyleUnderline"/>
        </w:rPr>
        <w:t xml:space="preserve">this </w:t>
      </w:r>
      <w:r w:rsidRPr="00A73B53">
        <w:rPr>
          <w:rStyle w:val="StyleUnderline"/>
          <w:highlight w:val="yellow"/>
        </w:rPr>
        <w:t>a mistake as a method of analysis but</w:t>
      </w:r>
      <w:r w:rsidRPr="00CD6EA4">
        <w:rPr>
          <w:sz w:val="16"/>
        </w:rPr>
        <w:t xml:space="preserve">, as I will also demonstrate, </w:t>
      </w:r>
      <w:r w:rsidRPr="00CD6EA4">
        <w:rPr>
          <w:rStyle w:val="StyleUnderline"/>
        </w:rPr>
        <w:t xml:space="preserve">it </w:t>
      </w:r>
      <w:r w:rsidRPr="00A73B53">
        <w:rPr>
          <w:rStyle w:val="StyleUnderline"/>
          <w:highlight w:val="yellow"/>
        </w:rPr>
        <w:t>also</w:t>
      </w:r>
      <w:r w:rsidRPr="00CD6EA4">
        <w:rPr>
          <w:rStyle w:val="StyleUnderline"/>
        </w:rPr>
        <w:t xml:space="preserve"> commits </w:t>
      </w:r>
      <w:r w:rsidRPr="00A73B53">
        <w:rPr>
          <w:rStyle w:val="StyleUnderline"/>
          <w:highlight w:val="yellow"/>
        </w:rPr>
        <w:t>an instrumentalist error about the nature of the law and the state within capitalism</w:t>
      </w:r>
      <w:r w:rsidRPr="00CD6EA4">
        <w:rPr>
          <w:sz w:val="16"/>
        </w:rPr>
        <w:t>.</w:t>
      </w:r>
    </w:p>
    <w:p w14:paraId="0989ADAB" w14:textId="77777777" w:rsidR="005B3008" w:rsidRPr="00CD6EA4" w:rsidRDefault="005B3008" w:rsidP="005B3008">
      <w:pPr>
        <w:rPr>
          <w:sz w:val="16"/>
        </w:rPr>
      </w:pPr>
      <w:r w:rsidRPr="00A73B53">
        <w:rPr>
          <w:rStyle w:val="Emphasis"/>
          <w:highlight w:val="yellow"/>
        </w:rPr>
        <w:t>A content critique</w:t>
      </w:r>
      <w:r w:rsidRPr="00CD6EA4">
        <w:rPr>
          <w:rStyle w:val="Emphasis"/>
        </w:rPr>
        <w:t xml:space="preserve"> of law </w:t>
      </w:r>
      <w:r w:rsidRPr="00A73B53">
        <w:rPr>
          <w:rStyle w:val="Emphasis"/>
          <w:highlight w:val="yellow"/>
        </w:rPr>
        <w:t>obscures the way that law does more than simply help or hinder</w:t>
      </w:r>
      <w:r w:rsidRPr="00CD6EA4">
        <w:rPr>
          <w:rStyle w:val="Emphasis"/>
        </w:rPr>
        <w:t xml:space="preserve"> </w:t>
      </w:r>
      <w:r w:rsidRPr="00A73B53">
        <w:rPr>
          <w:rStyle w:val="Emphasis"/>
          <w:highlight w:val="yellow"/>
        </w:rPr>
        <w:t>the labor movement</w:t>
      </w:r>
      <w:r w:rsidRPr="00CD6EA4">
        <w:rPr>
          <w:rStyle w:val="Emphasis"/>
        </w:rPr>
        <w:t xml:space="preserve"> achieve various, specific objectives</w:t>
      </w:r>
      <w:r w:rsidRPr="00CD6EA4">
        <w:rPr>
          <w:sz w:val="16"/>
        </w:rPr>
        <w:t xml:space="preserve">. As a form of social regulation, </w:t>
      </w:r>
      <w:r w:rsidRPr="00A73B53">
        <w:rPr>
          <w:rStyle w:val="StyleUnderline"/>
          <w:highlight w:val="yellow"/>
        </w:rPr>
        <w:t>the law also allocates determinate</w:t>
      </w:r>
      <w:r w:rsidRPr="00CD6EA4">
        <w:rPr>
          <w:rStyle w:val="StyleUnderline"/>
        </w:rPr>
        <w:t xml:space="preserve"> material </w:t>
      </w:r>
      <w:r w:rsidRPr="00A73B53">
        <w:rPr>
          <w:rStyle w:val="StyleUnderline"/>
          <w:highlight w:val="yellow"/>
        </w:rPr>
        <w:t>and ideological resources</w:t>
      </w:r>
      <w:r w:rsidRPr="00CD6EA4">
        <w:rPr>
          <w:rStyle w:val="StyleUnderline"/>
        </w:rPr>
        <w:t xml:space="preserve"> </w:t>
      </w:r>
      <w:r w:rsidRPr="00A73B53">
        <w:rPr>
          <w:rStyle w:val="StyleUnderline"/>
          <w:highlight w:val="yellow"/>
        </w:rPr>
        <w:t>as a means</w:t>
      </w:r>
      <w:r w:rsidRPr="00CD6EA4">
        <w:rPr>
          <w:rStyle w:val="StyleUnderline"/>
        </w:rPr>
        <w:t xml:space="preserve"> to achieve these ends</w:t>
      </w:r>
      <w:r w:rsidRPr="00CD6EA4">
        <w:rPr>
          <w:sz w:val="16"/>
        </w:rPr>
        <w:t xml:space="preserve">. </w:t>
      </w:r>
      <w:r w:rsidRPr="00A73B53">
        <w:rPr>
          <w:rStyle w:val="StyleUnderline"/>
          <w:highlight w:val="yellow"/>
        </w:rPr>
        <w:t>These</w:t>
      </w:r>
      <w:r w:rsidRPr="00CD6EA4">
        <w:rPr>
          <w:rStyle w:val="StyleUnderline"/>
        </w:rPr>
        <w:t xml:space="preserve"> means </w:t>
      </w:r>
      <w:r w:rsidRPr="00A73B53">
        <w:rPr>
          <w:rStyle w:val="StyleUnderline"/>
          <w:highlight w:val="yellow"/>
        </w:rPr>
        <w:t>threaten to substitute for the working class’s own</w:t>
      </w:r>
      <w:r w:rsidRPr="00CD6EA4">
        <w:rPr>
          <w:rStyle w:val="StyleUnderline"/>
        </w:rPr>
        <w:t xml:space="preserve"> material and ideological </w:t>
      </w:r>
      <w:r w:rsidRPr="00A73B53">
        <w:rPr>
          <w:rStyle w:val="StyleUnderline"/>
          <w:highlight w:val="yellow"/>
        </w:rPr>
        <w:t>means of regulation</w:t>
      </w:r>
      <w:r w:rsidRPr="00CD6EA4">
        <w:rPr>
          <w:sz w:val="16"/>
        </w:rPr>
        <w:t xml:space="preserve">. </w:t>
      </w:r>
      <w:r w:rsidRPr="00CD6EA4">
        <w:rPr>
          <w:rStyle w:val="StyleUnderline"/>
        </w:rPr>
        <w:t>This would not be an issue if labor unions or other working-class organizations were merely means of achieving gains for workers</w:t>
      </w:r>
      <w:r w:rsidRPr="00CD6EA4">
        <w:rPr>
          <w:sz w:val="16"/>
        </w:rPr>
        <w:t xml:space="preserve">. But they are not. </w:t>
      </w:r>
      <w:r w:rsidRPr="00CD6EA4">
        <w:rPr>
          <w:rStyle w:val="Emphasis"/>
        </w:rPr>
        <w:t xml:space="preserve">Whatever their limitations, </w:t>
      </w:r>
      <w:r w:rsidRPr="00A73B53">
        <w:rPr>
          <w:rStyle w:val="Emphasis"/>
          <w:highlight w:val="yellow"/>
        </w:rPr>
        <w:t>unions are moments in the process by which workers constitute themselves as a class</w:t>
      </w:r>
      <w:r w:rsidRPr="00CD6EA4">
        <w:rPr>
          <w:sz w:val="16"/>
        </w:rPr>
        <w:t xml:space="preserve">. </w:t>
      </w:r>
      <w:r w:rsidRPr="00CD6EA4">
        <w:rPr>
          <w:rStyle w:val="StyleUnderline"/>
        </w:rPr>
        <w:t xml:space="preserve">Thus, </w:t>
      </w:r>
      <w:r w:rsidRPr="00A73B53">
        <w:rPr>
          <w:rStyle w:val="StyleUnderline"/>
          <w:highlight w:val="yellow"/>
        </w:rPr>
        <w:t>the law</w:t>
      </w:r>
      <w:r w:rsidRPr="00CD6EA4">
        <w:rPr>
          <w:rStyle w:val="StyleUnderline"/>
        </w:rPr>
        <w:t xml:space="preserve"> — </w:t>
      </w:r>
      <w:r w:rsidRPr="00A73B53">
        <w:rPr>
          <w:rStyle w:val="StyleUnderline"/>
          <w:highlight w:val="yellow"/>
        </w:rPr>
        <w:t>not in its content, but as a form of</w:t>
      </w:r>
      <w:r w:rsidRPr="00CD6EA4">
        <w:rPr>
          <w:rStyle w:val="StyleUnderline"/>
        </w:rPr>
        <w:t xml:space="preserve"> social </w:t>
      </w:r>
      <w:r w:rsidRPr="00A73B53">
        <w:rPr>
          <w:rStyle w:val="StyleUnderline"/>
          <w:highlight w:val="yellow"/>
        </w:rPr>
        <w:t>regulation</w:t>
      </w:r>
      <w:r w:rsidRPr="00CD6EA4">
        <w:rPr>
          <w:rStyle w:val="StyleUnderline"/>
        </w:rPr>
        <w:t xml:space="preserve"> — </w:t>
      </w:r>
      <w:r w:rsidRPr="00A73B53">
        <w:rPr>
          <w:rStyle w:val="StyleUnderline"/>
          <w:highlight w:val="yellow"/>
        </w:rPr>
        <w:t>always presents the danger of undermining this process through</w:t>
      </w:r>
      <w:r w:rsidRPr="00CD6EA4">
        <w:rPr>
          <w:rStyle w:val="StyleUnderline"/>
        </w:rPr>
        <w:t xml:space="preserve"> mechanisms of </w:t>
      </w:r>
      <w:r w:rsidRPr="00A73B53">
        <w:rPr>
          <w:rStyle w:val="StyleUnderline"/>
          <w:highlight w:val="yellow"/>
        </w:rPr>
        <w:t>dependency and displacement</w:t>
      </w:r>
      <w:r w:rsidRPr="00CD6EA4">
        <w:rPr>
          <w:sz w:val="16"/>
        </w:rPr>
        <w:t>.</w:t>
      </w:r>
    </w:p>
    <w:p w14:paraId="6F3663EA" w14:textId="77777777" w:rsidR="005B3008" w:rsidRDefault="005B3008" w:rsidP="00C91068">
      <w:pPr>
        <w:rPr>
          <w:sz w:val="16"/>
        </w:rPr>
      </w:pPr>
    </w:p>
    <w:p w14:paraId="6BB17E94" w14:textId="2CC775A6" w:rsidR="00E42E4C" w:rsidRDefault="00E42E4C" w:rsidP="00F601E6"/>
    <w:p w14:paraId="7AF921D1" w14:textId="15BAC267" w:rsidR="00EF7E21" w:rsidRDefault="00EF7E21" w:rsidP="00EF7E21">
      <w:pPr>
        <w:pStyle w:val="Heading2"/>
      </w:pPr>
      <w:r>
        <w:lastRenderedPageBreak/>
        <w:t>Case</w:t>
      </w:r>
    </w:p>
    <w:p w14:paraId="38C0B1A6" w14:textId="4D5405AE" w:rsidR="00C1521E" w:rsidRPr="00C1521E" w:rsidRDefault="00C1521E" w:rsidP="00C1521E">
      <w:pPr>
        <w:pStyle w:val="Heading3"/>
      </w:pPr>
      <w:r>
        <w:lastRenderedPageBreak/>
        <w:t>Toplevel</w:t>
      </w:r>
    </w:p>
    <w:p w14:paraId="12752540" w14:textId="77777777" w:rsidR="00EF7E21" w:rsidRPr="00C8597E" w:rsidRDefault="00EF7E21" w:rsidP="00EF7E21">
      <w:pPr>
        <w:pStyle w:val="Heading4"/>
      </w:pPr>
      <w:r>
        <w:t>The right to strike does nothing to companies who actually exploit workers—they just hire consultants and employ shady tactics</w:t>
      </w:r>
    </w:p>
    <w:p w14:paraId="3322CD69" w14:textId="77777777" w:rsidR="00EF7E21" w:rsidRPr="00446B4C" w:rsidRDefault="00EF7E21" w:rsidP="00EF7E21">
      <w:r w:rsidRPr="00C8597E">
        <w:rPr>
          <w:rStyle w:val="Style13ptBold"/>
        </w:rPr>
        <w:t>Lafer and Loustaunau 20</w:t>
      </w:r>
      <w:r>
        <w:t xml:space="preserve">-- </w:t>
      </w:r>
      <w:r w:rsidRPr="00446B4C">
        <w:t>Gordon Lafer</w:t>
      </w:r>
      <w:r>
        <w:t xml:space="preserve"> [</w:t>
      </w:r>
      <w:r w:rsidRPr="00C8597E">
        <w:t>political economist and is a Professor at the University of Oregon</w:t>
      </w:r>
      <w:r>
        <w:t xml:space="preserve">] and </w:t>
      </w:r>
      <w:r w:rsidRPr="00C8597E">
        <w:t xml:space="preserve">Lola Loustaunau </w:t>
      </w:r>
      <w:r>
        <w:t>[</w:t>
      </w:r>
      <w:r w:rsidRPr="00C8597E">
        <w:t>assistant research fellow at the Labor Education and Research Center, University of Oregon</w:t>
      </w:r>
      <w:r>
        <w:t xml:space="preserve">]; Fear at work: An inside account of how employers threaten, intimidate, and harass workers to stop them from exercising their right to collective bargaining; </w:t>
      </w:r>
      <w:r w:rsidRPr="00C8597E">
        <w:t>July 23, 2020</w:t>
      </w:r>
      <w:r>
        <w:t xml:space="preserve">; Economic Policy Institute; </w:t>
      </w:r>
      <w:hyperlink r:id="rId10" w:history="1">
        <w:r w:rsidRPr="00887E64">
          <w:rPr>
            <w:rStyle w:val="Hyperlink"/>
          </w:rPr>
          <w:t>https://www.epi.org/publication/fear-at-work-how-employers-scare-workers-out-of-unionizing/</w:t>
        </w:r>
      </w:hyperlink>
      <w:r>
        <w:t>. (AG DebateDrills)</w:t>
      </w:r>
    </w:p>
    <w:p w14:paraId="592F01B8" w14:textId="77777777" w:rsidR="00EF7E21" w:rsidRDefault="00EF7E21" w:rsidP="00EF7E21">
      <w:pPr>
        <w:rPr>
          <w:rStyle w:val="Emphasis"/>
        </w:rPr>
      </w:pPr>
      <w:r w:rsidRPr="000657C4">
        <w:rPr>
          <w:sz w:val="16"/>
        </w:rPr>
        <w:t xml:space="preserve">Even when employers obey the law, they rely on a set of tactics that are legal under the NLRA but illegal in elections for Congress, city council, or any other public office. </w:t>
      </w:r>
      <w:r w:rsidRPr="000657C4">
        <w:rPr>
          <w:rStyle w:val="Emphasis"/>
        </w:rPr>
        <w:t xml:space="preserve">A </w:t>
      </w:r>
      <w:r w:rsidRPr="000657C4">
        <w:rPr>
          <w:rStyle w:val="Emphasis"/>
          <w:highlight w:val="green"/>
        </w:rPr>
        <w:t>$340 million industry of “union avoidance” consultants</w:t>
      </w:r>
      <w:r w:rsidRPr="000657C4">
        <w:rPr>
          <w:rStyle w:val="Emphasis"/>
        </w:rPr>
        <w:t xml:space="preserve"> helps employers exploit the weaknesses of federal labor law to deny workers the right to collective bargaining.</w:t>
      </w:r>
      <w:r w:rsidRPr="000657C4">
        <w:rPr>
          <w:sz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sidRPr="000657C4">
        <w:rPr>
          <w:rStyle w:val="Emphasis"/>
        </w:rPr>
        <w:t xml:space="preserve">These </w:t>
      </w:r>
      <w:r w:rsidRPr="000657C4">
        <w:rPr>
          <w:rStyle w:val="Emphasis"/>
          <w:highlight w:val="green"/>
        </w:rPr>
        <w:t>firms’ tactics</w:t>
      </w:r>
      <w:r w:rsidRPr="000657C4">
        <w:rPr>
          <w:rStyle w:val="Emphasis"/>
        </w:rPr>
        <w:t xml:space="preserve"> lie at the core of </w:t>
      </w:r>
      <w:r w:rsidRPr="000657C4">
        <w:rPr>
          <w:rStyle w:val="Emphasis"/>
          <w:highlight w:val="green"/>
        </w:rPr>
        <w:t>explain</w:t>
      </w:r>
      <w:r w:rsidRPr="000657C4">
        <w:rPr>
          <w:rStyle w:val="Emphasis"/>
        </w:rPr>
        <w:t xml:space="preserve">ing why so few American workers who want a union actually get one, and their success in blocking unionization efforts represents a </w:t>
      </w:r>
      <w:r w:rsidRPr="000657C4">
        <w:rPr>
          <w:rStyle w:val="Emphasis"/>
          <w:highlight w:val="green"/>
        </w:rPr>
        <w:t>significant contribution to</w:t>
      </w:r>
      <w:r w:rsidRPr="000657C4">
        <w:rPr>
          <w:rStyle w:val="Emphasis"/>
        </w:rPr>
        <w:t xml:space="preserve"> the country’s ongoing crisis of </w:t>
      </w:r>
      <w:r w:rsidRPr="000657C4">
        <w:rPr>
          <w:rStyle w:val="Emphasis"/>
          <w:highlight w:val="green"/>
        </w:rPr>
        <w:t>economic inequality</w:t>
      </w:r>
      <w:r w:rsidRPr="000657C4">
        <w:rPr>
          <w:rStyle w:val="Emphasis"/>
        </w:rPr>
        <w:t>.</w:t>
      </w:r>
      <w:r w:rsidRPr="000657C4">
        <w:rPr>
          <w:sz w:val="16"/>
        </w:rPr>
        <w:t xml:space="preserve"> The lack of a right of free speech enables coercion NLRB elections are fundamentally framed by one-sided control over communication, with no free-speech rights for workers. </w:t>
      </w:r>
      <w:r w:rsidRPr="000657C4">
        <w:rPr>
          <w:rStyle w:val="Emphasis"/>
        </w:rPr>
        <w:t xml:space="preserve">Under current law, </w:t>
      </w:r>
      <w:r w:rsidRPr="000657C4">
        <w:rPr>
          <w:rStyle w:val="Emphasis"/>
          <w:highlight w:val="green"/>
        </w:rPr>
        <w:t>employers</w:t>
      </w:r>
      <w:r w:rsidRPr="000657C4">
        <w:rPr>
          <w:rStyle w:val="Emphasis"/>
        </w:rPr>
        <w:t xml:space="preserve"> may </w:t>
      </w:r>
      <w:r w:rsidRPr="000657C4">
        <w:rPr>
          <w:rStyle w:val="Emphasis"/>
          <w:highlight w:val="green"/>
        </w:rPr>
        <w:t>require workers to attend mass anti-union meetings</w:t>
      </w:r>
      <w:r w:rsidRPr="000657C4">
        <w:rPr>
          <w:rStyle w:val="Emphasis"/>
        </w:rPr>
        <w:t xml:space="preserve"> as often as once a day</w:t>
      </w:r>
      <w:r w:rsidRPr="000657C4">
        <w:rPr>
          <w:sz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sidRPr="000657C4">
        <w:rPr>
          <w:rStyle w:val="Emphasis"/>
        </w:rPr>
        <w:t xml:space="preserve">The most recent data show that nearly </w:t>
      </w:r>
      <w:r w:rsidRPr="000657C4">
        <w:rPr>
          <w:rStyle w:val="Emphasis"/>
          <w:highlight w:val="green"/>
        </w:rPr>
        <w:t>90%</w:t>
      </w:r>
      <w:r w:rsidRPr="000657C4">
        <w:rPr>
          <w:rStyle w:val="Emphasis"/>
        </w:rPr>
        <w:t xml:space="preserve"> of employers </w:t>
      </w:r>
      <w:r w:rsidRPr="000657C4">
        <w:rPr>
          <w:rStyle w:val="Emphasis"/>
          <w:highlight w:val="green"/>
        </w:rPr>
        <w:t>force</w:t>
      </w:r>
      <w:r w:rsidRPr="000657C4">
        <w:rPr>
          <w:rStyle w:val="Emphasis"/>
        </w:rPr>
        <w:t xml:space="preserve"> employees to attend </w:t>
      </w:r>
      <w:r w:rsidRPr="000657C4">
        <w:rPr>
          <w:rStyle w:val="Emphasis"/>
          <w:highlight w:val="green"/>
        </w:rPr>
        <w:t>such</w:t>
      </w:r>
      <w:r w:rsidRPr="000657C4">
        <w:rPr>
          <w:rStyle w:val="Emphasis"/>
        </w:rPr>
        <w:t xml:space="preserve"> anti-union campaign </w:t>
      </w:r>
      <w:r w:rsidRPr="000657C4">
        <w:rPr>
          <w:rStyle w:val="Emphasis"/>
          <w:highlight w:val="green"/>
        </w:rPr>
        <w:t>rallies</w:t>
      </w:r>
      <w:r w:rsidRPr="000657C4">
        <w:rPr>
          <w:rStyle w:val="Emphasis"/>
        </w:rPr>
        <w:t xml:space="preserve">, with </w:t>
      </w:r>
      <w:r w:rsidRPr="000657C4">
        <w:rPr>
          <w:rStyle w:val="Emphasis"/>
          <w:highlight w:val="green"/>
        </w:rPr>
        <w:t>the average employer holding 10</w:t>
      </w:r>
      <w:r w:rsidRPr="000657C4">
        <w:rPr>
          <w:rStyle w:val="Emphasis"/>
        </w:rPr>
        <w:t xml:space="preserve"> such mandatory </w:t>
      </w:r>
      <w:r w:rsidRPr="000657C4">
        <w:rPr>
          <w:rStyle w:val="Emphasis"/>
          <w:highlight w:val="green"/>
        </w:rPr>
        <w:t>meetings during</w:t>
      </w:r>
      <w:r w:rsidRPr="000657C4">
        <w:rPr>
          <w:rStyle w:val="Emphasis"/>
        </w:rPr>
        <w:t xml:space="preserve"> the course of an </w:t>
      </w:r>
      <w:r w:rsidRPr="000657C4">
        <w:rPr>
          <w:rStyle w:val="Emphasis"/>
          <w:highlight w:val="green"/>
        </w:rPr>
        <w:t>election campaign</w:t>
      </w:r>
      <w:r w:rsidRPr="000657C4">
        <w:rPr>
          <w:rStyle w:val="Emphasis"/>
        </w:rPr>
        <w:t>.</w:t>
      </w:r>
      <w:r w:rsidRPr="000657C4">
        <w:rPr>
          <w:sz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sidRPr="000657C4">
        <w:rPr>
          <w:rStyle w:val="Emphasis"/>
          <w:highlight w:val="green"/>
        </w:rPr>
        <w:t>If a union were primarily interested in extracting dues money</w:t>
      </w:r>
      <w:r w:rsidRPr="000657C4">
        <w:rPr>
          <w:rStyle w:val="Emphasis"/>
        </w:rPr>
        <w:t xml:space="preserve"> from workers, </w:t>
      </w:r>
      <w:r w:rsidRPr="000657C4">
        <w:rPr>
          <w:rStyle w:val="Emphasis"/>
          <w:highlight w:val="green"/>
        </w:rPr>
        <w:t>it would never risk a strike</w:t>
      </w:r>
      <w:r w:rsidRPr="000657C4">
        <w:rPr>
          <w:rStyle w:val="Emphasis"/>
        </w:rPr>
        <w:t xml:space="preserve"> or bankruptcy, </w:t>
      </w:r>
      <w:r w:rsidRPr="000657C4">
        <w:rPr>
          <w:rStyle w:val="Emphasis"/>
          <w:highlight w:val="green"/>
        </w:rPr>
        <w:t>because no one pays dues when they are on strike</w:t>
      </w:r>
      <w:r w:rsidRPr="000657C4">
        <w:rPr>
          <w:rStyle w:val="Emphasis"/>
        </w:rPr>
        <w:t xml:space="preserve"> or out of work. </w:t>
      </w:r>
      <w:r w:rsidRPr="000657C4">
        <w:rPr>
          <w:rStyle w:val="Emphasis"/>
          <w:highlight w:val="green"/>
        </w:rPr>
        <w:t>But</w:t>
      </w:r>
      <w:r w:rsidRPr="000657C4">
        <w:rPr>
          <w:rStyle w:val="Emphasis"/>
        </w:rPr>
        <w:t xml:space="preserve"> in an atmosphere in which pro-union employees have </w:t>
      </w:r>
      <w:r w:rsidRPr="000657C4">
        <w:rPr>
          <w:rStyle w:val="Emphasis"/>
          <w:highlight w:val="green"/>
        </w:rPr>
        <w:t>[with]</w:t>
      </w:r>
      <w:r>
        <w:rPr>
          <w:rStyle w:val="Emphasis"/>
        </w:rPr>
        <w:t xml:space="preserve"> </w:t>
      </w:r>
      <w:r w:rsidRPr="000657C4">
        <w:rPr>
          <w:rStyle w:val="Emphasis"/>
          <w:highlight w:val="green"/>
        </w:rPr>
        <w:t>little effective right of reply, these messages</w:t>
      </w:r>
      <w:r w:rsidRPr="000657C4">
        <w:rPr>
          <w:rStyle w:val="Emphasis"/>
        </w:rPr>
        <w:t xml:space="preserve"> may </w:t>
      </w:r>
      <w:r w:rsidRPr="000657C4">
        <w:rPr>
          <w:rStyle w:val="Emphasis"/>
          <w:highlight w:val="green"/>
        </w:rPr>
        <w:t>prove extremely powerful</w:t>
      </w:r>
      <w:r w:rsidRPr="000657C4">
        <w:rPr>
          <w:rStyle w:val="Emphasis"/>
        </w:rPr>
        <w:t>.</w:t>
      </w:r>
    </w:p>
    <w:p w14:paraId="7B61E21B" w14:textId="77777777" w:rsidR="00EF7E21" w:rsidRDefault="00EF7E21" w:rsidP="00EF7E21">
      <w:pPr>
        <w:pStyle w:val="Heading4"/>
      </w:pPr>
      <w:r>
        <w:t>Turn: Today’s strikes rely on public support—legal strikes always incite social tensions among groups of different statuses—only illegal strikes have the potential to be successful and change minds</w:t>
      </w:r>
    </w:p>
    <w:p w14:paraId="752C2615" w14:textId="77777777" w:rsidR="00EF7E21" w:rsidRPr="00957E61" w:rsidRDefault="00EF7E21" w:rsidP="00EF7E21">
      <w:r w:rsidRPr="001170ED">
        <w:rPr>
          <w:rStyle w:val="Style13ptBold"/>
        </w:rPr>
        <w:t>Reddy 21</w:t>
      </w:r>
      <w:r>
        <w:t xml:space="preserve">-- </w:t>
      </w:r>
      <w:r w:rsidRPr="00957E61">
        <w:t>Diana S. Reddy</w:t>
      </w:r>
      <w:r>
        <w:t xml:space="preserve"> [</w:t>
      </w:r>
      <w:r w:rsidRPr="00957E61">
        <w:t>Diana Reddy is a Doctoral Fellow at the Law, Economics, and Politics Center at UC Berkeley Law</w:t>
      </w:r>
      <w:r>
        <w:t xml:space="preserve">]; </w:t>
      </w:r>
      <w:r w:rsidRPr="00957E61">
        <w:t>“There Is No Such Thing as an Illegal Strike”: Reconceptualizing the Strike in Law and Political Economy</w:t>
      </w:r>
      <w:r>
        <w:t xml:space="preserve">; Jan 6 2021; Yale Law Journal; </w:t>
      </w:r>
      <w:hyperlink r:id="rId11" w:history="1">
        <w:r w:rsidRPr="00887E64">
          <w:rPr>
            <w:rStyle w:val="Hyperlink"/>
          </w:rPr>
          <w:t>https://www.yalelawjournal.org/forum/there-is-no-such-thing-as-an-illegal-strike-reconceptualizing-the-strike-in-law-and-political-economy</w:t>
        </w:r>
      </w:hyperlink>
      <w:r>
        <w:t>. (AG DebateDrills)</w:t>
      </w:r>
    </w:p>
    <w:p w14:paraId="39BDF2A2" w14:textId="77777777" w:rsidR="00EF7E21" w:rsidRDefault="00EF7E21" w:rsidP="00EF7E21">
      <w:pPr>
        <w:rPr>
          <w:sz w:val="16"/>
        </w:rPr>
      </w:pPr>
      <w:r w:rsidRPr="00A86AA2">
        <w:rPr>
          <w:rStyle w:val="Emphasis"/>
          <w:highlight w:val="green"/>
        </w:rPr>
        <w:t>In recent years</w:t>
      </w:r>
      <w:r w:rsidRPr="000A2309">
        <w:rPr>
          <w:rStyle w:val="Emphasis"/>
        </w:rPr>
        <w:t xml:space="preserve">, consistent with this vision, there has been a shift in the kinds of </w:t>
      </w:r>
      <w:r w:rsidRPr="00A86AA2">
        <w:rPr>
          <w:rStyle w:val="Emphasis"/>
          <w:highlight w:val="green"/>
        </w:rPr>
        <w:t>strikes [are]</w:t>
      </w:r>
      <w:r>
        <w:rPr>
          <w:rStyle w:val="Emphasis"/>
        </w:rPr>
        <w:t xml:space="preserve"> </w:t>
      </w:r>
      <w:r w:rsidRPr="000A2309">
        <w:rPr>
          <w:rStyle w:val="Emphasis"/>
        </w:rPr>
        <w:t>workers and their organizations engage in—</w:t>
      </w:r>
      <w:r w:rsidRPr="00A86AA2">
        <w:rPr>
          <w:rStyle w:val="Emphasis"/>
          <w:highlight w:val="green"/>
        </w:rPr>
        <w:t>increasingly public-facing</w:t>
      </w:r>
      <w:r w:rsidRPr="000A2309">
        <w:rPr>
          <w:rStyle w:val="Emphasis"/>
        </w:rPr>
        <w:t>, engaged with the community, and capacious in their concerns</w:t>
      </w:r>
      <w:r w:rsidRPr="00A86AA2">
        <w:rPr>
          <w:sz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0A2309">
        <w:rPr>
          <w:rStyle w:val="Emphasis"/>
        </w:rPr>
        <w:t xml:space="preserve">These strikes do not necessarily look like what strikes looked like fifty years ago, and </w:t>
      </w:r>
      <w:r w:rsidRPr="00A86AA2">
        <w:rPr>
          <w:rStyle w:val="Emphasis"/>
          <w:highlight w:val="green"/>
        </w:rPr>
        <w:t>they often skirt</w:t>
      </w:r>
      <w:r w:rsidRPr="000A2309">
        <w:rPr>
          <w:rStyle w:val="Emphasis"/>
        </w:rPr>
        <w:t>—</w:t>
      </w:r>
      <w:r w:rsidRPr="00A86AA2">
        <w:rPr>
          <w:rStyle w:val="Emphasis"/>
          <w:highlight w:val="green"/>
        </w:rPr>
        <w:t>or</w:t>
      </w:r>
      <w:r w:rsidRPr="000A2309">
        <w:rPr>
          <w:rStyle w:val="Emphasis"/>
        </w:rPr>
        <w:t xml:space="preserve"> at times, </w:t>
      </w:r>
      <w:r w:rsidRPr="00A86AA2">
        <w:rPr>
          <w:rStyle w:val="Emphasis"/>
          <w:highlight w:val="green"/>
        </w:rPr>
        <w:t>flatly defy</w:t>
      </w:r>
      <w:r w:rsidRPr="000A2309">
        <w:rPr>
          <w:rStyle w:val="Emphasis"/>
        </w:rPr>
        <w:t>—</w:t>
      </w:r>
      <w:r w:rsidRPr="00A86AA2">
        <w:rPr>
          <w:rStyle w:val="Emphasis"/>
          <w:highlight w:val="green"/>
        </w:rPr>
        <w:t>legal rules</w:t>
      </w:r>
      <w:r w:rsidRPr="000A2309">
        <w:rPr>
          <w:rStyle w:val="Emphasis"/>
        </w:rPr>
        <w:t xml:space="preserve">. </w:t>
      </w:r>
      <w:r w:rsidRPr="00A86AA2">
        <w:rPr>
          <w:rStyle w:val="Emphasis"/>
          <w:highlight w:val="green"/>
        </w:rPr>
        <w:t>Yet, they have</w:t>
      </w:r>
      <w:r w:rsidRPr="000A2309">
        <w:rPr>
          <w:rStyle w:val="Emphasis"/>
        </w:rPr>
        <w:t xml:space="preserve"> often </w:t>
      </w:r>
      <w:r w:rsidRPr="00A86AA2">
        <w:rPr>
          <w:rStyle w:val="Emphasis"/>
          <w:highlight w:val="green"/>
        </w:rPr>
        <w:t>been successful</w:t>
      </w:r>
      <w:r w:rsidRPr="00A86AA2">
        <w:rPr>
          <w:sz w:val="16"/>
        </w:rPr>
        <w:t>. Since 2012</w:t>
      </w:r>
      <w:r w:rsidRPr="000A2309">
        <w:rPr>
          <w:rStyle w:val="Emphasis"/>
        </w:rPr>
        <w:t xml:space="preserve">, tens of thousands of workers in the </w:t>
      </w:r>
      <w:r w:rsidRPr="00A86AA2">
        <w:rPr>
          <w:rStyle w:val="Emphasis"/>
          <w:highlight w:val="green"/>
        </w:rPr>
        <w:t>Fight for</w:t>
      </w:r>
      <w:r w:rsidRPr="000A2309">
        <w:rPr>
          <w:rStyle w:val="Emphasis"/>
        </w:rPr>
        <w:t xml:space="preserve"> $</w:t>
      </w:r>
      <w:r w:rsidRPr="00A86AA2">
        <w:rPr>
          <w:rStyle w:val="Emphasis"/>
          <w:highlight w:val="green"/>
        </w:rPr>
        <w:t>15 movement</w:t>
      </w:r>
      <w:r w:rsidRPr="000A2309">
        <w:rPr>
          <w:rStyle w:val="Emphasis"/>
        </w:rPr>
        <w:t xml:space="preserve"> have engaged in discourse-changing, public law-building strikes.</w:t>
      </w:r>
      <w:r w:rsidRPr="00A86AA2">
        <w:rPr>
          <w:sz w:val="16"/>
        </w:rPr>
        <w:t xml:space="preserve"> They do not shut down production, and their primary targets are not direct employers. </w:t>
      </w:r>
      <w:r w:rsidRPr="000A2309">
        <w:rPr>
          <w:rStyle w:val="Emphasis"/>
        </w:rPr>
        <w:t xml:space="preserve">For these reasons, they </w:t>
      </w:r>
      <w:r w:rsidRPr="00A86AA2">
        <w:rPr>
          <w:rStyle w:val="Emphasis"/>
          <w:highlight w:val="green"/>
        </w:rPr>
        <w:t>push the boundaries of exiting labor law</w:t>
      </w:r>
      <w:r w:rsidRPr="000A2309">
        <w:rPr>
          <w:rStyle w:val="Emphasis"/>
        </w:rPr>
        <w:t xml:space="preserve">.179 </w:t>
      </w:r>
      <w:r w:rsidRPr="00A86AA2">
        <w:rPr>
          <w:rStyle w:val="Emphasis"/>
          <w:highlight w:val="green"/>
        </w:rPr>
        <w:t>Still</w:t>
      </w:r>
      <w:r w:rsidRPr="000A2309">
        <w:rPr>
          <w:rStyle w:val="Emphasis"/>
        </w:rPr>
        <w:t xml:space="preserve">, the risks appear to have been worth it. A 2018 report by the National Employment Law Center found that </w:t>
      </w:r>
      <w:r w:rsidRPr="00A86AA2">
        <w:rPr>
          <w:rStyle w:val="Emphasis"/>
          <w:highlight w:val="green"/>
        </w:rPr>
        <w:t>these strikes had helped twenty-two million low-wage workers</w:t>
      </w:r>
      <w:r w:rsidRPr="000A2309">
        <w:rPr>
          <w:rStyle w:val="Emphasis"/>
        </w:rPr>
        <w:t xml:space="preserve"> win $68 billion in raises, a redistribution of wealth fourteen times greater than the value of the last federal minimum wage increase in 2007</w:t>
      </w:r>
      <w:r w:rsidRPr="00A86AA2">
        <w:rPr>
          <w:sz w:val="16"/>
        </w:rPr>
        <w:t xml:space="preserve">.180 They have demonstrated the power of strikes to do more than challenge employer behavior. As Kate Andrias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0A2309">
        <w:rPr>
          <w:rStyle w:val="Emphasis"/>
        </w:rPr>
        <w:t>In the so-called “</w:t>
      </w:r>
      <w:r w:rsidRPr="00A86AA2">
        <w:rPr>
          <w:rStyle w:val="Emphasis"/>
          <w:highlight w:val="green"/>
        </w:rPr>
        <w:t>red state</w:t>
      </w:r>
      <w:r w:rsidRPr="000A2309">
        <w:rPr>
          <w:rStyle w:val="Emphasis"/>
        </w:rPr>
        <w:t xml:space="preserve">” </w:t>
      </w:r>
      <w:r w:rsidRPr="00A86AA2">
        <w:rPr>
          <w:rStyle w:val="Emphasis"/>
          <w:highlight w:val="green"/>
        </w:rPr>
        <w:t>teacher strikes</w:t>
      </w:r>
      <w:r w:rsidRPr="000A2309">
        <w:rPr>
          <w:rStyle w:val="Emphasis"/>
        </w:rPr>
        <w:t xml:space="preserve"> of 2018, more than a hundred thousand educators in West Virginia, Oklahoma, Arizona, and other states struck to challenge post-Great Recession austerity measures, which they argued hurt teachers and students, alike.182 These strikes </w:t>
      </w:r>
      <w:r w:rsidRPr="00A86AA2">
        <w:rPr>
          <w:rStyle w:val="Emphasis"/>
          <w:highlight w:val="green"/>
        </w:rPr>
        <w:t>were illegal</w:t>
      </w:r>
      <w:r w:rsidRPr="00A86AA2">
        <w:rPr>
          <w:rStyle w:val="Emphasis"/>
        </w:rPr>
        <w:t xml:space="preserve">; </w:t>
      </w:r>
      <w:r w:rsidRPr="00A86AA2">
        <w:rPr>
          <w:rStyle w:val="Emphasis"/>
          <w:highlight w:val="green"/>
        </w:rPr>
        <w:t>yet</w:t>
      </w:r>
      <w:r w:rsidRPr="00A86AA2">
        <w:rPr>
          <w:sz w:val="16"/>
        </w:rPr>
        <w:t xml:space="preserve">, no penalties were imposed.183 </w:t>
      </w:r>
      <w:r w:rsidRPr="000A2309">
        <w:rPr>
          <w:rStyle w:val="Emphasis"/>
        </w:rPr>
        <w:t xml:space="preserve">Rather, the strikes grew workers’ unions, </w:t>
      </w:r>
      <w:r w:rsidRPr="00A86AA2">
        <w:rPr>
          <w:rStyle w:val="Emphasis"/>
          <w:highlight w:val="green"/>
        </w:rPr>
        <w:t>won meaningful concessions from state governments</w:t>
      </w:r>
      <w:r w:rsidRPr="000A2309">
        <w:rPr>
          <w:rStyle w:val="Emphasis"/>
        </w:rPr>
        <w:t>, and built public support.</w:t>
      </w:r>
      <w:r w:rsidRPr="00A86AA2">
        <w:rPr>
          <w:sz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A86AA2">
        <w:rPr>
          <w:rStyle w:val="Emphasis"/>
          <w:highlight w:val="green"/>
        </w:rPr>
        <w:t>2020 saw a flurry of work stoppages in support of</w:t>
      </w:r>
      <w:r w:rsidRPr="00A86AA2">
        <w:rPr>
          <w:rStyle w:val="Emphasis"/>
        </w:rPr>
        <w:t xml:space="preserve"> the </w:t>
      </w:r>
      <w:r w:rsidRPr="00A86AA2">
        <w:rPr>
          <w:rStyle w:val="Emphasis"/>
          <w:highlight w:val="green"/>
        </w:rPr>
        <w:t>B</w:t>
      </w:r>
      <w:r w:rsidRPr="00A86AA2">
        <w:rPr>
          <w:rStyle w:val="Emphasis"/>
        </w:rPr>
        <w:t xml:space="preserve">lack </w:t>
      </w:r>
      <w:r w:rsidRPr="00A86AA2">
        <w:rPr>
          <w:rStyle w:val="Emphasis"/>
          <w:highlight w:val="green"/>
        </w:rPr>
        <w:t>L</w:t>
      </w:r>
      <w:r w:rsidRPr="00A86AA2">
        <w:rPr>
          <w:rStyle w:val="Emphasis"/>
        </w:rPr>
        <w:t xml:space="preserve">ives </w:t>
      </w:r>
      <w:r w:rsidRPr="00A86AA2">
        <w:rPr>
          <w:rStyle w:val="Emphasis"/>
          <w:highlight w:val="green"/>
        </w:rPr>
        <w:t>M</w:t>
      </w:r>
      <w:r w:rsidRPr="00A86AA2">
        <w:rPr>
          <w:rStyle w:val="Emphasis"/>
        </w:rPr>
        <w:t>atter movement</w:t>
      </w:r>
      <w:r w:rsidRPr="00A86AA2">
        <w:rPr>
          <w:sz w:val="16"/>
        </w:rPr>
        <w:t xml:space="preserve">.186 These ranged from Minneapolis bus drivers’ refusal to transport protesters to jail, to Service Employees International Union’s Strike for Black Lives, to the NBA players’ wildcat strike.187 </w:t>
      </w:r>
      <w:r w:rsidRPr="00A86AA2">
        <w:rPr>
          <w:rStyle w:val="Emphasis"/>
        </w:rPr>
        <w:t xml:space="preserve">Some of these </w:t>
      </w:r>
      <w:r w:rsidRPr="00A86AA2">
        <w:rPr>
          <w:rStyle w:val="Emphasis"/>
          <w:highlight w:val="green"/>
        </w:rPr>
        <w:t>protests violated legal restrictions</w:t>
      </w:r>
      <w:r w:rsidRPr="00A86AA2">
        <w:rPr>
          <w:rStyle w:val="Emphasis"/>
        </w:rPr>
        <w:t>. The NBA players’ strike for instance, was inconsistent with a “no-strike” clause in their collective-bargaining agreement with the NBA.</w:t>
      </w:r>
      <w:r w:rsidRPr="00A86AA2">
        <w:rPr>
          <w:sz w:val="16"/>
        </w:rPr>
        <w:t xml:space="preserve">188 And it remains an open question in each case whether workers sought goals that were sufficiently job-related as to constitute protected activity.189 </w:t>
      </w:r>
      <w:r w:rsidRPr="00A86AA2">
        <w:rPr>
          <w:rStyle w:val="Emphasis"/>
          <w:highlight w:val="green"/>
        </w:rPr>
        <w:t>Whatever the conclusion under current law</w:t>
      </w:r>
      <w:r w:rsidRPr="00A86AA2">
        <w:rPr>
          <w:rStyle w:val="Emphasis"/>
        </w:rPr>
        <w:t xml:space="preserve">, however, striking </w:t>
      </w:r>
      <w:r w:rsidRPr="00A86AA2">
        <w:rPr>
          <w:rStyle w:val="Emphasis"/>
          <w:highlight w:val="green"/>
        </w:rPr>
        <w:t>workers demonstrated</w:t>
      </w:r>
      <w:r w:rsidRPr="00A86AA2">
        <w:rPr>
          <w:rStyle w:val="Emphasis"/>
        </w:rPr>
        <w:t xml:space="preserve"> in fact the relationship between their workplaces and </w:t>
      </w:r>
      <w:r w:rsidRPr="00A86AA2">
        <w:rPr>
          <w:rStyle w:val="Emphasis"/>
          <w:highlight w:val="green"/>
        </w:rPr>
        <w:t>broader political concerns</w:t>
      </w:r>
      <w:r w:rsidRPr="00A86AA2">
        <w:rPr>
          <w:rStyle w:val="Emphasis"/>
        </w:rPr>
        <w:t>.</w:t>
      </w:r>
      <w:r w:rsidRPr="00A86AA2">
        <w:rPr>
          <w:sz w:val="16"/>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sidRPr="00A86AA2">
        <w:rPr>
          <w:rStyle w:val="Emphasis"/>
        </w:rPr>
        <w:t>Collectively, all of these strikes have prompted debates within the labor movement about what a strike is, and what its role should be.</w:t>
      </w:r>
      <w:r w:rsidRPr="00A86AA2">
        <w:rPr>
          <w:sz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A86AA2">
        <w:rPr>
          <w:rStyle w:val="Emphasis"/>
          <w:highlight w:val="green"/>
        </w:rPr>
        <w:t>law has played an undertheorized role</w:t>
      </w:r>
      <w:r w:rsidRPr="00A86AA2">
        <w:rPr>
          <w:rStyle w:val="Emphasis"/>
        </w:rPr>
        <w:t xml:space="preserve"> in constructing the labor movement and civil-rights movement as separate and apart from each other</w:t>
      </w:r>
      <w:r w:rsidRPr="00A86AA2">
        <w:rPr>
          <w:sz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w:t>
      </w:r>
      <w:r w:rsidRPr="00A86AA2">
        <w:rPr>
          <w:sz w:val="16"/>
        </w:rPr>
        <w:lastRenderedPageBreak/>
        <w:t xml:space="preserve">dearly.195 As such, it is no surprise that some unions are reluctant to embrace a broader vision of what the strike can be. Under current law, worker protest that defies acceptable legal parameters can destroy a union. </w:t>
      </w:r>
      <w:r w:rsidRPr="00A86AA2">
        <w:rPr>
          <w:rStyle w:val="Emphasis"/>
          <w:highlight w:val="green"/>
        </w:rPr>
        <w:t>Recasting the strike</w:t>
      </w:r>
      <w:r w:rsidRPr="00A86AA2">
        <w:rPr>
          <w:rStyle w:val="Emphasis"/>
        </w:rPr>
        <w:t>—and the work of unions more broadly—</w:t>
      </w:r>
      <w:r w:rsidRPr="00A86AA2">
        <w:rPr>
          <w:rStyle w:val="Emphasis"/>
          <w:highlight w:val="green"/>
        </w:rPr>
        <w:t>as political is risky</w:t>
      </w:r>
      <w:r w:rsidRPr="00A86AA2">
        <w:rPr>
          <w:sz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A86AA2">
        <w:rPr>
          <w:rStyle w:val="Emphasis"/>
        </w:rPr>
        <w:t xml:space="preserve">And </w:t>
      </w:r>
      <w:r w:rsidRPr="00A86AA2">
        <w:rPr>
          <w:rStyle w:val="Emphasis"/>
          <w:highlight w:val="green"/>
        </w:rPr>
        <w:t>yet, labor’s reluctance to engage in the “contest of ideas”</w:t>
      </w:r>
      <w:r w:rsidRPr="00A86AA2">
        <w:rPr>
          <w:rStyle w:val="Emphasis"/>
        </w:rPr>
        <w:t xml:space="preserve"> has </w:t>
      </w:r>
      <w:r w:rsidRPr="00A86AA2">
        <w:rPr>
          <w:rStyle w:val="Emphasis"/>
          <w:highlight w:val="green"/>
        </w:rPr>
        <w:t>inhibited</w:t>
      </w:r>
      <w:r w:rsidRPr="00A86AA2">
        <w:rPr>
          <w:rStyle w:val="Emphasis"/>
        </w:rPr>
        <w:t xml:space="preserve"> more than its cultivation of broader allies; </w:t>
      </w:r>
      <w:r w:rsidRPr="00A86AA2">
        <w:rPr>
          <w:rStyle w:val="Emphasis"/>
          <w:highlight w:val="green"/>
        </w:rPr>
        <w:t>it</w:t>
      </w:r>
      <w:r w:rsidRPr="00A86AA2">
        <w:rPr>
          <w:rStyle w:val="Emphasis"/>
        </w:rPr>
        <w:t xml:space="preserve"> has inhibited its own organizing.</w:t>
      </w:r>
      <w:r w:rsidRPr="00A86AA2">
        <w:rPr>
          <w:sz w:val="16"/>
        </w:rPr>
        <w:t xml:space="preserve"> If working people have no exposure to alternative visions of political economy or what workplace democracy entails, it is that much harder to convince them to join unions. </w:t>
      </w:r>
      <w:r w:rsidRPr="00A86AA2">
        <w:rPr>
          <w:rStyle w:val="Emphasis"/>
        </w:rPr>
        <w:t xml:space="preserve">Similarly, labor’s </w:t>
      </w:r>
      <w:r w:rsidRPr="00A86AA2">
        <w:rPr>
          <w:rStyle w:val="Emphasis"/>
          <w:highlight w:val="green"/>
        </w:rPr>
        <w:t>desire to organize around</w:t>
      </w:r>
      <w:r w:rsidRPr="00A86AA2">
        <w:rPr>
          <w:rStyle w:val="Emphasis"/>
        </w:rPr>
        <w:t xml:space="preserve"> a decontextualized </w:t>
      </w:r>
      <w:r w:rsidRPr="00A86AA2">
        <w:rPr>
          <w:rStyle w:val="Emphasis"/>
          <w:highlight w:val="green"/>
        </w:rPr>
        <w:t>“economics” has always diminished its power</w:t>
      </w:r>
      <w:r w:rsidRPr="00A86AA2">
        <w:rPr>
          <w:rStyle w:val="Emphasis"/>
        </w:rPr>
        <w:t xml:space="preserve"> (and moral authority), </w:t>
      </w:r>
      <w:r w:rsidRPr="00A86AA2">
        <w:rPr>
          <w:rStyle w:val="Emphasis"/>
          <w:highlight w:val="green"/>
        </w:rPr>
        <w:t>given that the economy is structured by</w:t>
      </w:r>
      <w:r w:rsidRPr="00A86AA2">
        <w:rPr>
          <w:rStyle w:val="Emphasis"/>
        </w:rPr>
        <w:t xml:space="preserve"> race, gender, and other </w:t>
      </w:r>
      <w:r w:rsidRPr="00A86AA2">
        <w:rPr>
          <w:rStyle w:val="Emphasis"/>
          <w:highlight w:val="green"/>
        </w:rPr>
        <w:t>status inequalities</w:t>
      </w:r>
      <w:r w:rsidRPr="00A86AA2">
        <w:rPr>
          <w:rStyle w:val="Emphasis"/>
        </w:rPr>
        <w:t>—and always has been.</w:t>
      </w:r>
      <w:r w:rsidRPr="00A86AA2">
        <w:rPr>
          <w:sz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47120632" w14:textId="77777777" w:rsidR="00EF7E21" w:rsidRDefault="00EF7E21" w:rsidP="00EF7E21">
      <w:pPr>
        <w:pStyle w:val="Heading4"/>
      </w:pPr>
      <w:r>
        <w:t>Blindly introducing the right to strike always entrenches neoliberalism, guaranteeing its own fruitlessness and undermining the power of the working class, turning case—South Africa proves</w:t>
      </w:r>
    </w:p>
    <w:p w14:paraId="198481BC" w14:textId="77777777" w:rsidR="00EF7E21" w:rsidRPr="00F9504E" w:rsidRDefault="00EF7E21" w:rsidP="00EF7E21">
      <w:r w:rsidRPr="008E4921">
        <w:rPr>
          <w:rStyle w:val="Style13ptBold"/>
        </w:rPr>
        <w:t>Runciman 19</w:t>
      </w:r>
      <w:r>
        <w:t xml:space="preserve">-- </w:t>
      </w:r>
      <w:r w:rsidRPr="00F9504E">
        <w:t>Runciman, Carin</w:t>
      </w:r>
      <w:r>
        <w:t xml:space="preserve"> [</w:t>
      </w:r>
      <w:r w:rsidRPr="001674AA">
        <w:t>Associate Professor of Sociology</w:t>
      </w:r>
      <w:r>
        <w:t xml:space="preserve"> at University of Johannesburg]</w:t>
      </w:r>
      <w:r w:rsidRPr="00F9504E">
        <w:t>. "The" Double-edged Sword" of Institutional Power: COSATU, Neo-liberalisation and the Right to Strike." Global Labour Journal 10.2 (2019).</w:t>
      </w:r>
      <w:r>
        <w:t xml:space="preserve"> (AG DebateDrills)</w:t>
      </w:r>
    </w:p>
    <w:p w14:paraId="0B71CD69" w14:textId="77777777" w:rsidR="00EF7E21" w:rsidRDefault="00EF7E21" w:rsidP="00EF7E21">
      <w:pPr>
        <w:rPr>
          <w:rStyle w:val="Emphasis"/>
        </w:rPr>
      </w:pPr>
      <w:r w:rsidRPr="003356E5">
        <w:rPr>
          <w:sz w:val="16"/>
        </w:rPr>
        <w:t xml:space="preserve">The analysis presented in this article offers a challenge for the use of the PRA and the analysis of institutional power. By situating institutional power within an analysis of corporatism, I argue that institutional power develops further analytical utility, which is attentive to class forces. In addition to this, in the specificities of the South African context, corporatism also provides an avenue for understanding how the specific forms of institutional power that have been forged by COSATU are related to their political relationship to the ANC, thus providing a more comprehensive account of how institutional power has been shaped. The article not only considers what gives rise to institutional power but also how it has been strategically used. Understanding this requires a wider consideration of COSATU’s associational and structural power as well as its waning political influence. </w:t>
      </w:r>
      <w:r w:rsidRPr="003356E5">
        <w:rPr>
          <w:rStyle w:val="Emphasis"/>
        </w:rPr>
        <w:t xml:space="preserve">By </w:t>
      </w:r>
      <w:r w:rsidRPr="003356E5">
        <w:rPr>
          <w:rStyle w:val="Emphasis"/>
          <w:highlight w:val="green"/>
        </w:rPr>
        <w:t>analysing the 1995 LRA and</w:t>
      </w:r>
      <w:r w:rsidRPr="003356E5">
        <w:rPr>
          <w:rStyle w:val="Emphasis"/>
        </w:rPr>
        <w:t xml:space="preserve"> the </w:t>
      </w:r>
      <w:r w:rsidRPr="003356E5">
        <w:rPr>
          <w:rStyle w:val="Emphasis"/>
          <w:highlight w:val="green"/>
        </w:rPr>
        <w:t>2019 amendments</w:t>
      </w:r>
      <w:r w:rsidRPr="003356E5">
        <w:rPr>
          <w:rStyle w:val="Emphasis"/>
        </w:rPr>
        <w:t xml:space="preserve"> this article is able to give some consideration as to </w:t>
      </w:r>
      <w:r w:rsidRPr="003356E5">
        <w:rPr>
          <w:rStyle w:val="Emphasis"/>
          <w:highlight w:val="green"/>
        </w:rPr>
        <w:t>[shows] how</w:t>
      </w:r>
      <w:r w:rsidRPr="003356E5">
        <w:rPr>
          <w:rStyle w:val="Emphasis"/>
        </w:rPr>
        <w:t xml:space="preserve"> COSATU’s </w:t>
      </w:r>
      <w:r w:rsidRPr="003356E5">
        <w:rPr>
          <w:rStyle w:val="Emphasis"/>
          <w:highlight w:val="green"/>
        </w:rPr>
        <w:t>institutional power has unfolded through time</w:t>
      </w:r>
      <w:r w:rsidRPr="003356E5">
        <w:rPr>
          <w:rStyle w:val="Emphasis"/>
        </w:rPr>
        <w:t xml:space="preserve">. </w:t>
      </w:r>
      <w:r w:rsidRPr="003356E5">
        <w:rPr>
          <w:rStyle w:val="Emphasis"/>
          <w:highlight w:val="green"/>
        </w:rPr>
        <w:t>Rather than viewing the 1995 LRA as an unqualified victory</w:t>
      </w:r>
      <w:r w:rsidRPr="003356E5">
        <w:rPr>
          <w:rStyle w:val="Emphasis"/>
        </w:rPr>
        <w:t xml:space="preserve">, as is commonly the case within the literature (Adler and Webster, 1999), this article highlights how </w:t>
      </w:r>
      <w:r w:rsidRPr="003356E5">
        <w:rPr>
          <w:rStyle w:val="Emphasis"/>
          <w:highlight w:val="green"/>
        </w:rPr>
        <w:t>significant compromises</w:t>
      </w:r>
      <w:r w:rsidRPr="003356E5">
        <w:rPr>
          <w:rStyle w:val="Emphasis"/>
        </w:rPr>
        <w:t xml:space="preserve"> within the 1995 LRA </w:t>
      </w:r>
      <w:r w:rsidRPr="003356E5">
        <w:rPr>
          <w:rStyle w:val="Emphasis"/>
          <w:highlight w:val="green"/>
        </w:rPr>
        <w:t>entrenched neo-liberalism in South Africa</w:t>
      </w:r>
      <w:r w:rsidRPr="003356E5">
        <w:rPr>
          <w:rStyle w:val="Emphasis"/>
        </w:rPr>
        <w:t xml:space="preserve">, </w:t>
      </w:r>
      <w:r w:rsidRPr="003356E5">
        <w:rPr>
          <w:rStyle w:val="Emphasis"/>
          <w:highlight w:val="green"/>
        </w:rPr>
        <w:t>the unintended consequences</w:t>
      </w:r>
      <w:r w:rsidRPr="003356E5">
        <w:rPr>
          <w:rStyle w:val="Emphasis"/>
        </w:rPr>
        <w:t xml:space="preserve"> of which </w:t>
      </w:r>
      <w:r w:rsidRPr="003356E5">
        <w:rPr>
          <w:rStyle w:val="Emphasis"/>
          <w:highlight w:val="green"/>
        </w:rPr>
        <w:t>have served to undermine the power of trade unions</w:t>
      </w:r>
      <w:r w:rsidRPr="003356E5">
        <w:rPr>
          <w:rStyle w:val="Emphasis"/>
        </w:rPr>
        <w:t xml:space="preserve"> and the working class overall.</w:t>
      </w:r>
      <w:r w:rsidRPr="003356E5">
        <w:rPr>
          <w:sz w:val="16"/>
        </w:rPr>
        <w:t xml:space="preserve"> The analysis presented within this article demonstrates how neo-liberal restructuring in South Africa emerged hand-in-hand with corporatism. </w:t>
      </w:r>
      <w:r w:rsidRPr="003356E5">
        <w:rPr>
          <w:rStyle w:val="Emphasis"/>
        </w:rPr>
        <w:t xml:space="preserve">The 1995 </w:t>
      </w:r>
      <w:r w:rsidRPr="003356E5">
        <w:rPr>
          <w:rStyle w:val="Emphasis"/>
          <w:highlight w:val="green"/>
        </w:rPr>
        <w:t>LRA</w:t>
      </w:r>
      <w:r w:rsidRPr="003356E5">
        <w:rPr>
          <w:rStyle w:val="Emphasis"/>
        </w:rPr>
        <w:t xml:space="preserve"> was the first and one of the most significant pieces of legislation to be enacted by the first democratic government. While it was undoubtedly a significant step forward for South African workers, particularly black South African workers, it also </w:t>
      </w:r>
      <w:r w:rsidRPr="003356E5">
        <w:rPr>
          <w:rStyle w:val="Emphasis"/>
          <w:highlight w:val="green"/>
        </w:rPr>
        <w:t>set out an explicitly neo-liberal path focused on “regulated flexibility”</w:t>
      </w:r>
      <w:r w:rsidRPr="003356E5">
        <w:rPr>
          <w:rStyle w:val="Emphasis"/>
        </w:rPr>
        <w:t xml:space="preserve"> (Du Toit et al., 2003), an objective of both corporatism and neo-liberalism</w:t>
      </w:r>
      <w:r w:rsidRPr="003356E5">
        <w:rPr>
          <w:sz w:val="16"/>
        </w:rPr>
        <w:t xml:space="preserve"> (Humphrys, 2018). While it could be argued that the compromises of the 1995 LRA were necessary in order to formally end the apartheid labour regime, this does not mean we should negate an understanding of COSATU’s agency in resisting the forces of neo-liberalism. </w:t>
      </w:r>
      <w:r w:rsidRPr="003356E5">
        <w:rPr>
          <w:rStyle w:val="Emphasis"/>
        </w:rPr>
        <w:t xml:space="preserve">As this article argues, </w:t>
      </w:r>
      <w:r w:rsidRPr="003356E5">
        <w:rPr>
          <w:rStyle w:val="Emphasis"/>
          <w:highlight w:val="green"/>
        </w:rPr>
        <w:t>COSATU made strategic choices about whom to organise</w:t>
      </w:r>
      <w:r w:rsidRPr="003356E5">
        <w:rPr>
          <w:rStyle w:val="Emphasis"/>
        </w:rPr>
        <w:t>, and in doing so chose to neglect some of the most vulnerable sections of the South African labour market. In the absence of organised labour, the number of precarious workers has grown considerably.</w:t>
      </w:r>
      <w:r w:rsidRPr="003356E5">
        <w:rPr>
          <w:sz w:val="16"/>
        </w:rPr>
        <w:t xml:space="preserve"> While COSATU did utilise its institutional power to initiate reforms to the LRA to enhance </w:t>
      </w:r>
      <w:r w:rsidRPr="003356E5">
        <w:rPr>
          <w:sz w:val="16"/>
        </w:rPr>
        <w:lastRenderedPageBreak/>
        <w:t xml:space="preserve">protections for vulnerable workers, this has translated into little concrete organising of these workers. </w:t>
      </w:r>
      <w:r w:rsidRPr="003356E5">
        <w:rPr>
          <w:rStyle w:val="Emphasis"/>
        </w:rPr>
        <w:t xml:space="preserve">Indeed, if anything, </w:t>
      </w:r>
      <w:r w:rsidRPr="003356E5">
        <w:rPr>
          <w:rStyle w:val="Emphasis"/>
          <w:highlight w:val="green"/>
        </w:rPr>
        <w:t>the 2019 amendments illustrate</w:t>
      </w:r>
      <w:r w:rsidRPr="003356E5">
        <w:rPr>
          <w:rStyle w:val="Emphasis"/>
        </w:rPr>
        <w:t xml:space="preserve"> that </w:t>
      </w:r>
      <w:r w:rsidRPr="003356E5">
        <w:rPr>
          <w:rStyle w:val="Emphasis"/>
          <w:highlight w:val="green"/>
        </w:rPr>
        <w:t>COSATU is willing to act against</w:t>
      </w:r>
      <w:r w:rsidRPr="003356E5">
        <w:rPr>
          <w:rStyle w:val="Emphasis"/>
        </w:rPr>
        <w:t xml:space="preserve"> the interests of these </w:t>
      </w:r>
      <w:r w:rsidRPr="003356E5">
        <w:rPr>
          <w:rStyle w:val="Emphasis"/>
          <w:highlight w:val="green"/>
        </w:rPr>
        <w:t>workers</w:t>
      </w:r>
      <w:r w:rsidRPr="003356E5">
        <w:rPr>
          <w:rStyle w:val="Emphasis"/>
        </w:rPr>
        <w:t xml:space="preserve"> in order </w:t>
      </w:r>
      <w:r w:rsidRPr="003356E5">
        <w:rPr>
          <w:rStyle w:val="Emphasis"/>
          <w:highlight w:val="green"/>
        </w:rPr>
        <w:t>to shore up its own</w:t>
      </w:r>
      <w:r w:rsidRPr="003356E5">
        <w:rPr>
          <w:rStyle w:val="Emphasis"/>
        </w:rPr>
        <w:t xml:space="preserve"> structural, associational and institutional </w:t>
      </w:r>
      <w:r w:rsidRPr="003356E5">
        <w:rPr>
          <w:rStyle w:val="Emphasis"/>
          <w:highlight w:val="green"/>
        </w:rPr>
        <w:t>power</w:t>
      </w:r>
      <w:r>
        <w:rPr>
          <w:rStyle w:val="Emphasis"/>
        </w:rPr>
        <w:t>.</w:t>
      </w:r>
    </w:p>
    <w:p w14:paraId="6B82C2B9" w14:textId="6116CB8F" w:rsidR="00EF7E21" w:rsidRDefault="00EF7E21" w:rsidP="00EF7E21"/>
    <w:p w14:paraId="428C0BCF" w14:textId="34FD7337" w:rsidR="00D045AB" w:rsidRDefault="00D045AB" w:rsidP="00D045AB">
      <w:pPr>
        <w:pStyle w:val="Heading3"/>
      </w:pPr>
      <w:r>
        <w:lastRenderedPageBreak/>
        <w:t>Advantage</w:t>
      </w:r>
    </w:p>
    <w:p w14:paraId="3D202197" w14:textId="14B5717A" w:rsidR="00D045AB" w:rsidRDefault="00D045AB" w:rsidP="00EF7E21"/>
    <w:p w14:paraId="18A79CB6" w14:textId="77777777" w:rsidR="00D045AB" w:rsidRDefault="00D045AB" w:rsidP="00D045AB">
      <w:pPr>
        <w:pStyle w:val="Heading4"/>
      </w:pPr>
      <w:r w:rsidRPr="00E35A11">
        <w:t>Scholars are too quick to call for democracy’s impending doom and draw comparisons with autocracies—in fact, democracy is resilent and will remain strong for a long while in the squo</w:t>
      </w:r>
    </w:p>
    <w:p w14:paraId="7133A13F" w14:textId="77777777" w:rsidR="00D045AB" w:rsidRPr="00E35A11" w:rsidRDefault="00D045AB" w:rsidP="00D045AB">
      <w:r w:rsidRPr="006102F0">
        <w:rPr>
          <w:rStyle w:val="Style13ptBold"/>
        </w:rPr>
        <w:t>Hyde 20</w:t>
      </w:r>
      <w:r>
        <w:t xml:space="preserve">-- </w:t>
      </w:r>
      <w:r w:rsidRPr="00E35A11">
        <w:t>Hyde, Susan D.</w:t>
      </w:r>
      <w:r>
        <w:t xml:space="preserve"> [Department Chair of Political Science at Berkeley with research interests in </w:t>
      </w:r>
      <w:r w:rsidRPr="00C66E4A">
        <w:t>Elections, Electoral Violence, Field Experiments, Democracy Promotion, International Norms</w:t>
      </w:r>
      <w:r>
        <w:t>]</w:t>
      </w:r>
      <w:r w:rsidRPr="00E35A11">
        <w:t>; Saunders, Elizabeth N. (2020). Recapturing Regime Type in International Relations: Leaders, Institutions, and Agency Space. International Organization, (), 1–33. doi:10.1017/S0020818319000365</w:t>
      </w:r>
      <w:r>
        <w:t>. (AG DebateDrills)</w:t>
      </w:r>
    </w:p>
    <w:p w14:paraId="64BDD164" w14:textId="77777777" w:rsidR="00D045AB" w:rsidRPr="00224150" w:rsidRDefault="00D045AB" w:rsidP="00D045AB">
      <w:pPr>
        <w:spacing w:after="0" w:line="240" w:lineRule="auto"/>
        <w:rPr>
          <w:rFonts w:ascii="Times New Roman" w:eastAsia="Times New Roman" w:hAnsi="Times New Roman" w:cs="Times New Roman"/>
          <w:sz w:val="16"/>
        </w:rPr>
      </w:pPr>
      <w:r w:rsidRPr="00224150">
        <w:rPr>
          <w:sz w:val="16"/>
        </w:rPr>
        <w:t xml:space="preserve">Our framework—and the books and related work that inspired it—lead us to conclude that regime type is still a crucial concept in IR, and that the overarching picture from second-generation scholarship has reaffirmed, rather than rejected, its importance. </w:t>
      </w:r>
      <w:r w:rsidRPr="00112B13">
        <w:rPr>
          <w:rStyle w:val="Emphasis"/>
        </w:rPr>
        <w:t xml:space="preserve">The </w:t>
      </w:r>
      <w:r w:rsidRPr="00224150">
        <w:rPr>
          <w:rStyle w:val="Emphasis"/>
          <w:highlight w:val="green"/>
        </w:rPr>
        <w:t>pendulum</w:t>
      </w:r>
      <w:r w:rsidRPr="00112B13">
        <w:rPr>
          <w:rStyle w:val="Emphasis"/>
        </w:rPr>
        <w:t xml:space="preserve"> that swung </w:t>
      </w:r>
      <w:r w:rsidRPr="00224150">
        <w:rPr>
          <w:rStyle w:val="Emphasis"/>
          <w:highlight w:val="green"/>
        </w:rPr>
        <w:t>toward domestic politics</w:t>
      </w:r>
      <w:r w:rsidRPr="00112B13">
        <w:rPr>
          <w:rStyle w:val="Emphasis"/>
        </w:rPr>
        <w:t xml:space="preserve"> and particularly the distinctiveness of democracies </w:t>
      </w:r>
      <w:r w:rsidRPr="00224150">
        <w:rPr>
          <w:rStyle w:val="Emphasis"/>
          <w:highlight w:val="green"/>
        </w:rPr>
        <w:t>after the Cold War has not swung back as far as some suggest</w:t>
      </w:r>
      <w:r w:rsidRPr="00224150">
        <w:rPr>
          <w:sz w:val="16"/>
        </w:rPr>
        <w:t xml:space="preserve">. Regime type provides important structural constraints and bounds on state leaders and the degree to which political elites can strategically manipulate those constraints. Such manipulation may have important payoffs in particular issue areas, but crucially, it can also backfire. The costs and risks associated with strategic manipulation of domestic audiences suggest many avenues for future research. </w:t>
      </w:r>
      <w:r w:rsidRPr="00112B13">
        <w:rPr>
          <w:rStyle w:val="Emphasis"/>
        </w:rPr>
        <w:t xml:space="preserve">Beyond this research agenda, our review yields several important takeaways about the direction of research on regime type and international relations. First, while </w:t>
      </w:r>
      <w:r w:rsidRPr="00224150">
        <w:rPr>
          <w:rStyle w:val="Emphasis"/>
          <w:highlight w:val="green"/>
        </w:rPr>
        <w:t>scholarship on</w:t>
      </w:r>
      <w:r w:rsidRPr="00112B13">
        <w:rPr>
          <w:rStyle w:val="Emphasis"/>
        </w:rPr>
        <w:t xml:space="preserve"> what we call </w:t>
      </w:r>
      <w:r w:rsidRPr="00224150">
        <w:rPr>
          <w:rStyle w:val="Emphasis"/>
          <w:highlight w:val="green"/>
        </w:rPr>
        <w:t>structural and strategic sources of leader</w:t>
      </w:r>
      <w:r w:rsidRPr="00112B13">
        <w:rPr>
          <w:rStyle w:val="Emphasis"/>
        </w:rPr>
        <w:t xml:space="preserve">-audience </w:t>
      </w:r>
      <w:r w:rsidRPr="00224150">
        <w:rPr>
          <w:rStyle w:val="Emphasis"/>
          <w:highlight w:val="green"/>
        </w:rPr>
        <w:t>accountability</w:t>
      </w:r>
      <w:r w:rsidRPr="00112B13">
        <w:rPr>
          <w:rStyle w:val="Emphasis"/>
        </w:rPr>
        <w:t xml:space="preserve"> is not new, few scholars </w:t>
      </w:r>
      <w:r w:rsidRPr="00224150">
        <w:rPr>
          <w:rStyle w:val="Emphasis"/>
          <w:highlight w:val="green"/>
        </w:rPr>
        <w:t>[rarely] address[es] both</w:t>
      </w:r>
      <w:r w:rsidRPr="00112B13">
        <w:rPr>
          <w:rStyle w:val="Emphasis"/>
        </w:rPr>
        <w:t xml:space="preserve">. The </w:t>
      </w:r>
      <w:r w:rsidRPr="00224150">
        <w:rPr>
          <w:rStyle w:val="Emphasis"/>
          <w:highlight w:val="green"/>
        </w:rPr>
        <w:t>connection</w:t>
      </w:r>
      <w:r w:rsidRPr="00112B13">
        <w:rPr>
          <w:rStyle w:val="Emphasis"/>
        </w:rPr>
        <w:t xml:space="preserve"> between structural constraints and strategic behavior </w:t>
      </w:r>
      <w:r w:rsidRPr="00224150">
        <w:rPr>
          <w:rStyle w:val="Emphasis"/>
          <w:highlight w:val="green"/>
        </w:rPr>
        <w:t>is important because it affects how</w:t>
      </w:r>
      <w:r w:rsidRPr="00112B13">
        <w:rPr>
          <w:rStyle w:val="Emphasis"/>
        </w:rPr>
        <w:t xml:space="preserve"> much </w:t>
      </w:r>
      <w:r w:rsidRPr="00224150">
        <w:rPr>
          <w:rStyle w:val="Emphasis"/>
          <w:highlight w:val="green"/>
        </w:rPr>
        <w:t>leaders</w:t>
      </w:r>
      <w:r w:rsidRPr="00112B13">
        <w:rPr>
          <w:rStyle w:val="Emphasis"/>
        </w:rPr>
        <w:t xml:space="preserve"> can temporarily increase or decrease accountability before </w:t>
      </w:r>
      <w:r w:rsidRPr="00224150">
        <w:rPr>
          <w:rStyle w:val="Emphasis"/>
          <w:highlight w:val="green"/>
        </w:rPr>
        <w:t>trigger</w:t>
      </w:r>
      <w:r w:rsidRPr="00112B13">
        <w:rPr>
          <w:rStyle w:val="Emphasis"/>
        </w:rPr>
        <w:t xml:space="preserve">ing more </w:t>
      </w:r>
      <w:r w:rsidRPr="00224150">
        <w:rPr>
          <w:rStyle w:val="Emphasis"/>
          <w:highlight w:val="green"/>
        </w:rPr>
        <w:t>lasting institutional changes</w:t>
      </w:r>
      <w:r w:rsidRPr="00112B13">
        <w:rPr>
          <w:rStyle w:val="Emphasis"/>
        </w:rPr>
        <w:t>, and is essential to understanding regime type differences.</w:t>
      </w:r>
      <w:r w:rsidRPr="00224150">
        <w:rPr>
          <w:sz w:val="16"/>
        </w:rPr>
        <w:t xml:space="preserve"> It also influences the degree to which autocrats and democrats can move strategically against type, as when autocrats increase constraints and democrats increase insulation from domestic accountability. Even if an authoritarian state can sometimes generate democracy-like outcomes in the international arena, there is a ceiling on how constrained its leaders can be without causing instability or regime change. </w:t>
      </w:r>
      <w:r w:rsidRPr="00112B13">
        <w:rPr>
          <w:rStyle w:val="Emphasis"/>
        </w:rPr>
        <w:t>Second, our focus on the strategic sources of audience constraint highlights the limits of what better measures can do for understanding how regime type affects international behavior, despite improved measurement of both democracy and autocracy.</w:t>
      </w:r>
      <w:r w:rsidRPr="00224150">
        <w:rPr>
          <w:sz w:val="16"/>
        </w:rPr>
        <w:t xml:space="preserve">101 </w:t>
      </w:r>
      <w:r w:rsidRPr="00112B13">
        <w:rPr>
          <w:rStyle w:val="Emphasis"/>
        </w:rPr>
        <w:t xml:space="preserve">The </w:t>
      </w:r>
      <w:r w:rsidRPr="00224150">
        <w:rPr>
          <w:rStyle w:val="Emphasis"/>
          <w:highlight w:val="green"/>
        </w:rPr>
        <w:t>potential for states to behave in ways that lead to similar outcomes</w:t>
      </w:r>
      <w:r w:rsidRPr="00112B13">
        <w:rPr>
          <w:rStyle w:val="Emphasis"/>
        </w:rPr>
        <w:t xml:space="preserve">, and the difficulty in detecting and measuring the effects of strategic use of agency space, </w:t>
      </w:r>
      <w:r w:rsidRPr="00224150">
        <w:rPr>
          <w:rStyle w:val="Emphasis"/>
          <w:highlight w:val="green"/>
        </w:rPr>
        <w:t>underscore that new</w:t>
      </w:r>
      <w:r w:rsidRPr="00112B13">
        <w:rPr>
          <w:rStyle w:val="Emphasis"/>
        </w:rPr>
        <w:t xml:space="preserve"> and better </w:t>
      </w:r>
      <w:r w:rsidRPr="00224150">
        <w:rPr>
          <w:rStyle w:val="Emphasis"/>
          <w:highlight w:val="green"/>
        </w:rPr>
        <w:t>measures of political institutions are not enough to assess democratic or autocratic distinctiveness</w:t>
      </w:r>
      <w:r w:rsidRPr="00112B13">
        <w:rPr>
          <w:rStyle w:val="Emphasis"/>
        </w:rPr>
        <w:t xml:space="preserve"> on a given IR dependent variable</w:t>
      </w:r>
      <w:r w:rsidRPr="00224150">
        <w:rPr>
          <w:sz w:val="16"/>
        </w:rPr>
        <w:t xml:space="preserve">. Leader incentives to emulate features of other regime types—incentives which themselves depend on international-level factors—may bias measures and represent a thorny problem for cross-national empirical work. Additionally, state leaders may seek to confound not only direct measures of regime type, but also data on economic performance, for both domestic and international audiences.102 As new insights from comparative authoritarianism move into IPE, this problem may be even more challenging because bias in self-reported indicators may be systematically related to regime type in ways that are difficult to document. </w:t>
      </w:r>
      <w:r w:rsidRPr="00112B13">
        <w:rPr>
          <w:rStyle w:val="Emphasis"/>
        </w:rPr>
        <w:t xml:space="preserve">Third, what of the democratic advantage? Our reading is that the tone of </w:t>
      </w:r>
      <w:r w:rsidRPr="00224150">
        <w:rPr>
          <w:rStyle w:val="Emphasis"/>
          <w:highlight w:val="green"/>
        </w:rPr>
        <w:t>research on autocracies in IR is often too optimistic</w:t>
      </w:r>
      <w:r w:rsidRPr="00112B13">
        <w:rPr>
          <w:rStyle w:val="Emphasis"/>
        </w:rPr>
        <w:t>, while the tone of research on democracies is sometimes too gloomy.</w:t>
      </w:r>
      <w:r w:rsidRPr="00224150">
        <w:rPr>
          <w:sz w:val="16"/>
        </w:rPr>
        <w:t xml:space="preserve"> Even when autocrats decide to pay costs and reach a level of audience constraint accessible to democrats, it may not be a particularly large shift in international policy. For example, Vreeland argues that multiparty autocracies— which in our framework, have a higher default level of constraint than other autocracies—join institutions like the UN Convention Against Torture (CAT) precisely because it is a “relatively cheap concession” to interest groups that have some voice in domestic politics, and given the preferences of Western powers and NGOs, might bring some international benefits.103 But these autocratic CAT joiners continue to torture post-ratification. </w:t>
      </w:r>
      <w:r w:rsidRPr="00112B13">
        <w:rPr>
          <w:rStyle w:val="Emphasis"/>
        </w:rPr>
        <w:t xml:space="preserve">Likewise, some recent </w:t>
      </w:r>
      <w:r w:rsidRPr="00224150">
        <w:rPr>
          <w:rStyle w:val="Emphasis"/>
          <w:highlight w:val="green"/>
        </w:rPr>
        <w:t>research on how democracies fare</w:t>
      </w:r>
      <w:r w:rsidRPr="00112B13">
        <w:rPr>
          <w:rStyle w:val="Emphasis"/>
        </w:rPr>
        <w:t xml:space="preserve"> in the international arena can seem </w:t>
      </w:r>
      <w:r w:rsidRPr="00224150">
        <w:rPr>
          <w:rStyle w:val="Emphasis"/>
          <w:highlight w:val="green"/>
        </w:rPr>
        <w:t>overly pessimistic</w:t>
      </w:r>
      <w:r w:rsidRPr="00112B13">
        <w:rPr>
          <w:rStyle w:val="Emphasis"/>
        </w:rPr>
        <w:t xml:space="preserve">. </w:t>
      </w:r>
      <w:r w:rsidRPr="00224150">
        <w:rPr>
          <w:sz w:val="16"/>
        </w:rPr>
        <w:t xml:space="preserve">Some pessimism is natural given that many findings point either to similar outcomes across regime type or a smaller democratic advantage. And the news is not all good for democracies. For example, Bastiaens and Rudra show that democracies are less well-equipped to deal with the “revenue shock” resulting from a loss </w:t>
      </w:r>
      <w:r w:rsidRPr="00224150">
        <w:rPr>
          <w:sz w:val="16"/>
        </w:rPr>
        <w:lastRenderedPageBreak/>
        <w:t xml:space="preserve">of trade taxes under globalization.104 As we discuss here, democratic distinctiveness does not always translate into democratic advantage, or even preferable foreign policy choices. But other assessments would benefit from more clarity on exactly how costs manifest for democratic leaders to take advantage of agency space. When do democratic institutions provide leaders with flexibility to take advantage of agency space in different ways? How do democratic institutions withstand repeated attempts to manipulate constraint? Finally, renewed attention to system-level effects on domestic institutions suggests that domestic politics and international politics remain inseparable. These effects include the “hegemonic shocks” Gunitsky highlights, which directly affect the costs and benefits of certain domestic institutions; international pressure that incentivizes states to adopt democratic forms; and international market forces like capital abundance or scarcity that change the degree to which regime type matters. </w:t>
      </w:r>
      <w:r w:rsidRPr="001F72AA">
        <w:rPr>
          <w:rStyle w:val="Emphasis"/>
        </w:rPr>
        <w:t>Democracy may no longer pay quite so much as it did in the post-Cold War era of US hegemony. But if this era ushers in more similarity in international behavior across regime type, we should not conclude that similarity in domestic accountability necessarily reflects reduced influence of domestic politics.</w:t>
      </w:r>
      <w:r w:rsidRPr="00224150">
        <w:rPr>
          <w:sz w:val="16"/>
        </w:rPr>
        <w:t xml:space="preserve"> The works reviewed here remind us that regime type will remain a rich area of scholarship in IR for the foreseeable future. We paint a picture of democratic flexibility, with democratic leaders taking advantage of agency space more readily or with lower risks—leading to foreign policy outcomes that are sometimes, though not always, beneficial.</w:t>
      </w:r>
    </w:p>
    <w:p w14:paraId="0FCF2413" w14:textId="77777777" w:rsidR="00D045AB" w:rsidRPr="00EF7E21" w:rsidRDefault="00D045AB" w:rsidP="00EF7E21"/>
    <w:sectPr w:rsidR="00D045AB" w:rsidRPr="00EF7E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10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65D"/>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008"/>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98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521E"/>
    <w:rsid w:val="00C203FA"/>
    <w:rsid w:val="00C244F5"/>
    <w:rsid w:val="00C3164F"/>
    <w:rsid w:val="00C31B5E"/>
    <w:rsid w:val="00C34D3E"/>
    <w:rsid w:val="00C35B37"/>
    <w:rsid w:val="00C3747A"/>
    <w:rsid w:val="00C37F29"/>
    <w:rsid w:val="00C56DCC"/>
    <w:rsid w:val="00C57075"/>
    <w:rsid w:val="00C72AFE"/>
    <w:rsid w:val="00C81619"/>
    <w:rsid w:val="00C91068"/>
    <w:rsid w:val="00CA013C"/>
    <w:rsid w:val="00CA6D6D"/>
    <w:rsid w:val="00CC7A4E"/>
    <w:rsid w:val="00CD1359"/>
    <w:rsid w:val="00CD4C83"/>
    <w:rsid w:val="00D01EDC"/>
    <w:rsid w:val="00D045AB"/>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E21"/>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FF103"/>
  <w14:defaultImageDpi w14:val="300"/>
  <w15:docId w15:val="{AC012C1B-7375-8E4F-ABC2-8B4D8F5DD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106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910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10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910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C910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10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1068"/>
  </w:style>
  <w:style w:type="character" w:customStyle="1" w:styleId="Heading1Char">
    <w:name w:val="Heading 1 Char"/>
    <w:aliases w:val="Pocket Char"/>
    <w:basedOn w:val="DefaultParagraphFont"/>
    <w:link w:val="Heading1"/>
    <w:uiPriority w:val="9"/>
    <w:rsid w:val="00C910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10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9106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C9106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C91068"/>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C91068"/>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C9106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91068"/>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C91068"/>
    <w:rPr>
      <w:color w:val="auto"/>
      <w:u w:val="none"/>
    </w:rPr>
  </w:style>
  <w:style w:type="paragraph" w:styleId="DocumentMap">
    <w:name w:val="Document Map"/>
    <w:basedOn w:val="Normal"/>
    <w:link w:val="DocumentMapChar"/>
    <w:uiPriority w:val="99"/>
    <w:semiHidden/>
    <w:unhideWhenUsed/>
    <w:rsid w:val="00C910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1068"/>
    <w:rPr>
      <w:rFonts w:ascii="Lucida Grande" w:hAnsi="Lucida Grande" w:cs="Lucida Grande"/>
    </w:rPr>
  </w:style>
  <w:style w:type="paragraph" w:customStyle="1" w:styleId="textbold">
    <w:name w:val="text bold"/>
    <w:basedOn w:val="Normal"/>
    <w:link w:val="Emphasis"/>
    <w:uiPriority w:val="20"/>
    <w:qFormat/>
    <w:rsid w:val="00C91068"/>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eg">
    <w:name w:val="eg"/>
    <w:basedOn w:val="DefaultParagraphFont"/>
    <w:rsid w:val="003F065D"/>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3F065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D045A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0"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s://www.merriam-webster.com/dictionary/recogniz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16</Pages>
  <Words>6203</Words>
  <Characters>35363</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41484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7</cp:revision>
  <dcterms:created xsi:type="dcterms:W3CDTF">2021-11-20T14:48:00Z</dcterms:created>
  <dcterms:modified xsi:type="dcterms:W3CDTF">2021-11-20T16:11:00Z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