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CB1DA" w14:textId="3467C16E" w:rsidR="000F1652" w:rsidRPr="00B7008E" w:rsidRDefault="000630E3" w:rsidP="000F1652">
      <w:pPr>
        <w:pStyle w:val="Heading2"/>
        <w:keepNext w:val="0"/>
        <w:keepLines w:val="0"/>
        <w:shd w:val="clear" w:color="auto" w:fill="FFFFFF"/>
        <w:spacing w:before="360" w:after="80" w:line="240" w:lineRule="auto"/>
        <w:rPr>
          <w:rFonts w:asciiTheme="minorHAnsi" w:eastAsia="Times New Roman" w:hAnsiTheme="minorHAnsi" w:cstheme="minorHAnsi"/>
          <w:sz w:val="36"/>
          <w:szCs w:val="36"/>
        </w:rPr>
      </w:pPr>
      <w:r>
        <w:rPr>
          <w:rFonts w:asciiTheme="minorHAnsi" w:eastAsia="Times New Roman" w:hAnsiTheme="minorHAnsi" w:cstheme="minorHAnsi"/>
          <w:sz w:val="36"/>
          <w:szCs w:val="36"/>
        </w:rPr>
        <w:t>1</w:t>
      </w:r>
    </w:p>
    <w:p w14:paraId="29E690DC" w14:textId="77777777" w:rsidR="001722B0" w:rsidRPr="00B7008E" w:rsidRDefault="001722B0" w:rsidP="001722B0">
      <w:pPr>
        <w:shd w:val="clear" w:color="auto" w:fill="FFFFFF"/>
        <w:rPr>
          <w:rFonts w:asciiTheme="minorHAnsi" w:hAnsiTheme="minorHAnsi" w:cstheme="minorHAnsi"/>
          <w:b/>
          <w:sz w:val="11"/>
          <w:szCs w:val="11"/>
        </w:rPr>
      </w:pPr>
      <w:r w:rsidRPr="00B7008E">
        <w:rPr>
          <w:rFonts w:asciiTheme="minorHAnsi" w:hAnsiTheme="minorHAnsi" w:cstheme="minorHAnsi"/>
          <w:b/>
          <w:sz w:val="11"/>
          <w:szCs w:val="11"/>
        </w:rPr>
        <w:t xml:space="preserve"> </w:t>
      </w:r>
    </w:p>
    <w:p w14:paraId="1D245A6E"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Ziemer 21 Ziemer Colin, 5-7-2021, "What Is Going On? (Published 2020)," No Publication, https://www.nytimes.com/2020/08/19/business/dealbook/stock-market-record-high.html//SA</w:t>
      </w:r>
    </w:p>
    <w:p w14:paraId="2C6B60C9" w14:textId="21643891"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The S&amp;P 500 is 0.1 percent higher than it was six months ago, setting a record at 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2E6CCBAC"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What gives? A new market record may seem strange when set against the human and economic devastation of the pandemic. (Or as one analyst put it: “This market is nuts.”). As Andrew explains in a guest appearance in The Morning, our sister newsletter, there are five major considerations that investors are making to justify the rally:</w:t>
      </w:r>
    </w:p>
    <w:p w14:paraId="1ECE585B"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1</w:t>
      </w:r>
      <w:r w:rsidRPr="004A5372">
        <w:rPr>
          <w:rFonts w:ascii="Apple Color Emoji" w:hAnsi="Apple Color Emoji" w:cs="Apple Color Emoji"/>
          <w:sz w:val="21"/>
        </w:rPr>
        <w:t>️⃣</w:t>
      </w:r>
      <w:r w:rsidRPr="004A5372">
        <w:rPr>
          <w:rFonts w:asciiTheme="minorHAnsi" w:hAnsiTheme="minorHAnsi" w:cstheme="minorHAnsi"/>
          <w:sz w:val="21"/>
        </w:rPr>
        <w:t xml:space="preserve"> Looking past bad news today and anticipating better conditions 12 to 18 months from now</w:t>
      </w:r>
    </w:p>
    <w:p w14:paraId="6D2070D9"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2</w:t>
      </w:r>
      <w:r w:rsidRPr="004A5372">
        <w:rPr>
          <w:rFonts w:ascii="Apple Color Emoji" w:hAnsi="Apple Color Emoji" w:cs="Apple Color Emoji"/>
          <w:sz w:val="21"/>
        </w:rPr>
        <w:t>️⃣</w:t>
      </w:r>
      <w:r w:rsidRPr="004A5372">
        <w:rPr>
          <w:rFonts w:asciiTheme="minorHAnsi" w:hAnsiTheme="minorHAnsi" w:cstheme="minorHAnsi"/>
          <w:sz w:val="21"/>
        </w:rPr>
        <w:t xml:space="preserve"> The continued good fortunes of a few big tech companies</w:t>
      </w:r>
    </w:p>
    <w:p w14:paraId="10963437"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3</w:t>
      </w:r>
      <w:r w:rsidRPr="004A5372">
        <w:rPr>
          <w:rFonts w:ascii="Apple Color Emoji" w:hAnsi="Apple Color Emoji" w:cs="Apple Color Emoji"/>
          <w:sz w:val="21"/>
        </w:rPr>
        <w:t>️⃣</w:t>
      </w:r>
      <w:r w:rsidRPr="004A5372">
        <w:rPr>
          <w:rFonts w:asciiTheme="minorHAnsi" w:hAnsiTheme="minorHAnsi" w:cstheme="minorHAnsi"/>
          <w:sz w:val="21"/>
        </w:rPr>
        <w:t xml:space="preserve"> An almighty market pop that would arise from news of a vaccine breakthrough</w:t>
      </w:r>
    </w:p>
    <w:p w14:paraId="6D5DCD5D"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4</w:t>
      </w:r>
      <w:r w:rsidRPr="004A5372">
        <w:rPr>
          <w:rFonts w:ascii="Apple Color Emoji" w:hAnsi="Apple Color Emoji" w:cs="Apple Color Emoji"/>
          <w:sz w:val="21"/>
        </w:rPr>
        <w:t>️⃣</w:t>
      </w:r>
      <w:r w:rsidRPr="004A5372">
        <w:rPr>
          <w:rFonts w:asciiTheme="minorHAnsi" w:hAnsiTheme="minorHAnsi" w:cstheme="minorHAnsi"/>
          <w:sz w:val="21"/>
        </w:rPr>
        <w:t xml:space="preserve"> An accommodating Fed printing money and keeping rates low</w:t>
      </w:r>
    </w:p>
    <w:p w14:paraId="429C4925"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5</w:t>
      </w:r>
      <w:r w:rsidRPr="004A5372">
        <w:rPr>
          <w:rFonts w:ascii="Apple Color Emoji" w:hAnsi="Apple Color Emoji" w:cs="Apple Color Emoji"/>
          <w:sz w:val="21"/>
        </w:rPr>
        <w:t>️⃣</w:t>
      </w:r>
      <w:r w:rsidRPr="004A5372">
        <w:rPr>
          <w:rFonts w:asciiTheme="minorHAnsi" w:hAnsiTheme="minorHAnsi" w:cstheme="minorHAnsi"/>
          <w:sz w:val="21"/>
        </w:rPr>
        <w:t xml:space="preserve"> The hope that Congress overcomes its divisions and pumps the economy with more stimulus</w:t>
      </w:r>
    </w:p>
    <w:p w14:paraId="00AEDAB3"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Can it last? “Markets often operate as something of an experiment in mass psychology,” The Times’s Matt Phillips writes. So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AlphaSense sifted through regulatory filings for DealBook and found that disclosures of executive stock sales so far this month have already surpassed last month’s total, and are on track to beat the record set in February, when the market set its previous high. Here’s what is happening 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DeJoy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4F08B8BA" w14:textId="77777777" w:rsidR="004A5372" w:rsidRPr="004A5372" w:rsidRDefault="004A5372" w:rsidP="004A5372">
      <w:pPr>
        <w:pStyle w:val="NoSpacing"/>
        <w:rPr>
          <w:rFonts w:asciiTheme="minorHAnsi" w:hAnsiTheme="minorHAnsi" w:cstheme="minorHAnsi"/>
          <w:sz w:val="21"/>
        </w:rPr>
      </w:pPr>
    </w:p>
    <w:p w14:paraId="4BF6F04B"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Tenza 20 Mlungisi Tenza, Obiter vol.41 n.3 Port Elizabeth  2020, LLB LLM LLD Senior Lecturer, University of KwaZulu-Natal, "The effects of violent strikes on the economy of a developing country: a case of South Africa," No Publication, http://www.scielo.org.za/scielo.php?script=sci_arttext&amp;pid=S1682-58532020000300004</w:t>
      </w:r>
    </w:p>
    <w:p w14:paraId="5B6D5AF1"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The relationship between the business of the employer and its customers is based on loyalty and confidence. The employer is expected to keep this relationship going by supplying goods or deliver services to clients when needed. It is expected that this would take place without disturbance. However, during strikes or conduct in furtherance of a strike, this relationship gets affected since the </w:t>
      </w:r>
      <w:r w:rsidRPr="004A5372">
        <w:rPr>
          <w:rFonts w:asciiTheme="minorHAnsi" w:hAnsiTheme="minorHAnsi" w:cstheme="minorHAnsi"/>
          <w:sz w:val="21"/>
        </w:rPr>
        <w:lastRenderedPageBreak/>
        <w:t>level of production or service delivery is reduced or does not take place. It is well known that the continued existence of a business relies on customers' satisfaction with services or goods provided. A business that does not have customers can hardly survive as they are the backbone of the business. If a strike is violent and takes long to resolve, this may chase away customers or clients as the possibility of not getting what they want is high if less or no production takes place. The possibility that customers could shift loyalty to other businesses doing the same business as the employer is high. The end result is that a prolonged strike has the potential of chasing away customers or clients as they may not want to associate themselves with a business environment that poses a risk to their lives.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0D46A665" w14:textId="77777777" w:rsidR="004A5372" w:rsidRPr="004A5372" w:rsidRDefault="004A5372" w:rsidP="004A5372">
      <w:pPr>
        <w:pStyle w:val="NoSpacing"/>
        <w:rPr>
          <w:rFonts w:asciiTheme="minorHAnsi" w:hAnsiTheme="minorHAnsi" w:cstheme="minorHAnsi"/>
          <w:sz w:val="21"/>
        </w:rPr>
      </w:pPr>
    </w:p>
    <w:p w14:paraId="07F9D4C4"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Macquarie Financial Group, 5-25-2016, "5 factors that impact business and consumer confidence," No Publication, https://www.macquarie.com.au/advisers/business-consumer-confidence-australia.html//SA</w:t>
      </w:r>
    </w:p>
    <w:p w14:paraId="16642272"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In 1933, US President Franklin D. Roosevelt pointedly noted that "confidence... thrives on honesty, on honour, on the sacredness of obligations, on faithful protection and on unselfish performance. Without them it cannot live". And over 80 years later these words still resonate with political, policy and business leaders as they grapple with increasingly fickle cycles of consumer and business confidence.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as the global economy moves into the second half of 2016 it is important to understand the causes and consequences of shifts in consumer and business confidence and the possible implications for the business cycle and macroeconomic policy settings. Confidence may be a case of shifting sands With policymakers in the major economies working hard to restore and maintain confidence levels and shifts in sentiment indicators playing a key role in risk assessments of investors, it is worthwhile to consider the various influences on this qualitative economic measure. Our analysis of the various indicators of consumer and business confidence that are regularly published highlight several common factors that have the potential to cause marked shifts in sentiment; including: Changes in interest rates and/or exchange rates, particularly if they are rapid, large and unexpected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Announced policy shifts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w:t>
      </w:r>
      <w:r w:rsidRPr="004A5372">
        <w:rPr>
          <w:rFonts w:asciiTheme="minorHAnsi" w:hAnsiTheme="minorHAnsi" w:cstheme="minorHAnsi"/>
          <w:sz w:val="21"/>
        </w:rPr>
        <w:lastRenderedPageBreak/>
        <w:t>and slumping confidence were recorded. Australian households and businesses reported concerns about the economy's vulnerability in the face of unprecedented upheaval in global financial markets. Not surprisingly, in some quarters concerns continue to be expressed that small open economies such as Australia and New Zealand often experience disproportionate reactions to economic and financial disturbances that emanate from much larger and more complex economies, including the US, the Eurozone, Japan, and China. To be sure, we are not suggesting that economic policymakers should maintain inappropriate macro policy settings in order to buoy consumer and business confidence. Rather, the announcement and implementation of shifts in key macro policy needs to be sensitive to the psychological impact on households and firms in the real economy.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Although it is often said that 'confidence can turn on a dime', this should not be taken as diminishing the role of sentiment in shaping economic activity and in turn the path of business cycles. The power of confidence was patently demonstrated in late 2008 with the collapse of Lehman Brothers and the subsequent slump in global consumer and business sentiment. This was accompanied by an unprecedented collapse in global trade volumes, industrial production, investment and importantly risk-taking. It is estimated that in the major developed economies, including Australia and New Zealand, consumer spending contributes up to two thirds of aggregate demand, based on income levels or changes, buying and spending trends, and underlying economic conditions. If we consider credit and liquidity to be the life-blood of the economic system, then it is reasonable to regard confidence as the oxygen that sustains the system. So heightened economic anxiety and languishing confidence will have manifest impacts on the health and wellbeing of the economy, often determining whether or not it can reach and sustain its long term potential rates of growth. Recent experience indicates that there are several important consequences of low and declining levels of confidence, including: unusually high household and business savings rates, including the hoarding of capital by financial and nonfinancial firms subdued nominal income growth and tepid private sector credit growth widespread household deleveraging declining business investment spending and weak employment growth dominance of short-term thinking and absence of longer-term strategic activity risk of a decline in the economy’s structural growth rate and associated deterioration in productivity growth. Therefore, economies facing 'crises of confidence' may find if this prevails it will undermine productive capacity and prove to be 'growth limiting'. In this event, it could lead to deterioration in living standards as the base of economic activity gradually contracts and the willingness and capacity to engage in risk-taking is curtailed. Looking forward, the continuing desynchronised global business cycle and the likelihood that macroeconomic policy shifts will also vary over the next 12 months suggest that global consumer and business confidence will remain fickle. For policymakers this suggests that 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1A8A2E95" w14:textId="77777777" w:rsidR="004A5372" w:rsidRPr="004A5372" w:rsidRDefault="004A5372" w:rsidP="004A5372">
      <w:pPr>
        <w:pStyle w:val="NoSpacing"/>
        <w:rPr>
          <w:rFonts w:asciiTheme="minorHAnsi" w:hAnsiTheme="minorHAnsi" w:cstheme="minorHAnsi"/>
          <w:sz w:val="21"/>
        </w:rPr>
      </w:pPr>
    </w:p>
    <w:p w14:paraId="5710CCD5"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Rusoff 21 Jane Rusoff, 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ThinkAdvisor; 3/10/21; https://www.thinkadvisor.com/2021/03/10/harry-dent-biggest-crash-ever-likely-by-end-of-june/</w:t>
      </w:r>
    </w:p>
    <w:p w14:paraId="3A8EE9AF"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Why will the downturn that you see be so harsh?</w:t>
      </w:r>
    </w:p>
    <w:p w14:paraId="17A7C468"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The only reason the 2008 downturn didn’t turn into a depression was that they turned on the monetary spigots so hard and blew us out of it, which kept the bubble going. They kept printing </w:t>
      </w:r>
      <w:r w:rsidRPr="004A5372">
        <w:rPr>
          <w:rFonts w:asciiTheme="minorHAnsi" w:hAnsiTheme="minorHAnsi" w:cstheme="minorHAnsi"/>
          <w:sz w:val="21"/>
        </w:rPr>
        <w:lastRenderedPageBreak/>
        <w:t>money and put it off. Now we’ve got a bigger bubble. This downturn is going to be the Great Depression that the deep recession of 2008 was.</w:t>
      </w:r>
    </w:p>
    <w:p w14:paraId="1A26777D"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How long do you think the depression will last?</w:t>
      </w:r>
    </w:p>
    <w:p w14:paraId="50C2C89B"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If the economy finally falls apart after this much stimulus, economists will flip from being endlessly bullish to endlessly bearish. They’ll say, “Now we’re in a decade-long-plus depression, like the 1930s.” But I’ll say, “Nope, this thing will be hell: It’s going to do its work very fast. By 2024, it will be over.” By 2023 or 2024, we’re going to be coming out of it into what I call the next Spring Boom. </w:t>
      </w:r>
    </w:p>
    <w:p w14:paraId="5B96C61D"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Right now, you favor investing in Treasury bonds. What’s your strategy?</w:t>
      </w:r>
    </w:p>
    <w:p w14:paraId="423B1E47"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7105582A"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What will happen to the 30-year Treasury bond during the massive crash you foresee?</w:t>
      </w:r>
    </w:p>
    <w:p w14:paraId="7514434F"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It’s going to fall to half a percent and maybe zero. It will expand your money 30%, 40%, 50%, while stocks are crashing 70%, 80%, 90%. Real estate will go down 30%, 40%, 50%. Commodities are already down 50% and are going down another 30% or 40%. Everything is going to default. Cash will preserve your money. The 30-year Treasury will magnify your money.</w:t>
      </w:r>
    </w:p>
    <w:p w14:paraId="256717E0"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So, do you think 50% of an investment portfolio should be in Treasurys?</w:t>
      </w:r>
    </w:p>
    <w:p w14:paraId="7F0BAEAF"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7E396642"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Stocks are very volatile on the way down. You can also be in REITs that are in very solid areas, like multi-family housing in affordable cities and medical facilities because those will hold up the best. </w:t>
      </w:r>
    </w:p>
    <w:p w14:paraId="7B14E763"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There’s a discernable euphoria now among investors. But John Templeton, the renowned investor and fund manager, famously said that “bull markets die on euphoria.” Do you agree with that?</w:t>
      </w:r>
    </w:p>
    <w:p w14:paraId="6BFDB314"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Yes. And Jeremy Grantham [GMO co-founder] said [on Jan. 5] this level of euphoria means you’re within months — not years — of a major bubble peak. You’re at the end.</w:t>
      </w:r>
    </w:p>
    <w:p w14:paraId="7ECBF8AD"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Wil cryptocurrency be part of that huge crash?</w:t>
      </w:r>
    </w:p>
    <w:p w14:paraId="72101322"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Yes. I think Bitcoin is the big thing long term and that crypto and blockchain is a big trend. It’s like the internet of finance — money and assets — instead of information. So it’s a big deal — but in its early stages.</w:t>
      </w:r>
    </w:p>
    <w:p w14:paraId="6DBAFD27"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Bitcoin is going to go to 58 [thousand], 60, 80 — and then end up back at 3,000 to 4,000. I would buy it long term, a couple of years from now. I wouldn’t touch it between now and then.</w:t>
      </w:r>
    </w:p>
    <w:p w14:paraId="398EC079"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What are your expectations for the economy once the pandemic substantially fades?  </w:t>
      </w:r>
    </w:p>
    <w:p w14:paraId="347AACD0"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Some industries are never going to come back. We’re not back to where we were before COVID — by GDP or any other major indicator. Everybody is acting like “When we get over COVID, we’ll be back better than ever.” The stock market is already anticipating that. But it’s wrong.</w:t>
      </w:r>
    </w:p>
    <w:p w14:paraId="61446CA5"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The only reason people are spending is because the government handed businesses and consumers tons of money. But it will get to a point where it’s not going to matter how much money is printed — and then you’ll have an avalanche. A huge collapse is coming.</w:t>
      </w:r>
    </w:p>
    <w:p w14:paraId="1908E1EA"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What specifically will cause it?</w:t>
      </w:r>
    </w:p>
    <w:p w14:paraId="04CF9E09"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There’s is no way you can [keep] having fake earnings, fake GDP, fake interest rates and super-high valuations. Financial assets have to come down to reality.</w:t>
      </w:r>
    </w:p>
    <w:p w14:paraId="2BEE7272"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What are the implications?</w:t>
      </w:r>
    </w:p>
    <w:p w14:paraId="75A95B93"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Loans will fail by the boatload. Then money disappears. That causes bank and business failures. We have to get all the financial leverage, financial assets and debt out of our economy.</w:t>
      </w:r>
    </w:p>
    <w:p w14:paraId="7D2B0046" w14:textId="77777777" w:rsidR="004A5372" w:rsidRPr="004A5372" w:rsidRDefault="004A5372" w:rsidP="004A5372">
      <w:pPr>
        <w:pStyle w:val="NoSpacing"/>
        <w:rPr>
          <w:rFonts w:asciiTheme="minorHAnsi" w:hAnsiTheme="minorHAnsi" w:cstheme="minorHAnsi"/>
          <w:sz w:val="21"/>
        </w:rPr>
      </w:pPr>
    </w:p>
    <w:p w14:paraId="730A5819"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Mathew Maavak, 4-16-2021, "Horizon 2030: Will Emerging Risks Unravel Our Global Systems? – Analysis," Dr. Mathew Maavak is a regular commentator on geostrategic issues, an external researcher (PLATBIDAFO) at the Kazimieras Simonavicius University in Vilnius, Lithuania, PHD in Risk Foresight from Universiti Teknologi Malaysia, Eurasia Review, </w:t>
      </w:r>
      <w:r w:rsidRPr="004A5372">
        <w:rPr>
          <w:rFonts w:asciiTheme="minorHAnsi" w:hAnsiTheme="minorHAnsi" w:cstheme="minorHAnsi"/>
          <w:sz w:val="21"/>
        </w:rPr>
        <w:lastRenderedPageBreak/>
        <w:t>https://www.eurasiareview.com/16042021-horizon-2030-will-emerging-risks-unravel-our-global-systems-analysis/</w:t>
      </w:r>
    </w:p>
    <w:p w14:paraId="6EE2B209"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According to Professor Stanislaw Drozdz (2018) of the Polish Academy of Sciences, “a global financial crash of a previously unprecedented scale is highly probable” by the mid-2020s. This will lead to a trickle-down meltdown, impacting all areas of human activity.</w:t>
      </w:r>
    </w:p>
    <w:p w14:paraId="09D50653"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[graph omitted]</w:t>
      </w:r>
    </w:p>
    <w:p w14:paraId="4C6045CA"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The economist John Mauldin (2018) similarly warns that the “2020s might be the worst decade in US history”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Economic stressors, in transcendent VUCA fashion, may also induce radical geopolitical realignments.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24623398"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Environmental</w:t>
      </w:r>
    </w:p>
    <w:p w14:paraId="6662268F"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What happens to the environment when our economies implode? Think of a debt-laden workforce at sensitive nuclear and chemical plants, along with a concomitant surge in industrial accidents? </w:t>
      </w:r>
      <w:r w:rsidRPr="004A5372">
        <w:rPr>
          <w:rFonts w:asciiTheme="minorHAnsi" w:hAnsiTheme="minorHAnsi" w:cstheme="minorHAnsi"/>
          <w:sz w:val="21"/>
        </w:rPr>
        <w:lastRenderedPageBreak/>
        <w:t>Economic stressors, workforce demoralization and rampant profiteering – rather than manmade climate change – arguably pose the biggest threats to the environment.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(Korowicz,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5E6E1BB5"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The primary catalyst behind WWII was the Great Depression. Since history often repeats itself, expect familiar bogeymen to reappear in societies roiling with impoverishment and ideological clefts. Anti-Semitism – a societal risk on its own – may reach alarming proportions in the West (Reuters, 2019), possibly forcing Israel to undertake reprisal operations inside allied nations. If that happens, how will affected nations react? Will security resources be reallocated to protect certain minorities </w:t>
      </w:r>
      <w:r w:rsidRPr="004A5372">
        <w:rPr>
          <w:rFonts w:asciiTheme="minorHAnsi" w:hAnsiTheme="minorHAnsi" w:cstheme="minorHAnsi"/>
          <w:sz w:val="21"/>
        </w:rPr>
        <w:lastRenderedPageBreak/>
        <w:t>(or the Top 1%) while larger segments of society are exposed to restive forces? Balloon effects like these present a classic VUCA problematic. Contemporary geopolitical risks include a possible Iran-Israel war; US-China military confrontation over Taiwan or the South China Sea; North Korean proliferation of nuclear and missile technologies; an India-Pakistan nuclear war; an Iranian closure of the Straits of Hormuz; fundamentalist-driven implosion in the Islamic world; or a nuclear confrontation between NATO and Russia.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to be future-resilient. Raw materials and cheap labour cannot sustain anaemic societies in a volatile world. Advances in material sciences and robotic automation as well as technological “ephemeralization” (Fuller, 1938; Heylighen,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Alarming parallels are now being drawn between the inauguration of President Abraham Lincoln on March 4, 1861 – which led to the US civil war – and the swearing in of Joe Biden as 46th President of United States on January 20, 2021 (Waxman, 2021). How will a weakened United States affect NATO and the larger Western-led global alliance?</w:t>
      </w:r>
    </w:p>
    <w:p w14:paraId="6496E959" w14:textId="4129CDD7" w:rsidR="006A1C61"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The WEF (2017) had pencilled “global social instability” as the biggest threat facing our collective future. A similar outcome was gamed out in a 2007 study by the Development, Concepts and Doctrine Centre at the United Kingdom Ministry of Defence (DCDC, 2007). According to Peter Turchin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wilfully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w:t>
      </w:r>
      <w:r w:rsidRPr="004A5372">
        <w:rPr>
          <w:rFonts w:asciiTheme="minorHAnsi" w:hAnsiTheme="minorHAnsi" w:cstheme="minorHAnsi"/>
          <w:sz w:val="21"/>
        </w:rPr>
        <w:lastRenderedPageBreak/>
        <w:t>importunate presidential impeachment sagas and electoral fraud accusations in the United States are reflective of wider social fissures, state fragilities and policy paralyses worldwide. There is nothing new in this panem et circenses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women and children? Just like in Imperial Rome, bread and circuses are symptomatic of an economic system that relentlessly benefits the elite. The mountain is ignored and the molehill is prioritized through controlled public narratives.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(Niethammer,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Turchin (2016) predicted in his seminal study. Soros’ pledge was coincidentally made when COVID- 19 began to decimate the global economy and healthcare systems. Elite philanthropy is now an avenue for global subversion. An assortment of scholars, government officials and NGOs are already channelling the agendas of their well-pocketed patrons, backed by Big Tech’s control of the mainstream and social media (Maavak, 2020c). Their narratives are reminiscent of giddy sophistries which fuelled a variety of communist and anarchist movements during the build-up to WWII.Under these circumstances, some nations may eventually seal their borders and initiate authoritarian measures in order to maintain internal stability. This is no longer an unthinkable proposition as dissatisfaction with democracy has peaked worldwide (Foa et al, 2020). Measures perfected by COVID-19 lockdowns may have inadvertently served as a test run in this regard.</w:t>
      </w:r>
    </w:p>
    <w:p w14:paraId="410ED518" w14:textId="77777777" w:rsidR="00B7008E" w:rsidRDefault="00B7008E" w:rsidP="00610711">
      <w:pPr>
        <w:spacing w:before="360" w:after="80"/>
        <w:jc w:val="center"/>
        <w:outlineLvl w:val="1"/>
        <w:rPr>
          <w:rFonts w:asciiTheme="minorHAnsi" w:hAnsiTheme="minorHAnsi" w:cstheme="minorHAnsi"/>
          <w:b/>
          <w:bCs/>
          <w:color w:val="000000"/>
          <w:sz w:val="36"/>
          <w:szCs w:val="36"/>
          <w:u w:val="single"/>
        </w:rPr>
      </w:pPr>
    </w:p>
    <w:p w14:paraId="5186C24C" w14:textId="77777777" w:rsidR="00B7008E" w:rsidRDefault="00B7008E" w:rsidP="00610711">
      <w:pPr>
        <w:spacing w:before="360" w:after="80"/>
        <w:jc w:val="center"/>
        <w:outlineLvl w:val="1"/>
        <w:rPr>
          <w:rFonts w:asciiTheme="minorHAnsi" w:hAnsiTheme="minorHAnsi" w:cstheme="minorHAnsi"/>
          <w:b/>
          <w:bCs/>
          <w:color w:val="000000"/>
          <w:sz w:val="36"/>
          <w:szCs w:val="36"/>
          <w:u w:val="single"/>
        </w:rPr>
      </w:pPr>
    </w:p>
    <w:p w14:paraId="19179BC4" w14:textId="77777777" w:rsidR="00B7008E" w:rsidRDefault="00B7008E" w:rsidP="000630E3">
      <w:pPr>
        <w:spacing w:before="360" w:after="80"/>
        <w:outlineLvl w:val="1"/>
        <w:rPr>
          <w:rFonts w:asciiTheme="minorHAnsi" w:hAnsiTheme="minorHAnsi" w:cstheme="minorHAnsi"/>
          <w:b/>
          <w:bCs/>
          <w:color w:val="000000"/>
          <w:sz w:val="36"/>
          <w:szCs w:val="36"/>
          <w:u w:val="single"/>
        </w:rPr>
      </w:pPr>
    </w:p>
    <w:p w14:paraId="5370AEC1" w14:textId="35EAE202" w:rsidR="000630E3" w:rsidRPr="000630E3" w:rsidRDefault="000630E3" w:rsidP="000630E3">
      <w:pPr>
        <w:pStyle w:val="Heading2"/>
        <w:jc w:val="left"/>
        <w:rPr>
          <w:sz w:val="36"/>
          <w:szCs w:val="36"/>
        </w:rPr>
      </w:pPr>
    </w:p>
    <w:p w14:paraId="0D029858" w14:textId="3CD8E31C" w:rsidR="00610711" w:rsidRPr="00F56429" w:rsidRDefault="000630E3" w:rsidP="00F56429">
      <w:pPr>
        <w:pStyle w:val="Heading2"/>
        <w:rPr>
          <w:rFonts w:eastAsia="Times New Roman"/>
          <w:sz w:val="36"/>
          <w:szCs w:val="36"/>
        </w:rPr>
      </w:pPr>
      <w:r>
        <w:rPr>
          <w:sz w:val="36"/>
          <w:szCs w:val="36"/>
        </w:rPr>
        <w:lastRenderedPageBreak/>
        <w:t>2</w:t>
      </w:r>
    </w:p>
    <w:p w14:paraId="36D1AF41" w14:textId="77777777" w:rsidR="00F56429" w:rsidRPr="004A5372" w:rsidRDefault="00610711" w:rsidP="00F56429">
      <w:pPr>
        <w:spacing w:before="280" w:after="80"/>
        <w:outlineLvl w:val="2"/>
        <w:rPr>
          <w:rFonts w:asciiTheme="minorHAnsi" w:hAnsiTheme="minorHAnsi" w:cstheme="minorHAnsi"/>
          <w:sz w:val="21"/>
          <w:szCs w:val="21"/>
        </w:rPr>
      </w:pPr>
      <w:r w:rsidRPr="004A5372">
        <w:rPr>
          <w:rFonts w:asciiTheme="minorHAnsi" w:hAnsiTheme="minorHAnsi" w:cstheme="minorHAnsi"/>
          <w:color w:val="000000"/>
          <w:sz w:val="21"/>
          <w:szCs w:val="21"/>
        </w:rPr>
        <w:t xml:space="preserve">1NC – M4BL </w:t>
      </w:r>
      <w:r w:rsidR="00F56429" w:rsidRPr="004A5372">
        <w:rPr>
          <w:rFonts w:asciiTheme="minorHAnsi" w:hAnsiTheme="minorHAnsi" w:cstheme="minorHAnsi"/>
          <w:color w:val="000000"/>
          <w:sz w:val="21"/>
          <w:szCs w:val="21"/>
        </w:rPr>
        <w:t>–</w:t>
      </w:r>
      <w:r w:rsidRPr="004A5372">
        <w:rPr>
          <w:rFonts w:asciiTheme="minorHAnsi" w:hAnsiTheme="minorHAnsi" w:cstheme="minorHAnsi"/>
          <w:color w:val="000000"/>
          <w:sz w:val="21"/>
          <w:szCs w:val="21"/>
        </w:rPr>
        <w:t xml:space="preserve"> Planks</w:t>
      </w:r>
    </w:p>
    <w:p w14:paraId="527BECFA" w14:textId="3479918D" w:rsidR="00610711" w:rsidRPr="004A5372" w:rsidRDefault="00610711" w:rsidP="00F56429">
      <w:pPr>
        <w:spacing w:before="280" w:after="80"/>
        <w:outlineLvl w:val="2"/>
        <w:rPr>
          <w:rFonts w:asciiTheme="minorHAnsi" w:hAnsiTheme="minorHAnsi" w:cstheme="minorHAnsi"/>
          <w:sz w:val="21"/>
          <w:szCs w:val="21"/>
        </w:rPr>
      </w:pPr>
      <w:r w:rsidRPr="004A5372">
        <w:rPr>
          <w:rFonts w:asciiTheme="minorHAnsi" w:hAnsiTheme="minorHAnsi" w:cstheme="minorHAnsi"/>
          <w:color w:val="000000"/>
          <w:sz w:val="21"/>
          <w:szCs w:val="21"/>
        </w:rPr>
        <w:t>A just government should adopt the Movement for Black Lives’s Policy Platform for Economic Justice.  That includes these policies:</w:t>
      </w:r>
    </w:p>
    <w:p w14:paraId="773F0CBB" w14:textId="2730E179" w:rsidR="00610711" w:rsidRPr="004A5372" w:rsidRDefault="00610711" w:rsidP="00610711">
      <w:pPr>
        <w:jc w:val="both"/>
        <w:rPr>
          <w:rFonts w:asciiTheme="minorHAnsi" w:hAnsiTheme="minorHAnsi" w:cstheme="minorHAnsi"/>
          <w:color w:val="000000"/>
          <w:sz w:val="21"/>
          <w:szCs w:val="21"/>
        </w:rPr>
      </w:pPr>
      <w:r w:rsidRPr="004A5372">
        <w:rPr>
          <w:rFonts w:asciiTheme="minorHAnsi" w:hAnsiTheme="minorHAnsi" w:cstheme="minorHAnsi"/>
          <w:color w:val="000000"/>
          <w:sz w:val="21"/>
          <w:szCs w:val="21"/>
          <w:u w:val="single"/>
        </w:rPr>
        <w:t>The Movement for Black Lives 2016.</w:t>
      </w:r>
      <w:r w:rsidRPr="004A5372">
        <w:rPr>
          <w:rFonts w:asciiTheme="minorHAnsi" w:hAnsiTheme="minorHAnsi" w:cstheme="minorHAnsi"/>
          <w:b/>
          <w:bCs/>
          <w:color w:val="000000"/>
          <w:sz w:val="21"/>
          <w:szCs w:val="21"/>
          <w:u w:val="single"/>
        </w:rPr>
        <w:t xml:space="preserve">  </w:t>
      </w:r>
      <w:r w:rsidRPr="004A5372">
        <w:rPr>
          <w:rFonts w:asciiTheme="minorHAnsi" w:hAnsiTheme="minorHAnsi" w:cstheme="minorHAnsi"/>
          <w:color w:val="000000"/>
          <w:sz w:val="21"/>
          <w:szCs w:val="21"/>
        </w:rPr>
        <w:t xml:space="preserve">The Movement for Black Lives (M4BL) is a coalition of more than 50 groups representing the interests of </w:t>
      </w:r>
      <w:hyperlink r:id="rId6" w:history="1">
        <w:r w:rsidRPr="004A5372">
          <w:rPr>
            <w:rFonts w:asciiTheme="minorHAnsi" w:hAnsiTheme="minorHAnsi" w:cstheme="minorHAnsi"/>
            <w:color w:val="000000"/>
            <w:sz w:val="21"/>
            <w:szCs w:val="21"/>
            <w:u w:val="single"/>
          </w:rPr>
          <w:t>black communities</w:t>
        </w:r>
      </w:hyperlink>
      <w:r w:rsidRPr="004A5372">
        <w:rPr>
          <w:rFonts w:asciiTheme="minorHAnsi" w:hAnsiTheme="minorHAnsi" w:cstheme="minorHAnsi"/>
          <w:color w:val="000000"/>
          <w:sz w:val="21"/>
          <w:szCs w:val="21"/>
        </w:rPr>
        <w:t xml:space="preserve"> across the United States.</w:t>
      </w:r>
      <w:hyperlink r:id="rId7" w:anchor="cite_note-Newkirk-1" w:history="1">
        <w:r w:rsidRPr="004A5372">
          <w:rPr>
            <w:rFonts w:asciiTheme="minorHAnsi" w:hAnsiTheme="minorHAnsi" w:cstheme="minorHAnsi"/>
            <w:color w:val="000000"/>
            <w:sz w:val="21"/>
            <w:szCs w:val="21"/>
            <w:u w:val="single"/>
          </w:rPr>
          <w:t>[1]</w:t>
        </w:r>
      </w:hyperlink>
      <w:r w:rsidRPr="004A5372">
        <w:rPr>
          <w:rFonts w:asciiTheme="minorHAnsi" w:hAnsiTheme="minorHAnsi" w:cstheme="minorHAnsi"/>
          <w:color w:val="000000"/>
          <w:sz w:val="21"/>
          <w:szCs w:val="21"/>
        </w:rPr>
        <w:t xml:space="preserve"> Members include the </w:t>
      </w:r>
      <w:hyperlink r:id="rId8" w:history="1">
        <w:r w:rsidRPr="004A5372">
          <w:rPr>
            <w:rFonts w:asciiTheme="minorHAnsi" w:hAnsiTheme="minorHAnsi" w:cstheme="minorHAnsi"/>
            <w:color w:val="000000"/>
            <w:sz w:val="21"/>
            <w:szCs w:val="21"/>
            <w:u w:val="single"/>
          </w:rPr>
          <w:t>Black Lives Matter Network</w:t>
        </w:r>
      </w:hyperlink>
      <w:r w:rsidRPr="004A5372">
        <w:rPr>
          <w:rFonts w:asciiTheme="minorHAnsi" w:hAnsiTheme="minorHAnsi" w:cstheme="minorHAnsi"/>
          <w:color w:val="000000"/>
          <w:sz w:val="21"/>
          <w:szCs w:val="21"/>
        </w:rPr>
        <w:t xml:space="preserve">, the </w:t>
      </w:r>
      <w:hyperlink r:id="rId9" w:history="1">
        <w:r w:rsidRPr="004A5372">
          <w:rPr>
            <w:rFonts w:asciiTheme="minorHAnsi" w:hAnsiTheme="minorHAnsi" w:cstheme="minorHAnsi"/>
            <w:color w:val="000000"/>
            <w:sz w:val="21"/>
            <w:szCs w:val="21"/>
            <w:u w:val="single"/>
          </w:rPr>
          <w:t>National Conference of Black Lawyers</w:t>
        </w:r>
      </w:hyperlink>
      <w:r w:rsidRPr="004A5372">
        <w:rPr>
          <w:rFonts w:asciiTheme="minorHAnsi" w:hAnsiTheme="minorHAnsi" w:cstheme="minorHAnsi"/>
          <w:color w:val="000000"/>
          <w:sz w:val="21"/>
          <w:szCs w:val="21"/>
        </w:rPr>
        <w:t xml:space="preserve">, and the </w:t>
      </w:r>
      <w:hyperlink r:id="rId10" w:history="1">
        <w:r w:rsidRPr="004A5372">
          <w:rPr>
            <w:rFonts w:asciiTheme="minorHAnsi" w:hAnsiTheme="minorHAnsi" w:cstheme="minorHAnsi"/>
            <w:color w:val="000000"/>
            <w:sz w:val="21"/>
            <w:szCs w:val="21"/>
            <w:u w:val="single"/>
          </w:rPr>
          <w:t>Ella Baker Center for Human Rights</w:t>
        </w:r>
      </w:hyperlink>
      <w:r w:rsidRPr="004A5372">
        <w:rPr>
          <w:rFonts w:asciiTheme="minorHAnsi" w:hAnsiTheme="minorHAnsi" w:cstheme="minorHAnsi"/>
          <w:color w:val="000000"/>
          <w:sz w:val="21"/>
          <w:szCs w:val="21"/>
        </w:rPr>
        <w:t>.</w:t>
      </w:r>
      <w:hyperlink r:id="rId11" w:anchor="cite_note-2" w:history="1">
        <w:r w:rsidRPr="004A5372">
          <w:rPr>
            <w:rFonts w:asciiTheme="minorHAnsi" w:hAnsiTheme="minorHAnsi" w:cstheme="minorHAnsi"/>
            <w:color w:val="000000"/>
            <w:sz w:val="21"/>
            <w:szCs w:val="21"/>
            <w:u w:val="single"/>
          </w:rPr>
          <w:t>[2]</w:t>
        </w:r>
      </w:hyperlink>
      <w:r w:rsidRPr="004A5372">
        <w:rPr>
          <w:rFonts w:asciiTheme="minorHAnsi" w:hAnsiTheme="minorHAnsi" w:cstheme="minorHAnsi"/>
          <w:color w:val="000000"/>
          <w:sz w:val="21"/>
          <w:szCs w:val="21"/>
        </w:rPr>
        <w:t xml:space="preserve"> Endorsed by groups such as </w:t>
      </w:r>
      <w:hyperlink r:id="rId12" w:history="1">
        <w:r w:rsidRPr="004A5372">
          <w:rPr>
            <w:rFonts w:asciiTheme="minorHAnsi" w:hAnsiTheme="minorHAnsi" w:cstheme="minorHAnsi"/>
            <w:color w:val="000000"/>
            <w:sz w:val="21"/>
            <w:szCs w:val="21"/>
            <w:u w:val="single"/>
          </w:rPr>
          <w:t>Color of Change</w:t>
        </w:r>
      </w:hyperlink>
      <w:r w:rsidRPr="004A5372">
        <w:rPr>
          <w:rFonts w:asciiTheme="minorHAnsi" w:hAnsiTheme="minorHAnsi" w:cstheme="minorHAnsi"/>
          <w:color w:val="000000"/>
          <w:sz w:val="21"/>
          <w:szCs w:val="21"/>
        </w:rPr>
        <w:t xml:space="preserve">, </w:t>
      </w:r>
      <w:hyperlink r:id="rId13" w:history="1">
        <w:r w:rsidRPr="004A5372">
          <w:rPr>
            <w:rFonts w:asciiTheme="minorHAnsi" w:hAnsiTheme="minorHAnsi" w:cstheme="minorHAnsi"/>
            <w:color w:val="000000"/>
            <w:sz w:val="21"/>
            <w:szCs w:val="21"/>
            <w:u w:val="single"/>
          </w:rPr>
          <w:t>Race Forward</w:t>
        </w:r>
      </w:hyperlink>
      <w:r w:rsidRPr="004A5372">
        <w:rPr>
          <w:rFonts w:asciiTheme="minorHAnsi" w:hAnsiTheme="minorHAnsi" w:cstheme="minorHAnsi"/>
          <w:color w:val="000000"/>
          <w:sz w:val="21"/>
          <w:szCs w:val="21"/>
        </w:rPr>
        <w:t xml:space="preserve">, Brooklyn Movement Center, </w:t>
      </w:r>
      <w:hyperlink r:id="rId14" w:history="1">
        <w:r w:rsidRPr="004A5372">
          <w:rPr>
            <w:rFonts w:asciiTheme="minorHAnsi" w:hAnsiTheme="minorHAnsi" w:cstheme="minorHAnsi"/>
            <w:color w:val="000000"/>
            <w:sz w:val="21"/>
            <w:szCs w:val="21"/>
            <w:u w:val="single"/>
          </w:rPr>
          <w:t>P</w:t>
        </w:r>
        <w:r w:rsidRPr="004A5372">
          <w:rPr>
            <w:rFonts w:asciiTheme="minorHAnsi" w:hAnsiTheme="minorHAnsi" w:cstheme="minorHAnsi"/>
            <w:color w:val="000000"/>
            <w:sz w:val="21"/>
            <w:szCs w:val="21"/>
            <w:u w:val="single"/>
          </w:rPr>
          <w:t>o</w:t>
        </w:r>
        <w:r w:rsidRPr="004A5372">
          <w:rPr>
            <w:rFonts w:asciiTheme="minorHAnsi" w:hAnsiTheme="minorHAnsi" w:cstheme="minorHAnsi"/>
            <w:color w:val="000000"/>
            <w:sz w:val="21"/>
            <w:szCs w:val="21"/>
            <w:u w:val="single"/>
          </w:rPr>
          <w:t>licyLink</w:t>
        </w:r>
      </w:hyperlink>
      <w:r w:rsidRPr="004A5372">
        <w:rPr>
          <w:rFonts w:asciiTheme="minorHAnsi" w:hAnsiTheme="minorHAnsi" w:cstheme="minorHAnsi"/>
          <w:color w:val="000000"/>
          <w:sz w:val="21"/>
          <w:szCs w:val="21"/>
        </w:rPr>
        <w:t>, Million Women March Cleveland, and ONE DC,</w:t>
      </w:r>
      <w:hyperlink r:id="rId15" w:anchor="cite_note-3" w:history="1">
        <w:r w:rsidRPr="004A5372">
          <w:rPr>
            <w:rFonts w:asciiTheme="minorHAnsi" w:hAnsiTheme="minorHAnsi" w:cstheme="minorHAnsi"/>
            <w:color w:val="000000"/>
            <w:sz w:val="21"/>
            <w:szCs w:val="21"/>
            <w:u w:val="single"/>
          </w:rPr>
          <w:t>[3]</w:t>
        </w:r>
      </w:hyperlink>
      <w:r w:rsidRPr="004A5372">
        <w:rPr>
          <w:rFonts w:asciiTheme="minorHAnsi" w:hAnsiTheme="minorHAnsi" w:cstheme="minorHAnsi"/>
          <w:color w:val="000000"/>
          <w:sz w:val="21"/>
          <w:szCs w:val="21"/>
        </w:rPr>
        <w:t xml:space="preserve"> the coalition receives communications and tactical support from an organization named Blackbird.</w:t>
      </w:r>
      <w:hyperlink r:id="rId16" w:anchor="cite_note-4" w:history="1">
        <w:r w:rsidRPr="004A5372">
          <w:rPr>
            <w:rFonts w:asciiTheme="minorHAnsi" w:hAnsiTheme="minorHAnsi" w:cstheme="minorHAnsi"/>
            <w:color w:val="000000"/>
            <w:sz w:val="21"/>
            <w:szCs w:val="21"/>
            <w:u w:val="single"/>
          </w:rPr>
          <w:t>[4]</w:t>
        </w:r>
      </w:hyperlink>
      <w:r w:rsidRPr="004A5372">
        <w:rPr>
          <w:rFonts w:asciiTheme="minorHAnsi" w:hAnsiTheme="minorHAnsi" w:cstheme="minorHAnsi"/>
          <w:color w:val="000000"/>
          <w:sz w:val="21"/>
          <w:szCs w:val="21"/>
        </w:rPr>
        <w:t xml:space="preserve">. </w:t>
      </w:r>
      <w:hyperlink r:id="rId17" w:history="1">
        <w:r w:rsidRPr="004A5372">
          <w:rPr>
            <w:rFonts w:asciiTheme="minorHAnsi" w:hAnsiTheme="minorHAnsi" w:cstheme="minorHAnsi"/>
            <w:color w:val="000000"/>
            <w:sz w:val="21"/>
            <w:szCs w:val="21"/>
            <w:u w:val="single"/>
          </w:rPr>
          <w:t>https://m4bl.org/policy-platforms/invest-divest/</w:t>
        </w:r>
      </w:hyperlink>
      <w:r w:rsidRPr="004A5372">
        <w:rPr>
          <w:rFonts w:asciiTheme="minorHAnsi" w:hAnsiTheme="minorHAnsi" w:cstheme="minorHAnsi"/>
          <w:color w:val="000000"/>
          <w:sz w:val="21"/>
          <w:szCs w:val="21"/>
        </w:rPr>
        <w:t>. Footnote(s) may be inserted at end, empty line(s) may be removed, and bracket(s) may be used to change offensive language. This material may be behind a paywall.  Please email jacksondeconcini@gmail.com for information about access.  // JAD 2021/07/14</w:t>
      </w:r>
    </w:p>
    <w:p w14:paraId="1F6A6FE6" w14:textId="7777777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We demand economic justice for all and a reconstruction of the economy to ensure Black communities have collective ownership, not merely access. This includes:</w:t>
      </w:r>
    </w:p>
    <w:p w14:paraId="51538A51" w14:textId="22289921"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A progressive restructuring of tax codes at the local, state, and federal levels to ensure a radical and sustainable redistribution of wealth.</w:t>
      </w:r>
    </w:p>
    <w:p w14:paraId="0CEE355F" w14:textId="0A873A8B"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Federal and state job programs that specifically target the most economically marginalized people, and compensation for those involved in the care economy. Job programs must provide a living wage and encourage support for local workers centers, unions, and Black-owned businesses which are accountable to the community.</w:t>
      </w:r>
    </w:p>
    <w:p w14:paraId="29823F3A" w14:textId="00DD98C7"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A right to restored land, clean air, clean water and housing and an end to the exploitative privatization of natural resources — including land and water. We seek democratic control over how resources are preserved, used and distributed and do so while honoring and respecting the rights of our Indigenous family.</w:t>
      </w:r>
    </w:p>
    <w:p w14:paraId="04C05304" w14:textId="503AB933"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The [3] right for workers to organize in public and private sectors especially in “On Demand Economy” jobs.</w:t>
      </w:r>
    </w:p>
    <w:p w14:paraId="613D63BE" w14:textId="5A41CDAF"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 </w:t>
      </w:r>
      <w:r w:rsidRPr="004A5372">
        <w:rPr>
          <w:rFonts w:asciiTheme="minorHAnsi" w:hAnsiTheme="minorHAnsi" w:cstheme="minorHAnsi"/>
          <w:sz w:val="21"/>
        </w:rPr>
        <w:t>[4] Restore the Glass-Steagall Act to break up the large banks, and call for the National Credit Union Administration and the US Department of the Treasury to change policies and practices around regulation, reporting and consolidation to allow for the continuation and creation of black banks, small and community development credit unions, insurance companies and other financial institutions.</w:t>
      </w:r>
    </w:p>
    <w:p w14:paraId="0B285F12" w14:textId="297C885E"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An end to the Trans-Pacific Partnership and a renegotiation of all trade agreements to prioritize the interests of workers and communities.</w:t>
      </w:r>
    </w:p>
    <w:p w14:paraId="26D3F05C" w14:textId="2988572A"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Through tax incentives, loans and other government directed resources, support the development of cooperative or social economy networks to help facilitate trade across and in Black communities globally. All aid in the form of grants, loans or contracts to help facilitate this must go to Black led or Black supported networks and organizations as defined by the communities.</w:t>
      </w:r>
    </w:p>
    <w:p w14:paraId="2BB8C374" w14:textId="6E84B801" w:rsidR="004A5372"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Financial support of Black alternative institutions including policy that subsidizes and offers low-interest, interest-free or federally guaranteed low-interest loans to promote the development of cooperatives (food, residential, etc.), land trusts and culturally responsive health infrastructures that serve the collective needs of our communities.</w:t>
      </w:r>
    </w:p>
    <w:p w14:paraId="6EB7C4F8" w14:textId="3C5409E9" w:rsidR="00C54E83" w:rsidRPr="004A5372" w:rsidRDefault="004A5372" w:rsidP="004A5372">
      <w:pPr>
        <w:pStyle w:val="NoSpacing"/>
        <w:rPr>
          <w:rFonts w:asciiTheme="minorHAnsi" w:hAnsiTheme="minorHAnsi" w:cstheme="minorHAnsi"/>
          <w:sz w:val="21"/>
        </w:rPr>
      </w:pPr>
      <w:r w:rsidRPr="004A5372">
        <w:rPr>
          <w:rFonts w:asciiTheme="minorHAnsi" w:hAnsiTheme="minorHAnsi" w:cstheme="minorHAnsi"/>
          <w:sz w:val="21"/>
        </w:rPr>
        <w:t xml:space="preserve">[5] Protections for workers in industries that are not appropriately regulated including domestic workers, farm workers, and tipped workers, and for workers — many of whom are Black women and incarcerated people— who have been exploited and remain unprotected. This includes the </w:t>
      </w:r>
      <w:r w:rsidRPr="004A5372">
        <w:rPr>
          <w:rFonts w:asciiTheme="minorHAnsi" w:hAnsiTheme="minorHAnsi" w:cstheme="minorHAnsi"/>
          <w:sz w:val="21"/>
        </w:rPr>
        <w:lastRenderedPageBreak/>
        <w:t>immediate passage at the Federal and state level of the Domestic Workers Bill of Rights and extension of worker protections to incarcerated people.</w:t>
      </w:r>
    </w:p>
    <w:sectPr w:rsidR="00C54E83" w:rsidRPr="004A5372">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93C22"/>
    <w:multiLevelType w:val="multilevel"/>
    <w:tmpl w:val="5A56E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300601"/>
    <w:multiLevelType w:val="multilevel"/>
    <w:tmpl w:val="04BAC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26E3728"/>
    <w:multiLevelType w:val="multilevel"/>
    <w:tmpl w:val="74764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2B0"/>
    <w:rsid w:val="00046790"/>
    <w:rsid w:val="000630E3"/>
    <w:rsid w:val="000D5EFC"/>
    <w:rsid w:val="000F1652"/>
    <w:rsid w:val="001722B0"/>
    <w:rsid w:val="004A5372"/>
    <w:rsid w:val="00610711"/>
    <w:rsid w:val="006A1C61"/>
    <w:rsid w:val="007857A9"/>
    <w:rsid w:val="00B7008E"/>
    <w:rsid w:val="00C54E83"/>
    <w:rsid w:val="00CE2ED0"/>
    <w:rsid w:val="00D03C77"/>
    <w:rsid w:val="00F5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A7663"/>
  <w15:chartTrackingRefBased/>
  <w15:docId w15:val="{D7BE17A4-85FD-9C43-A4D6-F1CB7C8F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22B0"/>
    <w:rPr>
      <w:rFonts w:ascii="Times New Roman" w:eastAsia="Times New Roman" w:hAnsi="Times New Roman" w:cs="Times New Roman"/>
      <w:lang w:eastAsia="zh-CN" w:bidi="hi-IN"/>
    </w:rPr>
  </w:style>
  <w:style w:type="paragraph" w:styleId="Heading2">
    <w:name w:val="heading 2"/>
    <w:aliases w:val="Hat"/>
    <w:basedOn w:val="Normal"/>
    <w:next w:val="Normal"/>
    <w:link w:val="Heading2Char"/>
    <w:uiPriority w:val="9"/>
    <w:unhideWhenUsed/>
    <w:qFormat/>
    <w:rsid w:val="001722B0"/>
    <w:pPr>
      <w:keepNext/>
      <w:keepLines/>
      <w:pageBreakBefore/>
      <w:spacing w:before="40" w:line="259" w:lineRule="auto"/>
      <w:jc w:val="center"/>
      <w:outlineLvl w:val="1"/>
    </w:pPr>
    <w:rPr>
      <w:rFonts w:ascii="Calibri" w:eastAsiaTheme="majorEastAsia" w:hAnsi="Calibri" w:cstheme="majorBidi"/>
      <w:b/>
      <w:bCs/>
      <w:sz w:val="44"/>
      <w:szCs w:val="44"/>
      <w:u w:val="double"/>
      <w:lang w:eastAsia="en-US" w:bidi="ar-SA"/>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9"/>
    <w:unhideWhenUsed/>
    <w:qFormat/>
    <w:rsid w:val="001722B0"/>
    <w:pPr>
      <w:keepNext/>
      <w:keepLines/>
      <w:spacing w:before="40" w:line="259" w:lineRule="auto"/>
      <w:outlineLvl w:val="3"/>
    </w:pPr>
    <w:rPr>
      <w:rFonts w:ascii="Calibri" w:eastAsiaTheme="majorEastAsia" w:hAnsi="Calibri" w:cstheme="majorBidi"/>
      <w:b/>
      <w:bCs/>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1722B0"/>
    <w:rPr>
      <w:rFonts w:ascii="Calibri" w:eastAsiaTheme="majorEastAsia" w:hAnsi="Calibri" w:cstheme="majorBidi"/>
      <w:b/>
      <w:bCs/>
      <w:sz w:val="44"/>
      <w:szCs w:val="44"/>
      <w:u w:val="doub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9"/>
    <w:rsid w:val="001722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1071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1071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10711"/>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610711"/>
    <w:rPr>
      <w:color w:val="auto"/>
      <w:u w:val="none"/>
    </w:rPr>
  </w:style>
  <w:style w:type="paragraph" w:customStyle="1" w:styleId="textbold">
    <w:name w:val="text bold"/>
    <w:basedOn w:val="Normal"/>
    <w:link w:val="Emphasis"/>
    <w:uiPriority w:val="20"/>
    <w:qFormat/>
    <w:rsid w:val="00610711"/>
    <w:pPr>
      <w:pBdr>
        <w:top w:val="single" w:sz="8" w:space="0" w:color="auto"/>
        <w:left w:val="single" w:sz="8" w:space="0" w:color="auto"/>
        <w:bottom w:val="single" w:sz="8" w:space="0" w:color="auto"/>
        <w:right w:val="single" w:sz="8" w:space="0" w:color="auto"/>
      </w:pBdr>
      <w:spacing w:line="256" w:lineRule="auto"/>
      <w:ind w:left="720"/>
    </w:pPr>
    <w:rPr>
      <w:rFonts w:ascii="Calibri" w:eastAsiaTheme="minorHAnsi" w:hAnsi="Calibri" w:cstheme="minorBidi"/>
      <w:b/>
      <w:iCs/>
      <w:sz w:val="22"/>
      <w:u w:val="single"/>
      <w:lang w:eastAsia="en-US" w:bidi="ar-SA"/>
    </w:rPr>
  </w:style>
  <w:style w:type="paragraph" w:styleId="NormalWeb">
    <w:name w:val="Normal (Web)"/>
    <w:basedOn w:val="Normal"/>
    <w:uiPriority w:val="99"/>
    <w:unhideWhenUsed/>
    <w:rsid w:val="00610711"/>
    <w:pPr>
      <w:spacing w:before="100" w:beforeAutospacing="1" w:after="100" w:afterAutospacing="1"/>
    </w:pPr>
  </w:style>
  <w:style w:type="paragraph" w:styleId="ListParagraph">
    <w:name w:val="List Paragraph"/>
    <w:basedOn w:val="Normal"/>
    <w:uiPriority w:val="34"/>
    <w:qFormat/>
    <w:rsid w:val="000630E3"/>
    <w:pPr>
      <w:ind w:left="720"/>
      <w:contextualSpacing/>
    </w:pPr>
    <w:rPr>
      <w:rFonts w:cs="Mangal"/>
      <w:szCs w:val="21"/>
    </w:rPr>
  </w:style>
  <w:style w:type="paragraph" w:styleId="NoSpacing">
    <w:name w:val="No Spacing"/>
    <w:uiPriority w:val="1"/>
    <w:qFormat/>
    <w:rsid w:val="004A5372"/>
    <w:rPr>
      <w:rFonts w:ascii="Times New Roman" w:eastAsia="Times New Roman" w:hAnsi="Times New Roman" w:cs="Mangal"/>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7024">
      <w:bodyDiv w:val="1"/>
      <w:marLeft w:val="0"/>
      <w:marRight w:val="0"/>
      <w:marTop w:val="0"/>
      <w:marBottom w:val="0"/>
      <w:divBdr>
        <w:top w:val="none" w:sz="0" w:space="0" w:color="auto"/>
        <w:left w:val="none" w:sz="0" w:space="0" w:color="auto"/>
        <w:bottom w:val="none" w:sz="0" w:space="0" w:color="auto"/>
        <w:right w:val="none" w:sz="0" w:space="0" w:color="auto"/>
      </w:divBdr>
    </w:div>
    <w:div w:id="610866652">
      <w:bodyDiv w:val="1"/>
      <w:marLeft w:val="0"/>
      <w:marRight w:val="0"/>
      <w:marTop w:val="0"/>
      <w:marBottom w:val="0"/>
      <w:divBdr>
        <w:top w:val="none" w:sz="0" w:space="0" w:color="auto"/>
        <w:left w:val="none" w:sz="0" w:space="0" w:color="auto"/>
        <w:bottom w:val="none" w:sz="0" w:space="0" w:color="auto"/>
        <w:right w:val="none" w:sz="0" w:space="0" w:color="auto"/>
      </w:divBdr>
    </w:div>
    <w:div w:id="1136527612">
      <w:bodyDiv w:val="1"/>
      <w:marLeft w:val="0"/>
      <w:marRight w:val="0"/>
      <w:marTop w:val="0"/>
      <w:marBottom w:val="0"/>
      <w:divBdr>
        <w:top w:val="none" w:sz="0" w:space="0" w:color="auto"/>
        <w:left w:val="none" w:sz="0" w:space="0" w:color="auto"/>
        <w:bottom w:val="none" w:sz="0" w:space="0" w:color="auto"/>
        <w:right w:val="none" w:sz="0" w:space="0" w:color="auto"/>
      </w:divBdr>
    </w:div>
    <w:div w:id="200392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lack_Lives_Matter_Global_Network_Foundation" TargetMode="External"/><Relationship Id="rId13" Type="http://schemas.openxmlformats.org/officeDocument/2006/relationships/hyperlink" Target="https://en.wikipedia.org/wiki/Race_Forwar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Movement_for_Black_Lives" TargetMode="External"/><Relationship Id="rId12" Type="http://schemas.openxmlformats.org/officeDocument/2006/relationships/hyperlink" Target="https://en.wikipedia.org/wiki/Color_of_Change" TargetMode="External"/><Relationship Id="rId17" Type="http://schemas.openxmlformats.org/officeDocument/2006/relationships/hyperlink" Target="https://m4bl.org/policy-platforms/invest-divest/" TargetMode="External"/><Relationship Id="rId2" Type="http://schemas.openxmlformats.org/officeDocument/2006/relationships/numbering" Target="numbering.xml"/><Relationship Id="rId16" Type="http://schemas.openxmlformats.org/officeDocument/2006/relationships/hyperlink" Target="https://en.wikipedia.org/wiki/Movement_for_Black_Lives" TargetMode="External"/><Relationship Id="rId1" Type="http://schemas.openxmlformats.org/officeDocument/2006/relationships/customXml" Target="../customXml/item1.xml"/><Relationship Id="rId6" Type="http://schemas.openxmlformats.org/officeDocument/2006/relationships/hyperlink" Target="https://en.wikipedia.org/wiki/Black_people" TargetMode="External"/><Relationship Id="rId11" Type="http://schemas.openxmlformats.org/officeDocument/2006/relationships/hyperlink" Target="https://en.wikipedia.org/wiki/Movement_for_Black_Lives" TargetMode="External"/><Relationship Id="rId5" Type="http://schemas.openxmlformats.org/officeDocument/2006/relationships/webSettings" Target="webSettings.xml"/><Relationship Id="rId15" Type="http://schemas.openxmlformats.org/officeDocument/2006/relationships/hyperlink" Target="https://en.wikipedia.org/wiki/Movement_for_Black_Lives" TargetMode="External"/><Relationship Id="rId10" Type="http://schemas.openxmlformats.org/officeDocument/2006/relationships/hyperlink" Target="https://en.wikipedia.org/wiki/Ella_Baker_Center_for_Human_Righ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National_Conference_of_Black_Lawyers" TargetMode="External"/><Relationship Id="rId14" Type="http://schemas.openxmlformats.org/officeDocument/2006/relationships/hyperlink" Target="https://en.wikipedia.org/wiki/Policy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E8825-3B08-EB44-B124-E41569A95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5878</Words>
  <Characters>33505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Bohan Gao</dc:creator>
  <cp:keywords/>
  <dc:description/>
  <cp:lastModifiedBy>Bohan Gao</cp:lastModifiedBy>
  <cp:revision>3</cp:revision>
  <dcterms:created xsi:type="dcterms:W3CDTF">2021-10-29T21:39:00Z</dcterms:created>
  <dcterms:modified xsi:type="dcterms:W3CDTF">2021-11-01T21:38:00Z</dcterms:modified>
</cp:coreProperties>
</file>