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A6778" w14:textId="77777777" w:rsidR="000100D2" w:rsidRDefault="000100D2" w:rsidP="000100D2">
      <w:r>
        <w:t>Strikes destroy consumer confidence in business</w:t>
      </w:r>
    </w:p>
    <w:p w14:paraId="629045C0" w14:textId="77777777" w:rsidR="000100D2" w:rsidRDefault="000100D2" w:rsidP="000100D2">
      <w:r>
        <w:t>Tenza 20 Mlungisi Tenza, Obiter vol.41 n.3 Port Elizabeth  2020, LLB LLM LLD Senior Lecturer, University of KwaZulu-Natal, "The effects of violent strikes on the economy of a developing country: a case of South Africa," No Publication, http://www.scielo.org.za/scielo.php?script=sci_arttext&amp;pid=S1682-58532020000300004</w:t>
      </w:r>
    </w:p>
    <w:p w14:paraId="53D0CAD0" w14:textId="77777777" w:rsidR="000100D2" w:rsidRDefault="000100D2" w:rsidP="000100D2"/>
    <w:p w14:paraId="0C017544" w14:textId="77777777" w:rsidR="000100D2" w:rsidRDefault="000100D2" w:rsidP="000100D2">
      <w:r>
        <w:t xml:space="preserve"> The relationship between the business of the employer and its customers is based on loyalty and confidence. The employer is expected to keep this relationship going by supplying goods or deliver services to clients when needed. It is expected that this would take place without disturbance. However, during strikes or conduct in furtherance of a strike, this relationship gets affected since the level of production or service delivery is reduced or does not take place. It is well known that the continued existence of a business relies on customers' satisfaction with services or goods provided. A business that does not have customers can hardly survive as they are the backbone of the business. If a strike is violent and takes long to resolve, this may chase away customers or clients as the possibility of not getting what they want is high if less or no production takes place. The possibility that customers could shift loyalty to other businesses doing the same business as the employer is high. The end result is that a prolonged strike has the potential of chasing away customers or clients as they may not want to associate themselves with a business environment that poses a risk to their lives. In addition, customers may want to share solidarity with employees and refuse to associate with a business whose employees are on strike. To stop this from taking place, the employer and the union need to speed up the process of resolving their dispute through a non-violent mechanism such as a collective bargaining process.</w:t>
      </w:r>
    </w:p>
    <w:p w14:paraId="2EFC742A" w14:textId="77777777" w:rsidR="000100D2" w:rsidRDefault="000100D2" w:rsidP="000100D2"/>
    <w:p w14:paraId="26014D85" w14:textId="77777777" w:rsidR="000100D2" w:rsidRDefault="000100D2" w:rsidP="000100D2"/>
    <w:p w14:paraId="1B07AE20" w14:textId="77777777" w:rsidR="000100D2" w:rsidRDefault="000100D2" w:rsidP="000100D2">
      <w:r>
        <w:t xml:space="preserve">Confidence k2 growth </w:t>
      </w:r>
    </w:p>
    <w:p w14:paraId="10AFCE0E" w14:textId="77777777" w:rsidR="000100D2" w:rsidRDefault="000100D2" w:rsidP="000100D2">
      <w:r>
        <w:t>Macquarie Financial Group, 5-25-2016, "5 factors that impact business and consumer confidence," No Publication, https://www.macquarie.com.au/advisers/business-consumer-confidence-australia.html//SA</w:t>
      </w:r>
    </w:p>
    <w:p w14:paraId="4380AD0D" w14:textId="77777777" w:rsidR="000100D2" w:rsidRDefault="000100D2" w:rsidP="000100D2">
      <w:r>
        <w:t xml:space="preserve">In 1933, US President Franklin D. Roosevelt pointedly noted that "confidence... thrives on honesty, on honour, on the sacredness of obligations, on faithful protection and on unselfish performance. Without them it cannot live". And over 80 years later these words still resonate with political, policy and business leaders as they grapple with increasingly fickle cycles of consumer and business confidence.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w:t>
      </w:r>
      <w:r>
        <w:lastRenderedPageBreak/>
        <w:t xml:space="preserve">perceptions of resilience and confidence. Consequently, as the global economy moves into the second half of 2016 it is important to understand the causes and consequences of shifts in consumer and business confidence and the possible implications for the business cycle and macroeconomic policy settings. Confidence may be a case of shifting sands With policymakers in the major economies working hard to restore and maintain confidence levels and shifts in sentiment indicators playing a key role in risk assessments of investors, it is worthwhile to consider the various influences on this qualitative economic measure. Our analysis of the various indicators of consumer and business confidence that are regularly published highlight several common factors that have the potential to cause marked shifts in sentiment; including: Changes in interest rates and/or exchange rates, particularly if they are rapid, large and unexpected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shocks, such as the financial crisis of 2008/09 and the Eurozone sovereign debt crisis of 2010/11 Announced policy shifts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that small open economies such as Australia and New Zealand often experience disproportionate reactions to economic and financial disturbances that emanate from much larger and more complex economies, including the US, the Eurozone, Japan, and China. To be sure, we are not suggesting that economic policymakers should maintain inappropriate macro policy settings in order to buoy consumer and business confidence. Rather, the announcement and implementation of shifts in key macro policy needs to be sensitive to the psychological impact on households and firms in the real economy.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Although it is often said that 'confidence can turn on a dime', this should not be taken as diminishing the role of sentiment in shaping economic activity and in turn the path of business cycles. The power of confidence was patently demonstrated in late 2008 with the collapse of Lehman Brothers and the subsequent slump in global consumer and business sentiment. This was accompanied by an unprecedented collapse in global trade volumes, industrial production, investment and importantly risk-taking. It is estimated that in the major developed economies, including Australia and New Zealand, consumer spending contributes up to two thirds of aggregate demand, based on income levels or changes, buying and spending trends, and underlying economic conditions. If we consider credit and liquidity to be the life-blood of the economic system, then it is reasonable to regard confidence as the oxygen that </w:t>
      </w:r>
      <w:r>
        <w:lastRenderedPageBreak/>
        <w:t>sustains the system. So heightened economic anxiety and languishing confidence will have manifest impacts on the health and wellbeing of the economy, often determining whether or not it can reach and sustain its long term potential rates of growth. Recent experience indicates that there are several important consequences of low and declining levels of confidence, including: unusually high household and business savings rates, including the hoarding of capital by financial and nonfinancial firms subdued nominal income growth and tepid private sector credit growth widespread household deleveraging declining business investment spending and weak employment growth dominance of short-term thinking and absence of longer-term strategic activity risk of a decline in the economy’s structural growth rate and associated deterioration in productivity growth. Therefore, economies facing 'crises of confidence' may find if this prevails it will undermine productive capacity and prove to be 'growth limiting'. In this event, it could lead to deterioration in living standards as the base of economic activity gradually contracts and the willingness and capacity to engage in risk-taking is curtailed. Looking forward, the continuing desynchronised global business cycle and the likelihood that macroeconomic policy shifts will also vary over the next 12 months suggest that global consumer and business confidence will remain fickle. For policymakers this suggests that communication and announcement effects will continue to be crucial in managing confidence effects in economies. In contrast, investors and firms need to remain vigilant for unexpected shifts in confidence and/or the development of unsettling negative feedback loops.</w:t>
      </w:r>
    </w:p>
    <w:p w14:paraId="3A7BADE1" w14:textId="77777777" w:rsidR="000100D2" w:rsidRDefault="000100D2" w:rsidP="000100D2"/>
    <w:p w14:paraId="35CA68A1" w14:textId="77777777" w:rsidR="000100D2" w:rsidRDefault="000100D2" w:rsidP="000100D2">
      <w:r>
        <w:t xml:space="preserve">Lack of growth cascades – Extinction </w:t>
      </w:r>
    </w:p>
    <w:p w14:paraId="311CC4CD" w14:textId="77777777" w:rsidR="000100D2" w:rsidRDefault="000100D2" w:rsidP="000100D2">
      <w:r>
        <w:t>Mathew Maavak, 4-16-2021, "Horizon 2030: Will Emerging Risks Unravel Our Global Systems? – Analysis," Dr. Mathew Maavak is a regular commentator on geostrategic issues, an external researcher (PLATBIDAFO) at the Kazimieras Simonavicius University in Vilnius, Lithuania, PHD in Risk Foresight from Universiti Teknologi Malaysia, Eurasia Review, https://www.eurasiareview.com/16042021-horizon-2030-will-emerging-risks-unravel-our-global-systems-analysis/</w:t>
      </w:r>
    </w:p>
    <w:p w14:paraId="37B6BDEC" w14:textId="77777777" w:rsidR="000100D2" w:rsidRDefault="000100D2" w:rsidP="000100D2">
      <w:r>
        <w:t>According to Professor Stanislaw Drozdz (2018) of the Polish Academy of Sciences, “a global financial crash of a previously unprecedented scale is highly probable” by the mid-2020s. This will lead to a trickle-down meltdown, impacting all areas of human activity.</w:t>
      </w:r>
    </w:p>
    <w:p w14:paraId="78A0CB37" w14:textId="77777777" w:rsidR="000100D2" w:rsidRDefault="000100D2" w:rsidP="000100D2">
      <w:r>
        <w:t>[graph omitted]</w:t>
      </w:r>
    </w:p>
    <w:p w14:paraId="4BA0FDEF" w14:textId="77777777" w:rsidR="000100D2" w:rsidRDefault="000100D2" w:rsidP="000100D2">
      <w:r>
        <w:t xml:space="preserve">The economist John Mauldin (2018) similarly warns that the “2020s might be the worst decade in US history”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 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 As the Greek historian Plutarch warned in the 1st century AD: “An imbalance between rich and poor is the oldest and most fatal ailment of all republics” (Mauldin, 2014). The stability of a society, as </w:t>
      </w:r>
      <w:r>
        <w:lastRenderedPageBreak/>
        <w:t>Aristotle argued even earlier, depends on a robust middle element or middle class. At the rate the global middle class is facing catastrophic debt and unemployment levels, widespread social disaffection may morph into outright anarchy (Maavak, 2012; DCDC, 2007). Economic stressors, in transcendent VUCA fashion, may also induce radical geopolitical realignments. Bullions now carry more weight than NATO’s security guarantees in Eastern Europe. After Poland repatriated 100 tons of gold from the Bank of England in 2019, Slovakia, Serbia and Hungary quickly followed suit. According to former Slovak Premier Robert Fico, this erosion in regional trust was based on historical precedents – in particular the 1938 Munich Agreement which ceded Czechoslovakia’s Sudetenland to Nazi Germany. As Fico reiterated (Dudik &amp; Tomek, 2019): “You can hardly trust even the closest allies after the Munich Agreement… I guarantee that if something happens, we won’t see a single gram of this (offshore-held) gold. Let’s do it (repatriation) as quickly as possible.” (Parenthesis added by author). President Aleksandar Vucic of Serbia (a non-NATO nation) justified his central bank’s gold-repatriation program by hinting at economic headwinds ahead: “We see in which direction the crisis in the world is moving” (Dudik &amp; Tomek, 2019). Indeed, with two global Titanics – the United States and China – set on a collision course with a quadrillions-denominated iceberg in the middle, and a viral outbreak on its tip, the seismic ripples will be felt far, wide and for a considerable period.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7A3A8486" w14:textId="77777777" w:rsidR="000100D2" w:rsidRDefault="000100D2" w:rsidP="000100D2">
      <w:r>
        <w:t>Environmental</w:t>
      </w:r>
    </w:p>
    <w:p w14:paraId="31FB0C8E" w14:textId="77777777" w:rsidR="000100D2" w:rsidRDefault="000100D2" w:rsidP="000100D2">
      <w:r>
        <w:t xml:space="preserve">What happens to the environment when our economies implode? Think of a debt-laden workforce at sensitive nuclear and chemical plants, along with a concomitant surge in industrial accidents? Economic stressors, workforce demoralization and rampant profiteering – rather than manmade climate change – arguably pose the biggest threats to the environment. In a WEF report, Buehler et al (2017) made the following pre-COVID-19 observation: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Shouldn’t this phenomenon be better categorized as a societal or economic risk rather than an environmental one? In line with the systems thinking approach, however, global risks can no longer be boxed into a taxonomical silo. Frazzled workforces may precipitate another Bhopal (1984), Chernobyl (1986), Deepwater </w:t>
      </w:r>
      <w:r>
        <w:lastRenderedPageBreak/>
        <w:t>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 Environmental disasters are more attributable to Black Swan events, systems breakdowns and corporate greed rather than to mundane human activity. Our JIT world aggravates the cascading potential of risks (Korowicz, 2012). Production and delivery delays, caused by the COVID-19 outbreak, will eventually require industrial overcompensation.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 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 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Interlinked ecosystems, particularly water resources, may be hijacked by nationalist sentiments. The environmental fallouts of critical infrastructure (CI) breakdowns loom like a Sword of Damocles over this decade.</w:t>
      </w:r>
    </w:p>
    <w:p w14:paraId="071D7171" w14:textId="77777777" w:rsidR="000100D2" w:rsidRDefault="000100D2" w:rsidP="000100D2">
      <w:r>
        <w:t xml:space="preserve">Geopolitical </w:t>
      </w:r>
    </w:p>
    <w:p w14:paraId="0F95A4F7" w14:textId="77777777" w:rsidR="000100D2" w:rsidRDefault="000100D2" w:rsidP="000100D2">
      <w:r>
        <w:t xml:space="preserve">The primary catalyst behind WWII was the Great Depression. Since history often repeats itself, expect familiar bogeymen to reappear in societies roiling with impoverishment and ideological clefts. Anti-Semitism – a societal risk on its own – may reach alarming proportions in the West (Reuters, 2019), possibly forcing Israel to undertake reprisal operations inside allied nations. If that happens, how will affected nations react? Will security resources be reallocated to protect </w:t>
      </w:r>
      <w:r>
        <w:lastRenderedPageBreak/>
        <w:t xml:space="preserve">certain minorities (or the Top 1%) while larger segments of society are exposed to restive forces? Balloon effects like these present a classic VUCA problematic. Contemporary geopolitical risks include a possible Iran-Israel war; US-China military confrontation over Taiwan or the South China Sea; North Korean proliferation of nuclear and missile technologies; an India-Pakistan nuclear war; an Iranian closure of the Straits of Hormuz; fundamentalist-driven implosion in the Islamic world; or a nuclear confrontation between NATO and Russia. </w:t>
      </w:r>
    </w:p>
    <w:p w14:paraId="2AC1E67B" w14:textId="164AF01E" w:rsidR="00003F1E" w:rsidRPr="000100D2" w:rsidRDefault="000100D2" w:rsidP="000100D2"/>
    <w:sectPr w:rsidR="00003F1E" w:rsidRPr="000100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D96"/>
    <w:rsid w:val="000100D2"/>
    <w:rsid w:val="00263C3A"/>
    <w:rsid w:val="00302018"/>
    <w:rsid w:val="004B0594"/>
    <w:rsid w:val="00A57D96"/>
    <w:rsid w:val="00CC7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A1CDBC"/>
  <w15:chartTrackingRefBased/>
  <w15:docId w15:val="{AE52C8AD-C4AE-574A-8E0C-F46A709C5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2912</Words>
  <Characters>16603</Characters>
  <Application>Microsoft Office Word</Application>
  <DocSecurity>0</DocSecurity>
  <Lines>138</Lines>
  <Paragraphs>38</Paragraphs>
  <ScaleCrop>false</ScaleCrop>
  <Company/>
  <LinksUpToDate>false</LinksUpToDate>
  <CharactersWithSpaces>19477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Bohan Gao</dc:creator>
  <cp:keywords/>
  <dc:description/>
  <cp:lastModifiedBy>Bohan Gao</cp:lastModifiedBy>
  <cp:revision>2</cp:revision>
  <dcterms:created xsi:type="dcterms:W3CDTF">2021-12-05T21:58:00Z</dcterms:created>
  <dcterms:modified xsi:type="dcterms:W3CDTF">2021-12-05T22:03:00Z</dcterms:modified>
</cp:coreProperties>
</file>