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97FDA" w14:textId="77777777" w:rsidR="007E27E5" w:rsidRDefault="007E27E5" w:rsidP="007E27E5">
      <w:pPr>
        <w:pStyle w:val="Heading3"/>
        <w:spacing w:before="240" w:after="40"/>
        <w:rPr>
          <w:rFonts w:eastAsia="Calibri" w:cs="Calibri"/>
          <w:b w:val="0"/>
          <w:color w:val="000000"/>
        </w:rPr>
      </w:pPr>
      <w:r>
        <w:rPr>
          <w:rFonts w:eastAsia="Calibri" w:cs="Calibri"/>
          <w:color w:val="000000"/>
        </w:rPr>
        <w:t>Permissibility and Presumption affirms:</w:t>
      </w:r>
    </w:p>
    <w:p w14:paraId="584ACB79" w14:textId="77777777" w:rsidR="007E27E5" w:rsidRDefault="007E27E5" w:rsidP="007E27E5">
      <w:pPr>
        <w:spacing w:before="240" w:after="40" w:line="240" w:lineRule="auto"/>
        <w:rPr>
          <w:rFonts w:eastAsia="Calibri" w:cs="Calibri"/>
          <w:b/>
          <w:sz w:val="24"/>
        </w:rPr>
      </w:pPr>
      <w:r>
        <w:rPr>
          <w:rFonts w:eastAsia="Calibri" w:cs="Calibri"/>
          <w:b/>
        </w:rPr>
        <w:t>[A] Logic – Negating an obligation requires proving a prohibition. That is, to negate an action one would have to provide proactive reasoning as to why that action was wrong. In the absence of prohibitions, that affirms.</w:t>
      </w:r>
    </w:p>
    <w:p w14:paraId="486CD5C5" w14:textId="77777777" w:rsidR="007E27E5" w:rsidRDefault="007E27E5" w:rsidP="007E27E5">
      <w:pPr>
        <w:spacing w:before="240" w:after="40" w:line="240" w:lineRule="auto"/>
        <w:rPr>
          <w:rFonts w:eastAsia="Calibri" w:cs="Calibri"/>
          <w:b/>
        </w:rPr>
      </w:pPr>
      <w:r>
        <w:rPr>
          <w:rFonts w:eastAsia="Calibri" w:cs="Calibri"/>
          <w:b/>
        </w:rPr>
        <w:t>[B] Freezes action – requiring pro-active justification for all our actions would make it impossible to make morally neutral claims like ‘I ought to drink water’ which means we always assume we can take an action absent a proactive reason not to.</w:t>
      </w:r>
    </w:p>
    <w:p w14:paraId="1251C73A" w14:textId="77777777" w:rsidR="007E27E5" w:rsidRDefault="007E27E5" w:rsidP="007E27E5">
      <w:pPr>
        <w:spacing w:line="240" w:lineRule="auto"/>
        <w:rPr>
          <w:rFonts w:eastAsia="Calibri" w:cs="Calibri"/>
          <w:b/>
          <w:sz w:val="24"/>
        </w:rPr>
      </w:pPr>
      <w:r>
        <w:rPr>
          <w:rFonts w:eastAsia="Calibri" w:cs="Calibri"/>
          <w:b/>
        </w:rPr>
        <w:t>[C] Constitutiveness – the negative’s only role is to negate the aff. If they haven’t done that through proving a moral obligation against affirming, they have not met their burden which affirms</w:t>
      </w:r>
    </w:p>
    <w:p w14:paraId="6654BBAF" w14:textId="77777777" w:rsidR="007E27E5" w:rsidRDefault="007E27E5" w:rsidP="007E27E5">
      <w:pPr>
        <w:spacing w:before="240" w:after="40" w:line="240" w:lineRule="auto"/>
        <w:rPr>
          <w:rFonts w:eastAsia="Calibri" w:cs="Calibri"/>
          <w:b/>
        </w:rPr>
      </w:pPr>
      <w:r>
        <w:rPr>
          <w:rFonts w:eastAsia="Calibri" w:cs="Calibri"/>
          <w:b/>
        </w:rPr>
        <w:t>[D] Epistemology – If we presumed neg then nobody would be able to start any strand of reasoning since we would question everything infintely</w:t>
      </w:r>
    </w:p>
    <w:p w14:paraId="5BB10A94" w14:textId="77777777" w:rsidR="007E27E5" w:rsidRDefault="007E27E5" w:rsidP="007E27E5">
      <w:pPr>
        <w:spacing w:before="240" w:after="40" w:line="240" w:lineRule="auto"/>
        <w:rPr>
          <w:rFonts w:ascii="Times New Roman" w:eastAsia="Times New Roman" w:hAnsi="Times New Roman" w:cs="Times New Roman"/>
          <w:sz w:val="24"/>
        </w:rPr>
      </w:pPr>
    </w:p>
    <w:p w14:paraId="55A8CA2F" w14:textId="77777777" w:rsidR="007E27E5" w:rsidRDefault="007E27E5" w:rsidP="007E27E5">
      <w:pPr>
        <w:spacing w:before="40" w:after="0" w:line="240" w:lineRule="auto"/>
        <w:outlineLvl w:val="3"/>
        <w:rPr>
          <w:rFonts w:eastAsia="Times New Roman" w:cs="Calibri"/>
          <w:b/>
          <w:bCs/>
          <w:color w:val="000000"/>
          <w:sz w:val="26"/>
          <w:szCs w:val="26"/>
          <w:lang w:eastAsia="zh-CN" w:bidi="hi-IN"/>
        </w:rPr>
      </w:pPr>
    </w:p>
    <w:p w14:paraId="3FF92C35" w14:textId="31EFC016" w:rsidR="007E27E5" w:rsidRPr="007E27E5" w:rsidRDefault="007E27E5" w:rsidP="007E27E5">
      <w:pPr>
        <w:spacing w:before="40" w:after="0" w:line="240" w:lineRule="auto"/>
        <w:outlineLvl w:val="3"/>
        <w:rPr>
          <w:rFonts w:ascii="Times New Roman" w:eastAsia="Times New Roman" w:hAnsi="Times New Roman" w:cs="Times New Roman"/>
          <w:b/>
          <w:bCs/>
          <w:color w:val="000000"/>
          <w:sz w:val="24"/>
          <w:lang w:eastAsia="zh-CN" w:bidi="hi-IN"/>
        </w:rPr>
      </w:pPr>
      <w:r w:rsidRPr="007E27E5">
        <w:rPr>
          <w:rFonts w:eastAsia="Times New Roman" w:cs="Calibri"/>
          <w:b/>
          <w:bCs/>
          <w:color w:val="000000"/>
          <w:sz w:val="26"/>
          <w:szCs w:val="26"/>
          <w:lang w:eastAsia="zh-CN" w:bidi="hi-IN"/>
        </w:rPr>
        <w:t>Counter interpretation – “A” refers to a singular – plural constructions necessitate “some” or no article</w:t>
      </w:r>
    </w:p>
    <w:p w14:paraId="5521CB23" w14:textId="77777777" w:rsidR="007E27E5" w:rsidRPr="007E27E5" w:rsidRDefault="007E27E5" w:rsidP="007E27E5">
      <w:pPr>
        <w:spacing w:line="240" w:lineRule="auto"/>
        <w:rPr>
          <w:rFonts w:ascii="Times New Roman" w:eastAsia="Times New Roman" w:hAnsi="Times New Roman" w:cs="Times New Roman"/>
          <w:color w:val="000000"/>
          <w:sz w:val="24"/>
          <w:lang w:eastAsia="zh-CN" w:bidi="hi-IN"/>
        </w:rPr>
      </w:pPr>
      <w:r w:rsidRPr="007E27E5">
        <w:rPr>
          <w:rFonts w:eastAsia="Times New Roman" w:cs="Calibri"/>
          <w:b/>
          <w:bCs/>
          <w:color w:val="000000"/>
          <w:sz w:val="26"/>
          <w:szCs w:val="26"/>
          <w:lang w:eastAsia="zh-CN" w:bidi="hi-IN"/>
        </w:rPr>
        <w:t>Butte College n.d.</w:t>
      </w:r>
      <w:r w:rsidRPr="007E27E5">
        <w:rPr>
          <w:rFonts w:eastAsia="Times New Roman" w:cs="Calibri"/>
          <w:color w:val="000000"/>
          <w:szCs w:val="22"/>
          <w:lang w:eastAsia="zh-CN" w:bidi="hi-IN"/>
        </w:rPr>
        <w:t xml:space="preserve"> “TIP Sheet – Definite and Indefinite Articles.” http://www.butte.edu/departments/cas/tipsheets/grammar/articles.html</w:t>
      </w:r>
    </w:p>
    <w:p w14:paraId="0C7AEE69" w14:textId="77777777" w:rsidR="007E27E5" w:rsidRPr="007E27E5" w:rsidRDefault="007E27E5" w:rsidP="007E27E5">
      <w:pPr>
        <w:spacing w:line="240" w:lineRule="auto"/>
        <w:rPr>
          <w:rFonts w:ascii="Times New Roman" w:eastAsia="Times New Roman" w:hAnsi="Times New Roman" w:cs="Times New Roman"/>
          <w:color w:val="000000"/>
          <w:sz w:val="24"/>
          <w:lang w:eastAsia="zh-CN" w:bidi="hi-IN"/>
        </w:rPr>
      </w:pPr>
      <w:r w:rsidRPr="007E27E5">
        <w:rPr>
          <w:rFonts w:eastAsia="Times New Roman" w:cs="Calibri"/>
          <w:color w:val="000000"/>
          <w:szCs w:val="22"/>
          <w:u w:val="single"/>
          <w:lang w:eastAsia="zh-CN" w:bidi="hi-IN"/>
        </w:rPr>
        <w:t xml:space="preserve">Rule #1 - Specific identity not known: Use </w:t>
      </w:r>
      <w:r w:rsidRPr="007E27E5">
        <w:rPr>
          <w:rFonts w:eastAsia="Times New Roman" w:cs="Calibri"/>
          <w:color w:val="000000"/>
          <w:szCs w:val="22"/>
          <w:u w:val="single"/>
          <w:shd w:val="clear" w:color="auto" w:fill="00FFFF"/>
          <w:lang w:eastAsia="zh-CN" w:bidi="hi-IN"/>
        </w:rPr>
        <w:t>the indefinite article a</w:t>
      </w:r>
      <w:r w:rsidRPr="007E27E5">
        <w:rPr>
          <w:rFonts w:eastAsia="Times New Roman" w:cs="Calibri"/>
          <w:color w:val="000000"/>
          <w:szCs w:val="22"/>
          <w:u w:val="single"/>
          <w:lang w:eastAsia="zh-CN" w:bidi="hi-IN"/>
        </w:rPr>
        <w:t xml:space="preserve"> or an </w:t>
      </w:r>
      <w:r w:rsidRPr="007E27E5">
        <w:rPr>
          <w:rFonts w:eastAsia="Times New Roman" w:cs="Calibri"/>
          <w:color w:val="000000"/>
          <w:szCs w:val="22"/>
          <w:u w:val="single"/>
          <w:shd w:val="clear" w:color="auto" w:fill="00FFFF"/>
          <w:lang w:eastAsia="zh-CN" w:bidi="hi-IN"/>
        </w:rPr>
        <w:t>only with a singular</w:t>
      </w:r>
      <w:r w:rsidRPr="007E27E5">
        <w:rPr>
          <w:rFonts w:eastAsia="Times New Roman" w:cs="Calibri"/>
          <w:color w:val="000000"/>
          <w:szCs w:val="22"/>
          <w:u w:val="single"/>
          <w:lang w:eastAsia="zh-CN" w:bidi="hi-IN"/>
        </w:rPr>
        <w:t xml:space="preserve"> count </w:t>
      </w:r>
      <w:r w:rsidRPr="007E27E5">
        <w:rPr>
          <w:rFonts w:eastAsia="Times New Roman" w:cs="Calibri"/>
          <w:color w:val="000000"/>
          <w:szCs w:val="22"/>
          <w:u w:val="single"/>
          <w:shd w:val="clear" w:color="auto" w:fill="00FFFF"/>
          <w:lang w:eastAsia="zh-CN" w:bidi="hi-IN"/>
        </w:rPr>
        <w:t xml:space="preserve">noun </w:t>
      </w:r>
      <w:r w:rsidRPr="007E27E5">
        <w:rPr>
          <w:rFonts w:eastAsia="Times New Roman" w:cs="Calibri"/>
          <w:color w:val="000000"/>
          <w:szCs w:val="22"/>
          <w:u w:val="single"/>
          <w:lang w:eastAsia="zh-CN" w:bidi="hi-IN"/>
        </w:rPr>
        <w:t>whose specific identity is not known to the reader. Use a before nouns that begin with a consonant sound, and use an before nouns that begin with a vowel sound.</w:t>
      </w:r>
    </w:p>
    <w:p w14:paraId="6318ECD0" w14:textId="77777777" w:rsidR="007E27E5" w:rsidRPr="007E27E5" w:rsidRDefault="007E27E5" w:rsidP="007E27E5">
      <w:pPr>
        <w:numPr>
          <w:ilvl w:val="0"/>
          <w:numId w:val="12"/>
        </w:numPr>
        <w:spacing w:line="240" w:lineRule="auto"/>
        <w:textAlignment w:val="baseline"/>
        <w:rPr>
          <w:rFonts w:eastAsia="Times New Roman" w:cs="Calibri"/>
          <w:color w:val="000000"/>
          <w:szCs w:val="22"/>
          <w:u w:val="single"/>
          <w:lang w:eastAsia="zh-CN" w:bidi="hi-IN"/>
        </w:rPr>
      </w:pPr>
      <w:r w:rsidRPr="007E27E5">
        <w:rPr>
          <w:rFonts w:eastAsia="Times New Roman" w:cs="Calibri"/>
          <w:color w:val="000000"/>
          <w:szCs w:val="22"/>
          <w:u w:val="single"/>
          <w:lang w:eastAsia="zh-CN" w:bidi="hi-IN"/>
        </w:rPr>
        <w:t>Use the article a or an to indicate any non-specified member of a group or category.</w:t>
      </w:r>
    </w:p>
    <w:p w14:paraId="4E41CA05" w14:textId="77777777" w:rsidR="007E27E5" w:rsidRPr="007E27E5" w:rsidRDefault="007E27E5" w:rsidP="007E27E5">
      <w:pPr>
        <w:spacing w:line="240" w:lineRule="auto"/>
        <w:ind w:left="1440"/>
        <w:rPr>
          <w:rFonts w:ascii="Times New Roman" w:eastAsia="Times New Roman" w:hAnsi="Times New Roman" w:cs="Times New Roman"/>
          <w:color w:val="000000"/>
          <w:sz w:val="24"/>
          <w:lang w:eastAsia="zh-CN" w:bidi="hi-IN"/>
        </w:rPr>
      </w:pPr>
      <w:r w:rsidRPr="007E27E5">
        <w:rPr>
          <w:rFonts w:eastAsia="Times New Roman" w:cs="Calibri"/>
          <w:color w:val="000000"/>
          <w:szCs w:val="22"/>
          <w:lang w:eastAsia="zh-CN" w:bidi="hi-IN"/>
        </w:rPr>
        <w:t>I think an animal is in the garage</w:t>
      </w:r>
      <w:r w:rsidRPr="007E27E5">
        <w:rPr>
          <w:rFonts w:eastAsia="Times New Roman" w:cs="Calibri"/>
          <w:color w:val="000000"/>
          <w:szCs w:val="22"/>
          <w:lang w:eastAsia="zh-CN" w:bidi="hi-IN"/>
        </w:rPr>
        <w:br/>
        <w:t>That man is a scoundrel.</w:t>
      </w:r>
      <w:r w:rsidRPr="007E27E5">
        <w:rPr>
          <w:rFonts w:eastAsia="Times New Roman" w:cs="Calibri"/>
          <w:color w:val="000000"/>
          <w:szCs w:val="22"/>
          <w:lang w:eastAsia="zh-CN" w:bidi="hi-IN"/>
        </w:rPr>
        <w:br/>
        <w:t>We are looking for an apartment.</w:t>
      </w:r>
    </w:p>
    <w:p w14:paraId="4CEFEF38" w14:textId="77777777" w:rsidR="007E27E5" w:rsidRPr="007E27E5" w:rsidRDefault="007E27E5" w:rsidP="007E27E5">
      <w:pPr>
        <w:numPr>
          <w:ilvl w:val="0"/>
          <w:numId w:val="13"/>
        </w:numPr>
        <w:spacing w:line="240" w:lineRule="auto"/>
        <w:textAlignment w:val="baseline"/>
        <w:rPr>
          <w:rFonts w:eastAsia="Times New Roman" w:cs="Calibri"/>
          <w:color w:val="000000"/>
          <w:szCs w:val="22"/>
          <w:u w:val="single"/>
          <w:lang w:eastAsia="zh-CN" w:bidi="hi-IN"/>
        </w:rPr>
      </w:pPr>
      <w:r w:rsidRPr="007E27E5">
        <w:rPr>
          <w:rFonts w:eastAsia="Times New Roman" w:cs="Calibri"/>
          <w:color w:val="000000"/>
          <w:szCs w:val="22"/>
          <w:u w:val="single"/>
          <w:lang w:eastAsia="zh-CN" w:bidi="hi-IN"/>
        </w:rPr>
        <w:t>Use the article </w:t>
      </w:r>
      <w:r w:rsidRPr="007E27E5">
        <w:rPr>
          <w:rFonts w:eastAsia="Times New Roman" w:cs="Calibri"/>
          <w:color w:val="000000"/>
          <w:szCs w:val="22"/>
          <w:u w:val="single"/>
          <w:shd w:val="clear" w:color="auto" w:fill="00FFFF"/>
          <w:lang w:eastAsia="zh-CN" w:bidi="hi-IN"/>
        </w:rPr>
        <w:t>a</w:t>
      </w:r>
      <w:r w:rsidRPr="007E27E5">
        <w:rPr>
          <w:rFonts w:eastAsia="Times New Roman" w:cs="Calibri"/>
          <w:color w:val="000000"/>
          <w:szCs w:val="22"/>
          <w:u w:val="single"/>
          <w:lang w:eastAsia="zh-CN" w:bidi="hi-IN"/>
        </w:rPr>
        <w:t xml:space="preserve"> or an to </w:t>
      </w:r>
      <w:r w:rsidRPr="007E27E5">
        <w:rPr>
          <w:rFonts w:eastAsia="Times New Roman" w:cs="Calibri"/>
          <w:color w:val="000000"/>
          <w:szCs w:val="22"/>
          <w:u w:val="single"/>
          <w:shd w:val="clear" w:color="auto" w:fill="00FFFF"/>
          <w:lang w:eastAsia="zh-CN" w:bidi="hi-IN"/>
        </w:rPr>
        <w:t>indicate one in number</w:t>
      </w:r>
      <w:r w:rsidRPr="007E27E5">
        <w:rPr>
          <w:rFonts w:eastAsia="Times New Roman" w:cs="Calibri"/>
          <w:color w:val="000000"/>
          <w:szCs w:val="22"/>
          <w:u w:val="single"/>
          <w:lang w:eastAsia="zh-CN" w:bidi="hi-IN"/>
        </w:rPr>
        <w:t xml:space="preserve"> (as opposed to more than one).</w:t>
      </w:r>
    </w:p>
    <w:p w14:paraId="2BB9032C"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Cs w:val="22"/>
          <w:u w:val="single"/>
          <w:lang w:eastAsia="zh-CN" w:bidi="hi-IN"/>
        </w:rPr>
        <w:t>I own a cat and two dogs.</w:t>
      </w:r>
    </w:p>
    <w:p w14:paraId="73BB81ED" w14:textId="77777777" w:rsidR="007E27E5" w:rsidRPr="007E27E5" w:rsidRDefault="007E27E5" w:rsidP="007E27E5">
      <w:pPr>
        <w:numPr>
          <w:ilvl w:val="0"/>
          <w:numId w:val="14"/>
        </w:numPr>
        <w:spacing w:line="240" w:lineRule="auto"/>
        <w:textAlignment w:val="baseline"/>
        <w:rPr>
          <w:rFonts w:eastAsia="Times New Roman" w:cs="Calibri"/>
          <w:color w:val="000000"/>
          <w:szCs w:val="22"/>
          <w:u w:val="single"/>
          <w:lang w:eastAsia="zh-CN" w:bidi="hi-IN"/>
        </w:rPr>
      </w:pPr>
      <w:r w:rsidRPr="007E27E5">
        <w:rPr>
          <w:rFonts w:eastAsia="Times New Roman" w:cs="Calibri"/>
          <w:color w:val="000000"/>
          <w:szCs w:val="22"/>
          <w:u w:val="single"/>
          <w:lang w:eastAsia="zh-CN" w:bidi="hi-IN"/>
        </w:rPr>
        <w:t>Use the article a before a consonant sound, and use an before a vowel sound.</w:t>
      </w:r>
    </w:p>
    <w:p w14:paraId="7B746438"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Cs w:val="22"/>
          <w:lang w:eastAsia="zh-CN" w:bidi="hi-IN"/>
        </w:rPr>
        <w:t>a boy, an apple</w:t>
      </w:r>
    </w:p>
    <w:p w14:paraId="3B35B3C0"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Cs w:val="22"/>
          <w:lang w:eastAsia="zh-CN" w:bidi="hi-IN"/>
        </w:rPr>
        <w:t>◊ Sometimes an adjective comes between the article and noun:</w:t>
      </w:r>
    </w:p>
    <w:p w14:paraId="163DACE3"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Cs w:val="22"/>
          <w:lang w:eastAsia="zh-CN" w:bidi="hi-IN"/>
        </w:rPr>
        <w:t>an unhappy boy, a red apple</w:t>
      </w:r>
    </w:p>
    <w:p w14:paraId="571E35AA" w14:textId="77777777" w:rsidR="007E27E5" w:rsidRPr="007E27E5" w:rsidRDefault="007E27E5" w:rsidP="007E27E5">
      <w:pPr>
        <w:numPr>
          <w:ilvl w:val="0"/>
          <w:numId w:val="15"/>
        </w:numPr>
        <w:spacing w:line="240" w:lineRule="auto"/>
        <w:textAlignment w:val="baseline"/>
        <w:rPr>
          <w:rFonts w:eastAsia="Times New Roman" w:cs="Calibri"/>
          <w:color w:val="000000"/>
          <w:szCs w:val="22"/>
          <w:u w:val="single"/>
          <w:lang w:eastAsia="zh-CN" w:bidi="hi-IN"/>
        </w:rPr>
      </w:pPr>
      <w:r w:rsidRPr="007E27E5">
        <w:rPr>
          <w:rFonts w:eastAsia="Times New Roman" w:cs="Calibri"/>
          <w:color w:val="000000"/>
          <w:szCs w:val="22"/>
          <w:u w:val="single"/>
          <w:shd w:val="clear" w:color="auto" w:fill="00FFFF"/>
          <w:lang w:eastAsia="zh-CN" w:bidi="hi-IN"/>
        </w:rPr>
        <w:t>The plural form of a</w:t>
      </w:r>
      <w:r w:rsidRPr="007E27E5">
        <w:rPr>
          <w:rFonts w:eastAsia="Times New Roman" w:cs="Calibri"/>
          <w:color w:val="000000"/>
          <w:szCs w:val="22"/>
          <w:u w:val="single"/>
          <w:lang w:eastAsia="zh-CN" w:bidi="hi-IN"/>
        </w:rPr>
        <w:t> or an </w:t>
      </w:r>
      <w:r w:rsidRPr="007E27E5">
        <w:rPr>
          <w:rFonts w:eastAsia="Times New Roman" w:cs="Calibri"/>
          <w:color w:val="000000"/>
          <w:szCs w:val="22"/>
          <w:u w:val="single"/>
          <w:shd w:val="clear" w:color="auto" w:fill="00FFFF"/>
          <w:lang w:eastAsia="zh-CN" w:bidi="hi-IN"/>
        </w:rPr>
        <w:t>is some</w:t>
      </w:r>
      <w:r w:rsidRPr="007E27E5">
        <w:rPr>
          <w:rFonts w:eastAsia="Times New Roman" w:cs="Calibri"/>
          <w:color w:val="000000"/>
          <w:szCs w:val="22"/>
          <w:u w:val="single"/>
          <w:lang w:eastAsia="zh-CN" w:bidi="hi-IN"/>
        </w:rPr>
        <w:t>. Use some to indicate an unspecified, limited amount (but more than one).</w:t>
      </w:r>
    </w:p>
    <w:p w14:paraId="3CFD9340"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Cs w:val="22"/>
          <w:u w:val="single"/>
          <w:lang w:eastAsia="zh-CN" w:bidi="hi-IN"/>
        </w:rPr>
        <w:t>an apple, some apples</w:t>
      </w:r>
    </w:p>
    <w:p w14:paraId="6706C594" w14:textId="77777777" w:rsidR="007E27E5" w:rsidRPr="007E27E5" w:rsidRDefault="007E27E5" w:rsidP="007E27E5">
      <w:pPr>
        <w:spacing w:line="240" w:lineRule="auto"/>
        <w:rPr>
          <w:rFonts w:ascii="Times New Roman" w:eastAsia="Times New Roman" w:hAnsi="Times New Roman" w:cs="Times New Roman"/>
          <w:color w:val="000000"/>
          <w:sz w:val="24"/>
          <w:lang w:eastAsia="zh-CN" w:bidi="hi-IN"/>
        </w:rPr>
      </w:pPr>
      <w:r w:rsidRPr="007E27E5">
        <w:rPr>
          <w:rFonts w:eastAsia="Times New Roman" w:cs="Calibri"/>
          <w:color w:val="000000"/>
          <w:sz w:val="12"/>
          <w:szCs w:val="12"/>
          <w:lang w:eastAsia="zh-CN" w:bidi="hi-IN"/>
        </w:rPr>
        <w:t>Rule #2 - Specific identity known: Use the definite article the with any noun (whether singular or plural, count or noncount) when the specific identity of the noun is known to the reader, as in the following situations:</w:t>
      </w:r>
    </w:p>
    <w:p w14:paraId="09D6BBF9" w14:textId="77777777" w:rsidR="007E27E5" w:rsidRPr="007E27E5" w:rsidRDefault="007E27E5" w:rsidP="007E27E5">
      <w:pPr>
        <w:numPr>
          <w:ilvl w:val="0"/>
          <w:numId w:val="16"/>
        </w:numPr>
        <w:spacing w:line="240" w:lineRule="auto"/>
        <w:textAlignment w:val="baseline"/>
        <w:rPr>
          <w:rFonts w:eastAsia="Times New Roman" w:cs="Calibri"/>
          <w:color w:val="000000"/>
          <w:sz w:val="12"/>
          <w:szCs w:val="12"/>
          <w:lang w:eastAsia="zh-CN" w:bidi="hi-IN"/>
        </w:rPr>
      </w:pPr>
      <w:r w:rsidRPr="007E27E5">
        <w:rPr>
          <w:rFonts w:eastAsia="Times New Roman" w:cs="Calibri"/>
          <w:color w:val="000000"/>
          <w:sz w:val="12"/>
          <w:szCs w:val="12"/>
          <w:lang w:eastAsia="zh-CN" w:bidi="hi-IN"/>
        </w:rPr>
        <w:t>Use the article the when a particular noun has already been mentioned previously.</w:t>
      </w:r>
    </w:p>
    <w:p w14:paraId="0DF606F1" w14:textId="77777777" w:rsidR="007E27E5" w:rsidRPr="007E27E5" w:rsidRDefault="007E27E5" w:rsidP="007E27E5">
      <w:pPr>
        <w:spacing w:line="240" w:lineRule="auto"/>
        <w:ind w:left="720" w:firstLine="720"/>
        <w:rPr>
          <w:rFonts w:ascii="Times New Roman" w:eastAsia="Times New Roman" w:hAnsi="Times New Roman" w:cs="Times New Roman"/>
          <w:color w:val="000000"/>
          <w:sz w:val="24"/>
          <w:lang w:eastAsia="zh-CN" w:bidi="hi-IN"/>
        </w:rPr>
      </w:pPr>
      <w:r w:rsidRPr="007E27E5">
        <w:rPr>
          <w:rFonts w:eastAsia="Times New Roman" w:cs="Calibri"/>
          <w:color w:val="000000"/>
          <w:sz w:val="12"/>
          <w:szCs w:val="12"/>
          <w:lang w:eastAsia="zh-CN" w:bidi="hi-IN"/>
        </w:rPr>
        <w:t>I ate an apple yesterday. The apple was juicy and delicious.</w:t>
      </w:r>
    </w:p>
    <w:p w14:paraId="327509F8" w14:textId="77777777" w:rsidR="007E27E5" w:rsidRPr="007E27E5" w:rsidRDefault="007E27E5" w:rsidP="007E27E5">
      <w:pPr>
        <w:numPr>
          <w:ilvl w:val="0"/>
          <w:numId w:val="17"/>
        </w:numPr>
        <w:spacing w:line="240" w:lineRule="auto"/>
        <w:textAlignment w:val="baseline"/>
        <w:rPr>
          <w:rFonts w:eastAsia="Times New Roman" w:cs="Calibri"/>
          <w:color w:val="000000"/>
          <w:sz w:val="12"/>
          <w:szCs w:val="12"/>
          <w:lang w:eastAsia="zh-CN" w:bidi="hi-IN"/>
        </w:rPr>
      </w:pPr>
      <w:r w:rsidRPr="007E27E5">
        <w:rPr>
          <w:rFonts w:eastAsia="Times New Roman" w:cs="Calibri"/>
          <w:color w:val="000000"/>
          <w:sz w:val="12"/>
          <w:szCs w:val="12"/>
          <w:lang w:eastAsia="zh-CN" w:bidi="hi-IN"/>
        </w:rPr>
        <w:t>Use the article the when an adjective, phrase, or clause describing the noun clarifies or restricts its identity.</w:t>
      </w:r>
    </w:p>
    <w:p w14:paraId="4F0C2E55" w14:textId="77777777" w:rsidR="007E27E5" w:rsidRPr="007E27E5" w:rsidRDefault="007E27E5" w:rsidP="007E27E5">
      <w:pPr>
        <w:spacing w:line="240" w:lineRule="auto"/>
        <w:ind w:left="1440"/>
        <w:rPr>
          <w:rFonts w:ascii="Times New Roman" w:eastAsia="Times New Roman" w:hAnsi="Times New Roman" w:cs="Times New Roman"/>
          <w:color w:val="000000"/>
          <w:sz w:val="24"/>
          <w:lang w:eastAsia="zh-CN" w:bidi="hi-IN"/>
        </w:rPr>
      </w:pPr>
      <w:r w:rsidRPr="007E27E5">
        <w:rPr>
          <w:rFonts w:eastAsia="Times New Roman" w:cs="Calibri"/>
          <w:color w:val="000000"/>
          <w:sz w:val="12"/>
          <w:szCs w:val="12"/>
          <w:lang w:eastAsia="zh-CN" w:bidi="hi-IN"/>
        </w:rPr>
        <w:t>The boy sitting next to me raised his hand.</w:t>
      </w:r>
      <w:r w:rsidRPr="007E27E5">
        <w:rPr>
          <w:rFonts w:eastAsia="Times New Roman" w:cs="Calibri"/>
          <w:color w:val="000000"/>
          <w:sz w:val="12"/>
          <w:szCs w:val="12"/>
          <w:lang w:eastAsia="zh-CN" w:bidi="hi-IN"/>
        </w:rPr>
        <w:br/>
        <w:t>Thank you for the advice you gave me.</w:t>
      </w:r>
    </w:p>
    <w:p w14:paraId="215A5869" w14:textId="77777777" w:rsidR="007E27E5" w:rsidRPr="007E27E5" w:rsidRDefault="007E27E5" w:rsidP="007E27E5">
      <w:pPr>
        <w:numPr>
          <w:ilvl w:val="0"/>
          <w:numId w:val="18"/>
        </w:numPr>
        <w:spacing w:line="240" w:lineRule="auto"/>
        <w:textAlignment w:val="baseline"/>
        <w:rPr>
          <w:rFonts w:eastAsia="Times New Roman" w:cs="Calibri"/>
          <w:color w:val="000000"/>
          <w:sz w:val="12"/>
          <w:szCs w:val="12"/>
          <w:lang w:eastAsia="zh-CN" w:bidi="hi-IN"/>
        </w:rPr>
      </w:pPr>
      <w:r w:rsidRPr="007E27E5">
        <w:rPr>
          <w:rFonts w:eastAsia="Times New Roman" w:cs="Calibri"/>
          <w:color w:val="000000"/>
          <w:sz w:val="12"/>
          <w:szCs w:val="12"/>
          <w:lang w:eastAsia="zh-CN" w:bidi="hi-IN"/>
        </w:rPr>
        <w:t>Use the article the when the noun refers to something or someone that is unique.</w:t>
      </w:r>
    </w:p>
    <w:p w14:paraId="21FE6C58" w14:textId="77777777" w:rsidR="007E27E5" w:rsidRPr="007E27E5" w:rsidRDefault="007E27E5" w:rsidP="007E27E5">
      <w:pPr>
        <w:spacing w:line="240" w:lineRule="auto"/>
        <w:ind w:left="1440"/>
        <w:rPr>
          <w:rFonts w:ascii="Times New Roman" w:eastAsia="Times New Roman" w:hAnsi="Times New Roman" w:cs="Times New Roman"/>
          <w:color w:val="000000"/>
          <w:sz w:val="24"/>
          <w:lang w:eastAsia="zh-CN" w:bidi="hi-IN"/>
        </w:rPr>
      </w:pPr>
      <w:r w:rsidRPr="007E27E5">
        <w:rPr>
          <w:rFonts w:eastAsia="Times New Roman" w:cs="Calibri"/>
          <w:color w:val="000000"/>
          <w:sz w:val="12"/>
          <w:szCs w:val="12"/>
          <w:lang w:eastAsia="zh-CN" w:bidi="hi-IN"/>
        </w:rPr>
        <w:t>the theory of relativity</w:t>
      </w:r>
      <w:r w:rsidRPr="007E27E5">
        <w:rPr>
          <w:rFonts w:eastAsia="Times New Roman" w:cs="Calibri"/>
          <w:color w:val="000000"/>
          <w:sz w:val="12"/>
          <w:szCs w:val="12"/>
          <w:lang w:eastAsia="zh-CN" w:bidi="hi-IN"/>
        </w:rPr>
        <w:br/>
        <w:t>the 2003 federal budget</w:t>
      </w:r>
    </w:p>
    <w:p w14:paraId="388F2849" w14:textId="77777777" w:rsidR="007E27E5" w:rsidRPr="007E27E5" w:rsidRDefault="007E27E5" w:rsidP="007E27E5">
      <w:pPr>
        <w:spacing w:line="240" w:lineRule="auto"/>
        <w:rPr>
          <w:rFonts w:ascii="Times New Roman" w:eastAsia="Times New Roman" w:hAnsi="Times New Roman" w:cs="Times New Roman"/>
          <w:color w:val="000000"/>
          <w:sz w:val="24"/>
          <w:lang w:eastAsia="zh-CN" w:bidi="hi-IN"/>
        </w:rPr>
      </w:pPr>
      <w:r w:rsidRPr="007E27E5">
        <w:rPr>
          <w:rFonts w:eastAsia="Times New Roman" w:cs="Calibri"/>
          <w:color w:val="000000"/>
          <w:szCs w:val="22"/>
          <w:u w:val="single"/>
          <w:lang w:eastAsia="zh-CN" w:bidi="hi-IN"/>
        </w:rPr>
        <w:t>Rule #3 - All things or things in general: </w:t>
      </w:r>
      <w:r w:rsidRPr="007E27E5">
        <w:rPr>
          <w:rFonts w:eastAsia="Times New Roman" w:cs="Calibri"/>
          <w:color w:val="000000"/>
          <w:szCs w:val="22"/>
          <w:u w:val="single"/>
          <w:shd w:val="clear" w:color="auto" w:fill="00FFFF"/>
          <w:lang w:eastAsia="zh-CN" w:bidi="hi-IN"/>
        </w:rPr>
        <w:t>Use no article</w:t>
      </w:r>
      <w:r w:rsidRPr="007E27E5">
        <w:rPr>
          <w:rFonts w:eastAsia="Times New Roman" w:cs="Calibri"/>
          <w:color w:val="000000"/>
          <w:szCs w:val="22"/>
          <w:u w:val="single"/>
          <w:lang w:eastAsia="zh-CN" w:bidi="hi-IN"/>
        </w:rPr>
        <w:t xml:space="preserve"> with plural count nouns or any noncount nouns used </w:t>
      </w:r>
      <w:r w:rsidRPr="007E27E5">
        <w:rPr>
          <w:rFonts w:eastAsia="Times New Roman" w:cs="Calibri"/>
          <w:color w:val="000000"/>
          <w:szCs w:val="22"/>
          <w:u w:val="single"/>
          <w:shd w:val="clear" w:color="auto" w:fill="00FFFF"/>
          <w:lang w:eastAsia="zh-CN" w:bidi="hi-IN"/>
        </w:rPr>
        <w:t>to mean all or in general.</w:t>
      </w:r>
    </w:p>
    <w:p w14:paraId="67095AD3" w14:textId="77777777" w:rsidR="007E27E5" w:rsidRPr="007E27E5" w:rsidRDefault="007E27E5" w:rsidP="007E27E5">
      <w:pPr>
        <w:spacing w:after="0" w:line="240" w:lineRule="auto"/>
        <w:rPr>
          <w:rFonts w:ascii="Times New Roman" w:eastAsia="Times New Roman" w:hAnsi="Times New Roman" w:cs="Times New Roman"/>
          <w:sz w:val="24"/>
          <w:lang w:eastAsia="zh-CN" w:bidi="hi-IN"/>
        </w:rPr>
      </w:pPr>
      <w:r w:rsidRPr="007E27E5">
        <w:rPr>
          <w:rFonts w:eastAsia="Times New Roman" w:cs="Calibri"/>
          <w:color w:val="000000"/>
          <w:szCs w:val="22"/>
          <w:u w:val="single"/>
          <w:lang w:eastAsia="zh-CN" w:bidi="hi-IN"/>
        </w:rPr>
        <w:t>Trees are beautiful in the fall</w:t>
      </w:r>
      <w:r w:rsidRPr="007E27E5">
        <w:rPr>
          <w:rFonts w:eastAsia="Times New Roman" w:cs="Calibri"/>
          <w:color w:val="000000"/>
          <w:szCs w:val="22"/>
          <w:lang w:eastAsia="zh-CN" w:bidi="hi-IN"/>
        </w:rPr>
        <w:t>. (All trees are beautiful in the fall.)</w:t>
      </w:r>
      <w:r w:rsidRPr="007E27E5">
        <w:rPr>
          <w:rFonts w:eastAsia="Times New Roman" w:cs="Calibri"/>
          <w:color w:val="000000"/>
          <w:szCs w:val="22"/>
          <w:lang w:eastAsia="zh-CN" w:bidi="hi-IN"/>
        </w:rPr>
        <w:br/>
        <w:t>He was asking for advice. (He was asking for advice in general.)</w:t>
      </w:r>
      <w:r w:rsidRPr="007E27E5">
        <w:rPr>
          <w:rFonts w:eastAsia="Times New Roman" w:cs="Calibri"/>
          <w:color w:val="000000"/>
          <w:szCs w:val="22"/>
          <w:lang w:eastAsia="zh-CN" w:bidi="hi-IN"/>
        </w:rPr>
        <w:br/>
        <w:t>I do not like coffee. (I do not like all coffee in general.) </w:t>
      </w:r>
    </w:p>
    <w:p w14:paraId="6CEE367A" w14:textId="77777777" w:rsidR="00E42E4C" w:rsidRDefault="00E42E4C" w:rsidP="00F601E6"/>
    <w:p w14:paraId="09ACE0C2" w14:textId="6B4CCB46" w:rsidR="007E27E5" w:rsidRDefault="007E27E5" w:rsidP="007E27E5">
      <w:pPr>
        <w:pStyle w:val="Heading4"/>
      </w:pPr>
      <w:r>
        <w:t>Standard</w:t>
      </w:r>
    </w:p>
    <w:p w14:paraId="48B5DDEE" w14:textId="04AAEE58" w:rsidR="007E27E5" w:rsidRDefault="007E27E5" w:rsidP="007E27E5">
      <w:pPr>
        <w:pStyle w:val="Heading4"/>
      </w:pPr>
      <w:r>
        <w:t>Depth</w:t>
      </w:r>
    </w:p>
    <w:p w14:paraId="46FBC87E" w14:textId="44B5A04C" w:rsidR="007E27E5" w:rsidRDefault="007E27E5" w:rsidP="007E27E5">
      <w:pPr>
        <w:pStyle w:val="Heading4"/>
      </w:pPr>
      <w:r>
        <w:t>Education</w:t>
      </w:r>
    </w:p>
    <w:p w14:paraId="3A67117B" w14:textId="63928DA5" w:rsidR="007E27E5" w:rsidRDefault="007E27E5" w:rsidP="007E27E5">
      <w:pPr>
        <w:pStyle w:val="Heading4"/>
      </w:pPr>
      <w:r>
        <w:t>Rvi cuz rtime skew</w:t>
      </w:r>
    </w:p>
    <w:p w14:paraId="0850EA61" w14:textId="233C533F" w:rsidR="007E27E5" w:rsidRDefault="007E27E5" w:rsidP="007E27E5"/>
    <w:p w14:paraId="5C5260B7" w14:textId="364F91BC" w:rsidR="007E27E5" w:rsidRDefault="007E27E5" w:rsidP="007E27E5">
      <w:pPr>
        <w:pStyle w:val="Heading2"/>
      </w:pPr>
      <w:r>
        <w:t>New off</w:t>
      </w:r>
    </w:p>
    <w:p w14:paraId="207FD39A" w14:textId="77777777" w:rsidR="007E27E5" w:rsidRDefault="007E27E5" w:rsidP="007E27E5">
      <w:pPr>
        <w:pStyle w:val="Heading4"/>
        <w:rPr>
          <w:lang w:eastAsia="zh-CN" w:bidi="hi-IN"/>
        </w:rPr>
      </w:pPr>
    </w:p>
    <w:p w14:paraId="62E56C65" w14:textId="0D04F297" w:rsidR="007E27E5" w:rsidRDefault="007E27E5" w:rsidP="007E27E5">
      <w:pPr>
        <w:pStyle w:val="Heading4"/>
        <w:rPr>
          <w:lang w:eastAsia="zh-CN" w:bidi="hi-IN"/>
        </w:rPr>
      </w:pPr>
      <w:r>
        <w:rPr>
          <w:lang w:eastAsia="zh-CN" w:bidi="hi-IN"/>
        </w:rPr>
        <w:t xml:space="preserve">Interp: neg may not read a </w:t>
      </w:r>
      <w:r>
        <w:rPr>
          <w:lang w:eastAsia="zh-CN" w:bidi="hi-IN"/>
        </w:rPr>
        <w:t>consult</w:t>
      </w:r>
      <w:r>
        <w:rPr>
          <w:lang w:eastAsia="zh-CN" w:bidi="hi-IN"/>
        </w:rPr>
        <w:t xml:space="preserve"> cp </w:t>
      </w:r>
      <w:r>
        <w:rPr>
          <w:lang w:eastAsia="zh-CN" w:bidi="hi-IN"/>
        </w:rPr>
        <w:t xml:space="preserve">especially </w:t>
      </w:r>
      <w:r>
        <w:rPr>
          <w:lang w:eastAsia="zh-CN" w:bidi="hi-IN"/>
        </w:rPr>
        <w:t>without solvency advocate</w:t>
      </w:r>
      <w:r>
        <w:rPr>
          <w:lang w:eastAsia="zh-CN" w:bidi="hi-IN"/>
        </w:rPr>
        <w:t xml:space="preserve"> specific to the affirmitive plan</w:t>
      </w:r>
    </w:p>
    <w:p w14:paraId="167C5A67" w14:textId="77777777" w:rsidR="007E27E5" w:rsidRDefault="007E27E5" w:rsidP="007E27E5">
      <w:pPr>
        <w:pStyle w:val="Heading4"/>
        <w:rPr>
          <w:lang w:eastAsia="zh-CN" w:bidi="hi-IN"/>
        </w:rPr>
      </w:pPr>
      <w:r>
        <w:rPr>
          <w:lang w:eastAsia="zh-CN" w:bidi="hi-IN"/>
        </w:rPr>
        <w:t>Violation: they do</w:t>
      </w:r>
    </w:p>
    <w:p w14:paraId="3BA4D0A0" w14:textId="77777777" w:rsidR="007E27E5" w:rsidRDefault="007E27E5" w:rsidP="007E27E5">
      <w:pPr>
        <w:pStyle w:val="Heading4"/>
        <w:rPr>
          <w:lang w:eastAsia="zh-CN" w:bidi="hi-IN"/>
        </w:rPr>
      </w:pPr>
      <w:r>
        <w:rPr>
          <w:lang w:eastAsia="zh-CN" w:bidi="hi-IN"/>
        </w:rPr>
        <w:t>Standards:</w:t>
      </w:r>
    </w:p>
    <w:p w14:paraId="3CE44E3C" w14:textId="77777777" w:rsidR="007E27E5" w:rsidRDefault="007E27E5" w:rsidP="007E27E5">
      <w:pPr>
        <w:pStyle w:val="Heading4"/>
        <w:rPr>
          <w:lang w:eastAsia="zh-CN" w:bidi="hi-IN"/>
        </w:rPr>
      </w:pPr>
      <w:r>
        <w:rPr>
          <w:lang w:eastAsia="zh-CN" w:bidi="hi-IN"/>
        </w:rPr>
        <w:t>1} Limits</w:t>
      </w:r>
    </w:p>
    <w:p w14:paraId="1D9A31E9" w14:textId="77777777" w:rsidR="007E27E5" w:rsidRPr="004A3F9C" w:rsidRDefault="007E27E5" w:rsidP="007E27E5">
      <w:pPr>
        <w:pStyle w:val="Heading4"/>
        <w:rPr>
          <w:lang w:eastAsia="zh-CN" w:bidi="hi-IN"/>
        </w:rPr>
      </w:pPr>
      <w:r>
        <w:rPr>
          <w:lang w:eastAsia="zh-CN" w:bidi="hi-IN"/>
        </w:rPr>
        <w:t>2} clash</w:t>
      </w:r>
    </w:p>
    <w:p w14:paraId="3F797084" w14:textId="223B2847" w:rsidR="007E27E5" w:rsidRDefault="007E27E5" w:rsidP="007E27E5">
      <w:pPr>
        <w:rPr>
          <w:lang w:eastAsia="zh-CN" w:bidi="hi-IN"/>
        </w:rPr>
      </w:pPr>
      <w:r>
        <w:rPr>
          <w:lang w:eastAsia="zh-CN" w:bidi="hi-IN"/>
        </w:rPr>
        <w:t>DTD</w:t>
      </w:r>
      <w:r>
        <w:rPr>
          <w:lang w:eastAsia="zh-CN" w:bidi="hi-IN"/>
        </w:rPr>
        <w:t xml:space="preserve"> </w:t>
      </w:r>
    </w:p>
    <w:p w14:paraId="30DE4CA0" w14:textId="5DCD5D84" w:rsidR="007E27E5" w:rsidRDefault="007E27E5" w:rsidP="007E27E5">
      <w:pPr>
        <w:rPr>
          <w:lang w:eastAsia="zh-CN" w:bidi="hi-IN"/>
        </w:rPr>
      </w:pPr>
      <w:r>
        <w:rPr>
          <w:lang w:eastAsia="zh-CN" w:bidi="hi-IN"/>
        </w:rPr>
        <w:t>No rvi</w:t>
      </w:r>
      <w:r>
        <w:rPr>
          <w:lang w:eastAsia="zh-CN" w:bidi="hi-IN"/>
        </w:rPr>
        <w:t xml:space="preserve"> cuz time </w:t>
      </w:r>
    </w:p>
    <w:p w14:paraId="5B2E5357" w14:textId="77777777" w:rsidR="007E27E5" w:rsidRDefault="007E27E5" w:rsidP="007E27E5">
      <w:pPr>
        <w:rPr>
          <w:lang w:eastAsia="zh-CN" w:bidi="hi-IN"/>
        </w:rPr>
      </w:pPr>
    </w:p>
    <w:p w14:paraId="1B4019CF" w14:textId="77777777" w:rsidR="007E27E5" w:rsidRDefault="007E27E5" w:rsidP="007E27E5">
      <w:pPr>
        <w:rPr>
          <w:lang w:eastAsia="zh-CN" w:bidi="hi-IN"/>
        </w:rPr>
      </w:pPr>
    </w:p>
    <w:p w14:paraId="2596AD37" w14:textId="77777777" w:rsidR="007E27E5" w:rsidRPr="007E27E5" w:rsidRDefault="007E27E5" w:rsidP="007E27E5"/>
    <w:p w14:paraId="18562D89" w14:textId="5D64CDE6" w:rsidR="007E27E5" w:rsidRDefault="007E27E5" w:rsidP="007E27E5">
      <w:pPr>
        <w:pStyle w:val="Heading1"/>
      </w:pPr>
      <w:r>
        <w:t>Kant stuff</w:t>
      </w:r>
    </w:p>
    <w:p w14:paraId="2565125E" w14:textId="77777777" w:rsidR="007E27E5" w:rsidRPr="001C47B3" w:rsidRDefault="007E27E5" w:rsidP="007E27E5">
      <w:pPr>
        <w:pStyle w:val="Heading4"/>
      </w:pPr>
      <w:r>
        <w:t xml:space="preserve">Kantian ethics </w:t>
      </w:r>
      <w:r w:rsidRPr="001C47B3">
        <w:t xml:space="preserve"> can’t ground normativity.  </w:t>
      </w:r>
    </w:p>
    <w:p w14:paraId="317E5E91" w14:textId="77777777" w:rsidR="007E27E5" w:rsidRPr="001C47B3" w:rsidRDefault="007E27E5" w:rsidP="007E27E5">
      <w:pPr>
        <w:rPr>
          <w:sz w:val="16"/>
        </w:rPr>
      </w:pPr>
      <w:r w:rsidRPr="001C47B3">
        <w:rPr>
          <w:rStyle w:val="Style13ptBold"/>
        </w:rPr>
        <w:t>Enoch ’11:</w:t>
      </w:r>
      <w:r w:rsidRPr="001C47B3">
        <w:rPr>
          <w:sz w:val="16"/>
        </w:rPr>
        <w:t xml:space="preserve"> (David Enoch. “Shmagency Revisited.” Hebrew University of Jerusalem. In Michael Brady (ed.), New Waves in Metaethics. Palgrave Macmillan//FT)</w:t>
      </w:r>
    </w:p>
    <w:p w14:paraId="57FE9FEA" w14:textId="77777777" w:rsidR="007E27E5" w:rsidRPr="001C47B3" w:rsidRDefault="007E27E5" w:rsidP="007E27E5">
      <w:pPr>
        <w:rPr>
          <w:rStyle w:val="StyleUnderline"/>
        </w:rPr>
      </w:pPr>
      <w:r w:rsidRPr="001C47B3">
        <w:rPr>
          <w:sz w:val="14"/>
        </w:rPr>
        <w:t xml:space="preserve">If it can be defended, then, constitutivism promises to yield significant payoffs . But </w:t>
      </w:r>
      <w:r w:rsidRPr="001C47B3">
        <w:rPr>
          <w:rStyle w:val="StyleUnderline"/>
        </w:rPr>
        <w:t xml:space="preserve">constitutivism seems to be subject to a powerful objection. For </w:t>
      </w:r>
      <w:r w:rsidRPr="005E3180">
        <w:rPr>
          <w:rStyle w:val="StyleUnderline"/>
          <w:highlight w:val="cyan"/>
        </w:rPr>
        <w:t>agents need not care about their qualifications as agents</w:t>
      </w:r>
      <w:r w:rsidRPr="001C47B3">
        <w:rPr>
          <w:rStyle w:val="StyleUnderline"/>
        </w:rPr>
        <w:t xml:space="preserve">, or whether some of their bodily movements count as actions. </w:t>
      </w:r>
      <w:r w:rsidRPr="005E3180">
        <w:rPr>
          <w:rStyle w:val="StyleUnderline"/>
          <w:highlight w:val="cyan"/>
        </w:rPr>
        <w:t>They can</w:t>
      </w:r>
      <w:r w:rsidRPr="001C47B3">
        <w:rPr>
          <w:rStyle w:val="StyleUnderline"/>
        </w:rPr>
        <w:t xml:space="preserve">, it seems, </w:t>
      </w:r>
      <w:r w:rsidRPr="005E3180">
        <w:rPr>
          <w:rStyle w:val="StyleUnderline"/>
          <w:highlight w:val="cyan"/>
        </w:rPr>
        <w:t>be</w:t>
      </w:r>
      <w:r w:rsidRPr="001C47B3">
        <w:rPr>
          <w:rStyle w:val="StyleUnderline"/>
        </w:rPr>
        <w:t xml:space="preserve"> perfectly happy being </w:t>
      </w:r>
      <w:r w:rsidRPr="005E3180">
        <w:rPr>
          <w:rStyle w:val="StyleUnderline"/>
          <w:highlight w:val="cyan"/>
        </w:rPr>
        <w:t xml:space="preserve">shmagents </w:t>
      </w:r>
      <w:r w:rsidRPr="001C47B3">
        <w:rPr>
          <w:rStyle w:val="StyleUnderline"/>
        </w:rPr>
        <w:t>– non-agent things that lack the thing purportedly constitutive of agency, but that are as similar to agents as is otherwise possible – or perhaps being something else altogether.</w:t>
      </w:r>
      <w:r w:rsidRPr="001C47B3">
        <w:rPr>
          <w:sz w:val="14"/>
        </w:rPr>
        <w:t xml:space="preserve"> If so, constitutivism cannot make good on its promises: For when Korsgaard replies to the agent who asks, say, "Why should I care about the hypothetical and categorical imperatives?" with "Well, otherwise you wouldn't even count as an agent, you wouldn't even be in the game of performing actions.", </w:t>
      </w:r>
      <w:r w:rsidRPr="005E3180">
        <w:rPr>
          <w:rStyle w:val="StyleUnderline"/>
          <w:highlight w:val="cyan"/>
        </w:rPr>
        <w:t>the skeptic can</w:t>
      </w:r>
      <w:r w:rsidRPr="001C47B3">
        <w:rPr>
          <w:rStyle w:val="StyleUnderline"/>
        </w:rPr>
        <w:t xml:space="preserve"> discard this </w:t>
      </w:r>
      <w:r w:rsidRPr="005E3180">
        <w:rPr>
          <w:rStyle w:val="StyleUnderline"/>
          <w:highlight w:val="cyan"/>
        </w:rPr>
        <w:t>reply</w:t>
      </w:r>
      <w:r w:rsidRPr="001C47B3">
        <w:rPr>
          <w:rStyle w:val="StyleUnderline"/>
        </w:rPr>
        <w:t xml:space="preserve"> with a simple </w:t>
      </w:r>
      <w:r w:rsidRPr="005E3180">
        <w:rPr>
          <w:rStyle w:val="StyleUnderline"/>
          <w:highlight w:val="cyan"/>
        </w:rPr>
        <w:t>"So-what?".</w:t>
      </w:r>
      <w:r w:rsidRPr="001C47B3">
        <w:rPr>
          <w:rStyle w:val="StyleUnderline"/>
        </w:rPr>
        <w:t xml:space="preserve"> What is it to her, as it were, if she qualifies as an agent or not? </w:t>
      </w:r>
      <w:r w:rsidRPr="005E3180">
        <w:rPr>
          <w:rStyle w:val="StyleUnderline"/>
          <w:highlight w:val="cyan"/>
        </w:rPr>
        <w:t>She would be analogous not to the chess-player</w:t>
      </w:r>
      <w:r w:rsidRPr="001C47B3">
        <w:rPr>
          <w:rStyle w:val="StyleUnderline"/>
        </w:rPr>
        <w:t xml:space="preserve"> who asks why she should play according to the rules, </w:t>
      </w:r>
      <w:r w:rsidRPr="005E3180">
        <w:rPr>
          <w:rStyle w:val="StyleUnderline"/>
          <w:highlight w:val="cyan"/>
        </w:rPr>
        <w:t>but to someone who enjoys the aesthetic qualities of</w:t>
      </w:r>
      <w:r w:rsidRPr="001C47B3">
        <w:rPr>
          <w:sz w:val="14"/>
        </w:rPr>
        <w:t xml:space="preserve"> (what we call) </w:t>
      </w:r>
      <w:r w:rsidRPr="001C47B3">
        <w:rPr>
          <w:rStyle w:val="StyleUnderline"/>
        </w:rPr>
        <w:t xml:space="preserve">the </w:t>
      </w:r>
      <w:r w:rsidRPr="005E3180">
        <w:rPr>
          <w:rStyle w:val="StyleUnderline"/>
          <w:highlight w:val="cyan"/>
        </w:rPr>
        <w:t xml:space="preserve">chess </w:t>
      </w:r>
      <w:r w:rsidRPr="001C47B3">
        <w:rPr>
          <w:rStyle w:val="StyleUnderline"/>
        </w:rPr>
        <w:t>board and pieces.</w:t>
      </w:r>
      <w:r w:rsidRPr="001C47B3">
        <w:rPr>
          <w:sz w:val="14"/>
        </w:rPr>
        <w:t xml:space="preserve"> If we tell this person that he must not move his king to a certain position because it's against the rules, and if he breaks them he won't count as playing chess, he can shrug us off with a simple "So-what?". </w:t>
      </w:r>
      <w:r w:rsidRPr="001C47B3">
        <w:rPr>
          <w:rStyle w:val="StyleUnderline"/>
        </w:rPr>
        <w:t xml:space="preserve">He doesn’t care whether his manipulation of the chess pieces qualifies as chess-playing. And at this point the </w:t>
      </w:r>
      <w:r w:rsidRPr="005E3180">
        <w:rPr>
          <w:rStyle w:val="StyleUnderline"/>
          <w:highlight w:val="cyan"/>
        </w:rPr>
        <w:t>objectivity</w:t>
      </w:r>
      <w:r w:rsidRPr="001C47B3">
        <w:rPr>
          <w:rStyle w:val="StyleUnderline"/>
        </w:rPr>
        <w:t xml:space="preserve"> Velleman hopes for also </w:t>
      </w:r>
      <w:r w:rsidRPr="005E3180">
        <w:rPr>
          <w:rStyle w:val="StyleUnderline"/>
          <w:highlight w:val="cyan"/>
        </w:rPr>
        <w:t>collapses</w:t>
      </w:r>
      <w:r w:rsidRPr="001C47B3">
        <w:rPr>
          <w:rStyle w:val="StyleUnderline"/>
        </w:rPr>
        <w:t xml:space="preserve">, because the practical reasons whose objectivity Velleman wants to secure will not reach the person who is happy being a shamgent-rather-than-an-agent, or perhaps something else entirely. The general point here is that </w:t>
      </w:r>
      <w:r w:rsidRPr="005E3180">
        <w:rPr>
          <w:rStyle w:val="StyleUnderline"/>
          <w:highlight w:val="cyan"/>
        </w:rPr>
        <w:t>the status of being constitutive of agency does not suffice for a normatively non-arbitrary status. O</w:t>
      </w:r>
      <w:r w:rsidRPr="001C47B3">
        <w:rPr>
          <w:rStyle w:val="StyleUnderline"/>
        </w:rPr>
        <w:t xml:space="preserve">f course, if there were </w:t>
      </w:r>
      <w:r w:rsidRPr="005E3180">
        <w:rPr>
          <w:rStyle w:val="StyleUnderline"/>
          <w:highlight w:val="cyan"/>
        </w:rPr>
        <w:t>some independent reason to be an agent</w:t>
      </w:r>
      <w:r w:rsidRPr="001C47B3">
        <w:rPr>
          <w:sz w:val="14"/>
        </w:rPr>
        <w:t xml:space="preserve"> (for instance, rather than a shmagent), or to perform actions, </w:t>
      </w:r>
      <w:r w:rsidRPr="001C47B3">
        <w:rPr>
          <w:rStyle w:val="StyleUnderline"/>
        </w:rPr>
        <w:t>this objection would go away. But</w:t>
      </w:r>
      <w:r w:rsidRPr="001C47B3">
        <w:rPr>
          <w:sz w:val="14"/>
        </w:rPr>
        <w:t xml:space="preserve"> the price would be too high, </w:t>
      </w:r>
      <w:r w:rsidRPr="001C47B3">
        <w:rPr>
          <w:rStyle w:val="StyleUnderline"/>
        </w:rPr>
        <w:t xml:space="preserve">for such an independent reason – one not accounted for by the constitutivist story, but rather presupposed by it – </w:t>
      </w:r>
      <w:r w:rsidRPr="005E3180">
        <w:rPr>
          <w:rStyle w:val="StyleUnderline"/>
          <w:highlight w:val="cyan"/>
        </w:rPr>
        <w:t>would make it impossible for constitutivism to be</w:t>
      </w:r>
      <w:r w:rsidRPr="001C47B3">
        <w:rPr>
          <w:rStyle w:val="StyleUnderline"/>
        </w:rPr>
        <w:t xml:space="preserve"> the whole, or </w:t>
      </w:r>
      <w:r w:rsidRPr="005E3180">
        <w:rPr>
          <w:rStyle w:val="StyleUnderline"/>
          <w:highlight w:val="cyan"/>
        </w:rPr>
        <w:t>the most foundational, account of normativity</w:t>
      </w:r>
      <w:r w:rsidRPr="001C47B3">
        <w:rPr>
          <w:rStyle w:val="StyleUnderline"/>
        </w:rPr>
        <w:t>, or to deliver on its promised payoffs.</w:t>
      </w:r>
    </w:p>
    <w:p w14:paraId="5E49B989" w14:textId="77777777" w:rsidR="007E27E5" w:rsidRDefault="007E27E5" w:rsidP="007E27E5">
      <w:pPr>
        <w:pStyle w:val="Heading4"/>
      </w:pPr>
      <w:r w:rsidRPr="001C47B3">
        <w:t>Double bind – if agency is inescapable and constitutes a minimal threshold for being an agent, that can’t be normative, since you’ll never fail to meet its standards. Yet if agency is escapable and constitutes a higher standard for moral action, it can’t bind action, since you can avoid being an agent and thus avoid moral responsibility.</w:t>
      </w:r>
    </w:p>
    <w:p w14:paraId="35C6C44A" w14:textId="7F3BE3F1" w:rsidR="007E27E5" w:rsidRDefault="007E27E5" w:rsidP="007E27E5"/>
    <w:p w14:paraId="37A48A44" w14:textId="77777777" w:rsidR="007E27E5" w:rsidRPr="007E27E5" w:rsidRDefault="007E27E5" w:rsidP="007E27E5"/>
    <w:p w14:paraId="542C92C5" w14:textId="4D076BCD" w:rsidR="007E27E5" w:rsidRDefault="007E27E5" w:rsidP="007E27E5"/>
    <w:p w14:paraId="30BF8851" w14:textId="2797BF54" w:rsidR="007E27E5" w:rsidRDefault="007E27E5" w:rsidP="007E27E5">
      <w:pPr>
        <w:pStyle w:val="Heading4"/>
      </w:pPr>
      <w:r>
        <w:t>And kant affirms -</w:t>
      </w:r>
    </w:p>
    <w:p w14:paraId="102D790C" w14:textId="77777777" w:rsidR="007E27E5" w:rsidRDefault="007E27E5" w:rsidP="007E27E5">
      <w:pPr>
        <w:pStyle w:val="Heading4"/>
        <w:rPr>
          <w:rFonts w:eastAsia="Calibri" w:cs="Calibri"/>
          <w:b w:val="0"/>
          <w:color w:val="000000"/>
        </w:rPr>
      </w:pPr>
      <w:r>
        <w:rPr>
          <w:rFonts w:eastAsia="Calibri" w:cs="Calibri"/>
          <w:color w:val="000000"/>
        </w:rPr>
        <w:t>The right to strike is consistent with negative rights – otherwise it requires direct government intervention to break the negotiation process</w:t>
      </w:r>
    </w:p>
    <w:p w14:paraId="3B898B3D" w14:textId="77777777" w:rsidR="007E27E5" w:rsidRDefault="007E27E5" w:rsidP="007E27E5">
      <w:pPr>
        <w:pStyle w:val="Heading4"/>
        <w:rPr>
          <w:rFonts w:eastAsia="Calibri" w:cs="Calibri"/>
          <w:b w:val="0"/>
          <w:color w:val="000000"/>
        </w:rPr>
      </w:pPr>
      <w:r>
        <w:rPr>
          <w:rFonts w:eastAsia="Calibri" w:cs="Calibri"/>
          <w:color w:val="000000"/>
        </w:rPr>
        <w:t xml:space="preserve">Sheppard ’96: </w:t>
      </w:r>
    </w:p>
    <w:p w14:paraId="26AF80BF" w14:textId="77777777" w:rsidR="007E27E5" w:rsidRDefault="007E27E5" w:rsidP="007E27E5">
      <w:pPr>
        <w:rPr>
          <w:rFonts w:eastAsia="Calibri" w:cs="Calibri"/>
        </w:rPr>
      </w:pPr>
      <w:r>
        <w:rPr>
          <w:rFonts w:eastAsia="Calibri" w:cs="Calibri"/>
        </w:rPr>
        <w:t>Terry Sheppard, "Liberalism and the Charter: Freedom of Association and the Right to Strike" (1996) 5 Dal J Leg Stud 117. yoaky</w:t>
      </w:r>
    </w:p>
    <w:p w14:paraId="35EAF435" w14:textId="77777777" w:rsidR="007E27E5" w:rsidRDefault="007E27E5" w:rsidP="007E27E5">
      <w:pPr>
        <w:rPr>
          <w:rFonts w:eastAsia="Calibri" w:cs="Calibri"/>
          <w:sz w:val="16"/>
          <w:szCs w:val="16"/>
        </w:rPr>
      </w:pPr>
      <w:r>
        <w:rPr>
          <w:rFonts w:eastAsia="Calibri" w:cs="Calibri"/>
          <w:sz w:val="16"/>
          <w:szCs w:val="16"/>
        </w:rPr>
        <w:t xml:space="preserve">The simplest way to differentiate these two concepts of rights and freedoms, which are often taken as synonymous, is to say that a right is a right to something while </w:t>
      </w:r>
      <w:r>
        <w:rPr>
          <w:rFonts w:eastAsia="Calibri" w:cs="Calibri"/>
          <w:u w:val="single"/>
        </w:rPr>
        <w:t>a freedom</w:t>
      </w:r>
      <w:r>
        <w:rPr>
          <w:rFonts w:eastAsia="Calibri" w:cs="Calibri"/>
          <w:sz w:val="16"/>
          <w:szCs w:val="16"/>
        </w:rPr>
        <w:t xml:space="preserve"> </w:t>
      </w:r>
      <w:r>
        <w:rPr>
          <w:rFonts w:eastAsia="Calibri" w:cs="Calibri"/>
          <w:u w:val="single"/>
        </w:rPr>
        <w:t>is a freedom from</w:t>
      </w:r>
      <w:r>
        <w:rPr>
          <w:rFonts w:eastAsia="Calibri" w:cs="Calibri"/>
          <w:sz w:val="16"/>
          <w:szCs w:val="16"/>
        </w:rPr>
        <w:t xml:space="preserve"> something, usually government i</w:t>
      </w:r>
      <w:r>
        <w:rPr>
          <w:rFonts w:eastAsia="Calibri" w:cs="Calibri"/>
          <w:u w:val="single"/>
        </w:rPr>
        <w:t>nterference</w:t>
      </w:r>
      <w:r>
        <w:rPr>
          <w:rFonts w:eastAsia="Calibri" w:cs="Calibri"/>
          <w:sz w:val="16"/>
          <w:szCs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Pr>
          <w:rFonts w:eastAsia="Calibri" w:cs="Calibri"/>
          <w:highlight w:val="cyan"/>
          <w:u w:val="single"/>
        </w:rPr>
        <w:t xml:space="preserve">There is no set wage </w:t>
      </w:r>
      <w:r>
        <w:rPr>
          <w:rFonts w:eastAsia="Calibri" w:cs="Calibri"/>
          <w:u w:val="single"/>
        </w:rPr>
        <w:t>or benefits package</w:t>
      </w:r>
      <w:r>
        <w:rPr>
          <w:rFonts w:eastAsia="Calibri" w:cs="Calibri"/>
          <w:highlight w:val="cyan"/>
          <w:u w:val="single"/>
        </w:rPr>
        <w:t xml:space="preserve"> that is morally justifiable outside the turbulent give and take of the free market</w:t>
      </w:r>
      <w:r>
        <w:rPr>
          <w:rFonts w:eastAsia="Calibri" w:cs="Calibri"/>
          <w:sz w:val="16"/>
          <w:szCs w:val="16"/>
        </w:rPr>
        <w:t xml:space="preserve">. In contrast to socialists, liberals do not believe that one end result is any more just than another. </w:t>
      </w:r>
      <w:r>
        <w:rPr>
          <w:rFonts w:eastAsia="Calibri" w:cs="Calibri"/>
          <w:u w:val="single"/>
        </w:rPr>
        <w:t>As long as the rules of the game are just, the results will be just</w:t>
      </w:r>
      <w:r>
        <w:rPr>
          <w:rFonts w:eastAsia="Calibri" w:cs="Calibri"/>
          <w:sz w:val="16"/>
          <w:szCs w:val="16"/>
        </w:rPr>
        <w:t xml:space="preserve">. This is how liberals justify the often severe inequality present in a liberal society and attack socialists for wanting to change the outcome. The analogy that is often used focuses upon the rules of a game. </w:t>
      </w:r>
      <w:r>
        <w:rPr>
          <w:rFonts w:eastAsia="Calibri" w:cs="Calibri"/>
          <w:u w:val="single"/>
        </w:rPr>
        <w:t>It would make little sense to criticize the score of a hockey game even if the home team is defeated soundly. As long as all the rules apply equally to both teams, the final score is just.</w:t>
      </w:r>
      <w:r>
        <w:rPr>
          <w:rFonts w:eastAsia="Calibri" w:cs="Calibri"/>
          <w:sz w:val="16"/>
          <w:szCs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Pr>
          <w:rFonts w:eastAsia="Calibri" w:cs="Calibri"/>
          <w:highlight w:val="cyan"/>
          <w:u w:val="single"/>
        </w:rPr>
        <w:t>Liberals cannot complain that a union receives too much in labour negotiations simply because it has the bargaining power to exact a generous contract</w:t>
      </w:r>
      <w:r>
        <w:rPr>
          <w:rFonts w:eastAsia="Calibri" w:cs="Calibri"/>
          <w:u w:val="single"/>
        </w:rPr>
        <w:t>.</w:t>
      </w:r>
      <w:r>
        <w:rPr>
          <w:rFonts w:eastAsia="Calibri" w:cs="Calibri"/>
          <w:sz w:val="16"/>
          <w:szCs w:val="16"/>
        </w:rPr>
        <w:t xml:space="preserve"> Likewise, socialists cannot complain if the union failed to have its demands met. </w:t>
      </w:r>
      <w:r>
        <w:rPr>
          <w:rFonts w:eastAsia="Calibri" w:cs="Calibri"/>
          <w:highlight w:val="cyan"/>
          <w:u w:val="single"/>
        </w:rPr>
        <w:t xml:space="preserve">What the unions are </w:t>
      </w:r>
      <w:r>
        <w:rPr>
          <w:rFonts w:eastAsia="Calibri" w:cs="Calibri"/>
          <w:u w:val="single"/>
        </w:rPr>
        <w:t xml:space="preserve">really </w:t>
      </w:r>
      <w:r>
        <w:rPr>
          <w:rFonts w:eastAsia="Calibri" w:cs="Calibri"/>
          <w:highlight w:val="cyan"/>
          <w:u w:val="single"/>
        </w:rPr>
        <w:t xml:space="preserve">seeking is the right to enter into the labour negotiation process without the </w:t>
      </w:r>
      <w:r>
        <w:rPr>
          <w:rFonts w:eastAsia="Calibri" w:cs="Calibri"/>
          <w:u w:val="single"/>
        </w:rPr>
        <w:t xml:space="preserve">fear of </w:t>
      </w:r>
      <w:r>
        <w:rPr>
          <w:rFonts w:eastAsia="Calibri" w:cs="Calibri"/>
          <w:highlight w:val="cyan"/>
          <w:u w:val="single"/>
        </w:rPr>
        <w:t xml:space="preserve">the state's coercive powers being used against them. It is a freedom </w:t>
      </w:r>
      <w:r>
        <w:rPr>
          <w:rFonts w:eastAsia="Calibri" w:cs="Calibri"/>
          <w:u w:val="single"/>
        </w:rPr>
        <w:t xml:space="preserve">they seek, the same freedom liberals seek for all individuals-the freedom </w:t>
      </w:r>
      <w:r>
        <w:rPr>
          <w:rFonts w:eastAsia="Calibri" w:cs="Calibri"/>
          <w:highlight w:val="cyan"/>
          <w:u w:val="single"/>
        </w:rPr>
        <w:t>from government interference</w:t>
      </w:r>
      <w:r>
        <w:rPr>
          <w:rFonts w:eastAsia="Calibri" w:cs="Calibri"/>
          <w:sz w:val="16"/>
          <w:szCs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Pr>
          <w:rFonts w:eastAsia="Calibri" w:cs="Calibri"/>
          <w:u w:val="single"/>
        </w:rPr>
        <w:t>The fact that some unions did strike, and strike successfully, does not mean that unions had the legal freedom to strike.</w:t>
      </w:r>
      <w:r>
        <w:rPr>
          <w:rFonts w:eastAsia="Calibri" w:cs="Calibri"/>
          <w:sz w:val="16"/>
          <w:szCs w:val="16"/>
        </w:rPr>
        <w:t xml:space="preserve"> Even after this decision, some unions will still strike. </w:t>
      </w:r>
      <w:r>
        <w:rPr>
          <w:rFonts w:eastAsia="Calibri" w:cs="Calibri"/>
          <w:u w:val="single"/>
        </w:rPr>
        <w:t>The conclusion that the freedom to strike is not compromised because the government allows some strikes to go on is a non sequitur</w:t>
      </w:r>
      <w:r>
        <w:rPr>
          <w:rFonts w:eastAsia="Calibri" w:cs="Calibri"/>
          <w:sz w:val="16"/>
          <w:szCs w:val="16"/>
        </w:rPr>
        <w:t xml:space="preserve">. A totalitarian regime may allow certain religions to practice but ban all others. Could this regime be said to have freedom of religion? </w:t>
      </w:r>
      <w:r>
        <w:rPr>
          <w:rFonts w:eastAsia="Calibri" w:cs="Calibri"/>
          <w:highlight w:val="cyan"/>
          <w:u w:val="single"/>
        </w:rPr>
        <w:t>What the Supreme Court did in failing to recognize a constitutional freedom to strike was to allow the government to step into any labour dispute and order the union back to work, which, in effect, enervates the freedom to strike</w:t>
      </w:r>
      <w:r>
        <w:rPr>
          <w:rFonts w:eastAsia="Calibri" w:cs="Calibri"/>
          <w:sz w:val="16"/>
          <w:szCs w:val="16"/>
          <w:highlight w:val="cyan"/>
        </w:rPr>
        <w:t>.</w:t>
      </w:r>
      <w:r>
        <w:rPr>
          <w:rFonts w:eastAsia="Calibri" w:cs="Calibri"/>
          <w:sz w:val="16"/>
          <w:szCs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Pr>
          <w:rFonts w:eastAsia="Calibri" w:cs="Calibri"/>
          <w:u w:val="single"/>
        </w:rPr>
        <w:t xml:space="preserve">the </w:t>
      </w:r>
      <w:r>
        <w:rPr>
          <w:rFonts w:eastAsia="Calibri" w:cs="Calibri"/>
          <w:highlight w:val="cyan"/>
          <w:u w:val="single"/>
        </w:rPr>
        <w:t>labour negotiation process is generally to the advantage of the employer</w:t>
      </w:r>
      <w:r>
        <w:rPr>
          <w:rFonts w:eastAsia="Calibri" w:cs="Calibri"/>
          <w:sz w:val="16"/>
          <w:szCs w:val="16"/>
        </w:rPr>
        <w:t>. Obviously, some unions have more bargaining power than others. However, this power rarely exceeds that of their employer. For many reasons, u</w:t>
      </w:r>
      <w:r>
        <w:rPr>
          <w:rFonts w:eastAsia="Calibri" w:cs="Calibri"/>
          <w:u w:val="single"/>
        </w:rPr>
        <w:t>nions are reluctant to launch a strike and once they do strike, there are pressures on a union to settle quickly</w:t>
      </w:r>
      <w:r>
        <w:rPr>
          <w:rFonts w:eastAsia="Calibri" w:cs="Calibri"/>
          <w:sz w:val="16"/>
          <w:szCs w:val="16"/>
        </w:rPr>
        <w:t xml:space="preserve">. First, as Smith pointed out, the effects of a labour dispute are more immediate to the workers than to management: </w:t>
      </w:r>
      <w:r>
        <w:rPr>
          <w:rFonts w:eastAsia="Calibri" w:cs="Calibri"/>
          <w:u w:val="single"/>
        </w:rPr>
        <w:t>A landowner</w:t>
      </w:r>
      <w:r>
        <w:rPr>
          <w:rFonts w:eastAsia="Calibri" w:cs="Calibri"/>
          <w:sz w:val="16"/>
          <w:szCs w:val="16"/>
        </w:rPr>
        <w:t>, a farmer, a master manufacturer, or merchant, though they did not employ a single workman</w:t>
      </w:r>
      <w:r>
        <w:rPr>
          <w:rFonts w:eastAsia="Calibri" w:cs="Calibri"/>
          <w:u w:val="single"/>
        </w:rPr>
        <w:t>, could live a year or two upon</w:t>
      </w:r>
      <w:r>
        <w:rPr>
          <w:rFonts w:eastAsia="Calibri" w:cs="Calibri"/>
          <w:sz w:val="16"/>
          <w:szCs w:val="16"/>
        </w:rPr>
        <w:t xml:space="preserve"> the </w:t>
      </w:r>
      <w:r>
        <w:rPr>
          <w:rFonts w:eastAsia="Calibri" w:cs="Calibri"/>
          <w:u w:val="single"/>
        </w:rPr>
        <w:t>stocks</w:t>
      </w:r>
      <w:r>
        <w:rPr>
          <w:rFonts w:eastAsia="Calibri" w:cs="Calibri"/>
          <w:sz w:val="16"/>
          <w:szCs w:val="16"/>
        </w:rPr>
        <w:t xml:space="preserve"> which they have already acquired. Many </w:t>
      </w:r>
      <w:r>
        <w:rPr>
          <w:rFonts w:eastAsia="Calibri" w:cs="Calibri"/>
          <w:highlight w:val="cyan"/>
          <w:u w:val="single"/>
        </w:rPr>
        <w:t>workmen could not subsist a week</w:t>
      </w:r>
      <w:r>
        <w:rPr>
          <w:rFonts w:eastAsia="Calibri" w:cs="Calibri"/>
          <w:sz w:val="16"/>
          <w:szCs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Pr>
          <w:rFonts w:eastAsia="Calibri" w:cs="Calibri"/>
          <w:u w:val="single"/>
        </w:rPr>
        <w:t>many companies will have a reserve of their product on hand</w:t>
      </w:r>
      <w:r>
        <w:rPr>
          <w:rFonts w:eastAsia="Calibri" w:cs="Calibri"/>
          <w:sz w:val="16"/>
          <w:szCs w:val="16"/>
        </w:rPr>
        <w:t xml:space="preserve">, especially if they have anticipated labour trouble, which will see them through the initial strike period. </w:t>
      </w:r>
      <w:r>
        <w:rPr>
          <w:rFonts w:eastAsia="Calibri" w:cs="Calibri"/>
          <w:u w:val="single"/>
        </w:rPr>
        <w:t>Workers</w:t>
      </w:r>
      <w:r>
        <w:rPr>
          <w:rFonts w:eastAsia="Calibri" w:cs="Calibri"/>
          <w:sz w:val="16"/>
          <w:szCs w:val="16"/>
        </w:rPr>
        <w:t xml:space="preserve">, on the other hand, </w:t>
      </w:r>
      <w:r>
        <w:rPr>
          <w:rFonts w:eastAsia="Calibri" w:cs="Calibri"/>
          <w:u w:val="single"/>
        </w:rPr>
        <w:t>may have limited savings</w:t>
      </w:r>
      <w:r>
        <w:rPr>
          <w:rFonts w:eastAsia="Calibri" w:cs="Calibri"/>
          <w:sz w:val="16"/>
          <w:szCs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Pr>
          <w:rFonts w:eastAsia="Calibri" w:cs="Calibri"/>
          <w:u w:val="singl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Pr>
          <w:rFonts w:eastAsia="Calibri" w:cs="Calibri"/>
          <w:sz w:val="16"/>
          <w:szCs w:val="16"/>
        </w:rPr>
        <w:t xml:space="preserve"> It is difficult to maintain that the Supreme Court's decision is neutral. The government only rarely intervenes on behalf of the unions. None of Canada's major political parties have a great track record on protecting unions. </w:t>
      </w:r>
    </w:p>
    <w:p w14:paraId="11A76069" w14:textId="77777777" w:rsidR="007E27E5" w:rsidRDefault="007E27E5" w:rsidP="007E27E5">
      <w:pPr>
        <w:pStyle w:val="Heading4"/>
        <w:rPr>
          <w:rFonts w:eastAsia="Calibri" w:cs="Calibri"/>
          <w:b w:val="0"/>
          <w:color w:val="000000"/>
        </w:rPr>
      </w:pPr>
      <w:r>
        <w:rPr>
          <w:rFonts w:eastAsia="Calibri" w:cs="Calibri"/>
          <w:color w:val="000000"/>
        </w:rPr>
        <w:t>The government only has an obligation to stop violations of freedom so it has no right to intervene in this process. People have every right unless it infringes on other people’s rights.</w:t>
      </w:r>
    </w:p>
    <w:p w14:paraId="5D2A56BD" w14:textId="77777777" w:rsidR="007E27E5" w:rsidRDefault="007E27E5" w:rsidP="007E27E5">
      <w:pPr>
        <w:rPr>
          <w:rFonts w:eastAsia="Calibri" w:cs="Calibri"/>
        </w:rPr>
      </w:pPr>
    </w:p>
    <w:p w14:paraId="15343DA4" w14:textId="77777777" w:rsidR="007E27E5" w:rsidRPr="007E27E5" w:rsidRDefault="007E27E5" w:rsidP="007E27E5"/>
    <w:p w14:paraId="4BED911F" w14:textId="77777777" w:rsidR="007E27E5" w:rsidRPr="007E27E5" w:rsidRDefault="007E27E5" w:rsidP="007E27E5"/>
    <w:sectPr w:rsidR="007E27E5" w:rsidRPr="007E27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45319"/>
    <w:multiLevelType w:val="multilevel"/>
    <w:tmpl w:val="7176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0515B"/>
    <w:multiLevelType w:val="multilevel"/>
    <w:tmpl w:val="9522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441EF6"/>
    <w:multiLevelType w:val="multilevel"/>
    <w:tmpl w:val="FA04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C451E"/>
    <w:multiLevelType w:val="multilevel"/>
    <w:tmpl w:val="90B0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FB2C38"/>
    <w:multiLevelType w:val="multilevel"/>
    <w:tmpl w:val="496E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DD3249"/>
    <w:multiLevelType w:val="multilevel"/>
    <w:tmpl w:val="B330A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EB25CF"/>
    <w:multiLevelType w:val="multilevel"/>
    <w:tmpl w:val="73E8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2"/>
  </w:num>
  <w:num w:numId="15">
    <w:abstractNumId w:val="16"/>
  </w:num>
  <w:num w:numId="16">
    <w:abstractNumId w:val="13"/>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29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7E5"/>
    <w:rsid w:val="007E6631"/>
    <w:rsid w:val="00803A12"/>
    <w:rsid w:val="00805417"/>
    <w:rsid w:val="008266F9"/>
    <w:rsid w:val="008267E2"/>
    <w:rsid w:val="00826A9B"/>
    <w:rsid w:val="00834842"/>
    <w:rsid w:val="00840E7B"/>
    <w:rsid w:val="008536AF"/>
    <w:rsid w:val="00853D40"/>
    <w:rsid w:val="008564FC"/>
    <w:rsid w:val="00864E76"/>
    <w:rsid w:val="00872581"/>
    <w:rsid w:val="0087291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9F1AA9"/>
  <w14:defaultImageDpi w14:val="300"/>
  <w15:docId w15:val="{C8D20CB0-6F81-4D4E-84E0-E1FE1AE6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29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29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29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29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
    <w:basedOn w:val="Normal"/>
    <w:next w:val="Normal"/>
    <w:link w:val="Heading4Char"/>
    <w:uiPriority w:val="9"/>
    <w:unhideWhenUsed/>
    <w:qFormat/>
    <w:rsid w:val="008729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29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917"/>
  </w:style>
  <w:style w:type="character" w:customStyle="1" w:styleId="Heading1Char">
    <w:name w:val="Heading 1 Char"/>
    <w:aliases w:val="Pocket Char"/>
    <w:basedOn w:val="DefaultParagraphFont"/>
    <w:link w:val="Heading1"/>
    <w:uiPriority w:val="9"/>
    <w:rsid w:val="008729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29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291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8729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7291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72917"/>
    <w:rPr>
      <w:b w:val="0"/>
      <w:sz w:val="22"/>
      <w:u w:val="single"/>
    </w:rPr>
  </w:style>
  <w:style w:type="character" w:styleId="Emphasis">
    <w:name w:val="Emphasis"/>
    <w:basedOn w:val="DefaultParagraphFont"/>
    <w:uiPriority w:val="20"/>
    <w:qFormat/>
    <w:rsid w:val="008729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2917"/>
    <w:rPr>
      <w:color w:val="auto"/>
      <w:u w:val="none"/>
    </w:rPr>
  </w:style>
  <w:style w:type="character" w:styleId="Hyperlink">
    <w:name w:val="Hyperlink"/>
    <w:basedOn w:val="DefaultParagraphFont"/>
    <w:uiPriority w:val="99"/>
    <w:semiHidden/>
    <w:unhideWhenUsed/>
    <w:rsid w:val="00872917"/>
    <w:rPr>
      <w:color w:val="auto"/>
      <w:u w:val="none"/>
    </w:rPr>
  </w:style>
  <w:style w:type="paragraph" w:styleId="DocumentMap">
    <w:name w:val="Document Map"/>
    <w:basedOn w:val="Normal"/>
    <w:link w:val="DocumentMapChar"/>
    <w:uiPriority w:val="99"/>
    <w:semiHidden/>
    <w:unhideWhenUsed/>
    <w:rsid w:val="008729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2917"/>
    <w:rPr>
      <w:rFonts w:ascii="Lucida Grande" w:hAnsi="Lucida Grande" w:cs="Lucida Grande"/>
    </w:rPr>
  </w:style>
  <w:style w:type="paragraph" w:styleId="NormalWeb">
    <w:name w:val="Normal (Web)"/>
    <w:basedOn w:val="Normal"/>
    <w:uiPriority w:val="99"/>
    <w:semiHidden/>
    <w:unhideWhenUsed/>
    <w:rsid w:val="007E27E5"/>
    <w:pPr>
      <w:spacing w:before="100" w:beforeAutospacing="1" w:after="100" w:afterAutospacing="1" w:line="240" w:lineRule="auto"/>
    </w:pPr>
    <w:rPr>
      <w:rFonts w:ascii="Times New Roman" w:eastAsia="Times New Roman" w:hAnsi="Times New Roman" w:cs="Times New Roman"/>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818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cp:revision>
  <dcterms:created xsi:type="dcterms:W3CDTF">2021-10-30T18:45:00Z</dcterms:created>
  <dcterms:modified xsi:type="dcterms:W3CDTF">2021-10-30T18:58:00Z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