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EC353" w14:textId="3C2AF53D" w:rsidR="00820FD2" w:rsidRDefault="00457242" w:rsidP="00457242">
      <w:pPr>
        <w:pStyle w:val="Heading2"/>
      </w:pPr>
      <w:r>
        <w:t>1</w:t>
      </w:r>
    </w:p>
    <w:p w14:paraId="5FCE6481" w14:textId="77777777" w:rsidR="00457242" w:rsidRPr="00650470" w:rsidRDefault="00457242" w:rsidP="00457242">
      <w:pPr>
        <w:pStyle w:val="Heading4"/>
        <w:spacing w:before="2" w:after="2" w:line="240" w:lineRule="auto"/>
        <w:rPr>
          <w:rFonts w:cs="Times New Roman"/>
          <w:color w:val="000000" w:themeColor="text1"/>
        </w:rPr>
      </w:pPr>
      <w:r w:rsidRPr="00650470">
        <w:rPr>
          <w:rFonts w:cs="Times New Roman"/>
          <w:color w:val="000000" w:themeColor="text1"/>
        </w:rPr>
        <w:t>The standard is consistency with a Kantian system of equal and outer freedom:</w:t>
      </w:r>
    </w:p>
    <w:p w14:paraId="0BF28EEB" w14:textId="77777777" w:rsidR="00457242" w:rsidRPr="00650470" w:rsidRDefault="00457242" w:rsidP="00457242">
      <w:pPr>
        <w:pStyle w:val="Heading4"/>
        <w:spacing w:before="2" w:after="2" w:line="240" w:lineRule="auto"/>
        <w:rPr>
          <w:rFonts w:cs="Times New Roman"/>
          <w:color w:val="000000" w:themeColor="text1"/>
        </w:rPr>
      </w:pPr>
      <w:r w:rsidRPr="00650470">
        <w:rPr>
          <w:rFonts w:cs="Times New Roman"/>
          <w:color w:val="000000" w:themeColor="text1"/>
        </w:rPr>
        <w:t>Agency is constitutive and inescapable since to engage in any</w:t>
      </w:r>
      <w:r>
        <w:rPr>
          <w:rFonts w:cs="Times New Roman"/>
          <w:color w:val="000000" w:themeColor="text1"/>
        </w:rPr>
        <w:t xml:space="preserve">thing one must </w:t>
      </w:r>
      <w:r w:rsidRPr="00650470">
        <w:rPr>
          <w:rFonts w:cs="Times New Roman"/>
          <w:color w:val="000000" w:themeColor="text1"/>
        </w:rPr>
        <w:t>engage in agency. Even when agents attempt to assess whether they should participate as agents, they are closed under the operation of reflective rational assessment. Thus, agents must be able to pursue their ends independent of the choices of others or else their reasoning wouldn’t produce an action and wouldn’t be practical.</w:t>
      </w:r>
    </w:p>
    <w:p w14:paraId="73618FFB" w14:textId="77777777" w:rsidR="00457242" w:rsidRDefault="00457242" w:rsidP="00457242">
      <w:pPr>
        <w:pStyle w:val="Heading4"/>
        <w:spacing w:before="2" w:after="2" w:line="240" w:lineRule="auto"/>
        <w:rPr>
          <w:rFonts w:cs="Times New Roman"/>
          <w:color w:val="000000" w:themeColor="text1"/>
        </w:rPr>
      </w:pPr>
      <w:r w:rsidRPr="00650470">
        <w:rPr>
          <w:rFonts w:cs="Times New Roman"/>
          <w:color w:val="000000" w:themeColor="text1"/>
        </w:rPr>
        <w:t xml:space="preserve">That justifies universalizable ends </w:t>
      </w:r>
    </w:p>
    <w:p w14:paraId="00DD7C62" w14:textId="77777777" w:rsidR="00457242" w:rsidRDefault="00457242" w:rsidP="00457242">
      <w:pPr>
        <w:pStyle w:val="Heading4"/>
        <w:numPr>
          <w:ilvl w:val="0"/>
          <w:numId w:val="12"/>
        </w:numPr>
        <w:tabs>
          <w:tab w:val="num" w:pos="360"/>
        </w:tabs>
        <w:spacing w:before="2" w:after="2" w:line="240" w:lineRule="auto"/>
        <w:ind w:left="360"/>
        <w:rPr>
          <w:rFonts w:cs="Times New Roman"/>
          <w:color w:val="000000" w:themeColor="text1"/>
        </w:rPr>
      </w:pPr>
      <w:r w:rsidRPr="00650470">
        <w:rPr>
          <w:rFonts w:cs="Times New Roman"/>
          <w:color w:val="000000" w:themeColor="text1"/>
        </w:rPr>
        <w:t xml:space="preserve">absent universal ethics morality becomes arbitrary and fails to guide action, making ethics useless </w:t>
      </w:r>
    </w:p>
    <w:p w14:paraId="4BF97A2B" w14:textId="77777777" w:rsidR="00457242" w:rsidRDefault="00457242" w:rsidP="00457242">
      <w:pPr>
        <w:pStyle w:val="Heading4"/>
        <w:numPr>
          <w:ilvl w:val="0"/>
          <w:numId w:val="12"/>
        </w:numPr>
        <w:tabs>
          <w:tab w:val="num" w:pos="360"/>
        </w:tabs>
        <w:spacing w:before="2" w:after="2" w:line="240" w:lineRule="auto"/>
        <w:ind w:left="360"/>
        <w:rPr>
          <w:rFonts w:cs="Times New Roman"/>
          <w:color w:val="000000" w:themeColor="text1"/>
        </w:rPr>
      </w:pPr>
      <w:r w:rsidRPr="00650470">
        <w:rPr>
          <w:rFonts w:cs="Times New Roman"/>
          <w:color w:val="000000" w:themeColor="text1"/>
        </w:rPr>
        <w:t xml:space="preserve">a priori principles like reason apply to everyone since they are independent of human experience and </w:t>
      </w:r>
    </w:p>
    <w:p w14:paraId="3CD090CD" w14:textId="77777777" w:rsidR="00457242" w:rsidRPr="00650470" w:rsidRDefault="00457242" w:rsidP="00457242">
      <w:pPr>
        <w:pStyle w:val="Heading4"/>
        <w:numPr>
          <w:ilvl w:val="0"/>
          <w:numId w:val="12"/>
        </w:numPr>
        <w:tabs>
          <w:tab w:val="num" w:pos="360"/>
        </w:tabs>
        <w:spacing w:before="2" w:after="2" w:line="240" w:lineRule="auto"/>
        <w:ind w:left="360"/>
        <w:rPr>
          <w:rFonts w:cs="Times New Roman"/>
          <w:color w:val="000000" w:themeColor="text1"/>
        </w:rPr>
      </w:pPr>
      <w:r w:rsidRPr="00650470">
        <w:rPr>
          <w:rFonts w:cs="Times New Roman"/>
          <w:color w:val="000000" w:themeColor="text1"/>
        </w:rPr>
        <w:t xml:space="preserve">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 This also makes universalizability a side-constraint on ends-based frameworks.</w:t>
      </w:r>
    </w:p>
    <w:p w14:paraId="284FCADC" w14:textId="77777777" w:rsidR="00457242" w:rsidRPr="00650470" w:rsidRDefault="00457242" w:rsidP="00457242">
      <w:pPr>
        <w:pStyle w:val="Heading4"/>
        <w:spacing w:before="2" w:after="2" w:line="240" w:lineRule="auto"/>
        <w:rPr>
          <w:rFonts w:cs="Times New Roman"/>
          <w:color w:val="000000" w:themeColor="text1"/>
        </w:rPr>
      </w:pPr>
      <w:r w:rsidRPr="00650470">
        <w:rPr>
          <w:rFonts w:cs="Times New Roman"/>
          <w:color w:val="000000" w:themeColor="text1"/>
        </w:rPr>
        <w:t xml:space="preserve">It’s impossible to will a violation of freedom since deciding to do </w:t>
      </w:r>
      <w:proofErr w:type="gramStart"/>
      <w:r w:rsidRPr="00650470">
        <w:rPr>
          <w:rFonts w:cs="Times New Roman"/>
          <w:color w:val="000000" w:themeColor="text1"/>
        </w:rPr>
        <w:t>would will</w:t>
      </w:r>
      <w:proofErr w:type="gramEnd"/>
      <w:r w:rsidRPr="00650470">
        <w:rPr>
          <w:rFonts w:cs="Times New Roman"/>
          <w:color w:val="000000" w:themeColor="text1"/>
        </w:rPr>
        <w:t xml:space="preserve"> incompatible ends since it logically entails willing a violation of your own freedom. Constraints are necessary to retain the value of freedom which implies that one cannot hinder the freedom of others.</w:t>
      </w:r>
    </w:p>
    <w:p w14:paraId="18263137" w14:textId="77777777" w:rsidR="00457242" w:rsidRPr="00650470" w:rsidRDefault="00457242" w:rsidP="00457242">
      <w:pPr>
        <w:pStyle w:val="Heading4"/>
        <w:spacing w:line="240" w:lineRule="auto"/>
        <w:rPr>
          <w:rFonts w:cs="Times New Roman"/>
        </w:rPr>
      </w:pPr>
      <w:r w:rsidRPr="00650470">
        <w:rPr>
          <w:rFonts w:cs="Times New Roman"/>
        </w:rPr>
        <w:t>To clarify:</w:t>
      </w:r>
    </w:p>
    <w:p w14:paraId="0C3AD5EA" w14:textId="77777777" w:rsidR="00457242" w:rsidRDefault="00457242" w:rsidP="00457242">
      <w:pPr>
        <w:pStyle w:val="Heading4"/>
        <w:spacing w:line="276" w:lineRule="auto"/>
        <w:ind w:right="-43"/>
        <w:rPr>
          <w:rFonts w:cs="Times New Roman"/>
          <w:color w:val="000000" w:themeColor="text1"/>
        </w:rPr>
      </w:pPr>
      <w:r w:rsidRPr="00DB467A">
        <w:rPr>
          <w:rFonts w:cs="Times New Roman"/>
          <w:color w:val="000000" w:themeColor="text1"/>
        </w:rPr>
        <w:t xml:space="preserve">[1] The standard evaluates actions based upon their intrinsic nature, not foreseen consequences: </w:t>
      </w:r>
    </w:p>
    <w:p w14:paraId="482D17B2" w14:textId="77777777" w:rsidR="00457242" w:rsidRDefault="00457242" w:rsidP="00457242">
      <w:pPr>
        <w:pStyle w:val="Heading4"/>
        <w:spacing w:line="276" w:lineRule="auto"/>
        <w:ind w:right="-43"/>
        <w:rPr>
          <w:rFonts w:cs="Times New Roman"/>
          <w:color w:val="000000" w:themeColor="text1"/>
        </w:rPr>
      </w:pPr>
      <w:r w:rsidRPr="00DB467A">
        <w:rPr>
          <w:rFonts w:cs="Times New Roman"/>
          <w:color w:val="000000" w:themeColor="text1"/>
        </w:rPr>
        <w:t xml:space="preserve">[A] To account for all foreseen impacts would prevent action because individuals would become morally culpable for all actions and states of affairs not just those that factor into the will </w:t>
      </w:r>
    </w:p>
    <w:p w14:paraId="04F2EF85" w14:textId="77777777" w:rsidR="00457242" w:rsidRDefault="00457242" w:rsidP="00457242">
      <w:pPr>
        <w:pStyle w:val="Heading4"/>
        <w:spacing w:line="276" w:lineRule="auto"/>
        <w:ind w:right="-43"/>
        <w:rPr>
          <w:rFonts w:cs="Times New Roman"/>
          <w:color w:val="000000" w:themeColor="text1"/>
        </w:rPr>
      </w:pPr>
      <w:r w:rsidRPr="00DB467A">
        <w:rPr>
          <w:rFonts w:cs="Times New Roman"/>
          <w:color w:val="000000" w:themeColor="text1"/>
        </w:rPr>
        <w:t xml:space="preserve">[B] Induction is circular because it relies on the assumption that nature will hold uniform and we could only reach that conclusion through inductive reasoning based on observation of past events and </w:t>
      </w:r>
    </w:p>
    <w:p w14:paraId="76DB6B59" w14:textId="77777777" w:rsidR="00457242" w:rsidRPr="003D6C82" w:rsidRDefault="00457242" w:rsidP="00457242">
      <w:pPr>
        <w:pStyle w:val="Heading4"/>
        <w:spacing w:line="276" w:lineRule="auto"/>
        <w:ind w:right="-43"/>
        <w:rPr>
          <w:rFonts w:cs="Calibri"/>
        </w:rPr>
      </w:pPr>
      <w:r w:rsidRPr="00DB467A">
        <w:rPr>
          <w:rFonts w:cs="Times New Roman"/>
          <w:color w:val="000000" w:themeColor="text1"/>
        </w:rPr>
        <w:t xml:space="preserve">[C] </w:t>
      </w:r>
      <w:r>
        <w:rPr>
          <w:rFonts w:cs="Calibri"/>
        </w:rPr>
        <w:t>P</w:t>
      </w:r>
      <w:r w:rsidRPr="003D6C82">
        <w:rPr>
          <w:rFonts w:cs="Calibri"/>
        </w:rPr>
        <w:t xml:space="preserve">rediction is impossible. Any action can lead to a domino effect that can have disastrous impacts in the end. For example, if I </w:t>
      </w:r>
      <w:r>
        <w:rPr>
          <w:rFonts w:cs="Calibri"/>
        </w:rPr>
        <w:t xml:space="preserve">drop a pen, it could land on a Faultline triggering an earthquake. </w:t>
      </w:r>
    </w:p>
    <w:p w14:paraId="5AB231B6" w14:textId="77777777" w:rsidR="00457242" w:rsidRPr="00650470" w:rsidRDefault="00457242" w:rsidP="00457242">
      <w:pPr>
        <w:pStyle w:val="Heading4"/>
        <w:spacing w:line="240" w:lineRule="auto"/>
        <w:rPr>
          <w:rFonts w:cs="Times New Roman"/>
        </w:rPr>
      </w:pPr>
      <w:r w:rsidRPr="00650470">
        <w:rPr>
          <w:rFonts w:cs="Times New Roman"/>
        </w:rPr>
        <w:t>Prefer the standard:</w:t>
      </w:r>
    </w:p>
    <w:p w14:paraId="012A010B" w14:textId="77777777" w:rsidR="00457242" w:rsidRPr="00650470" w:rsidRDefault="00457242" w:rsidP="00457242">
      <w:pPr>
        <w:pStyle w:val="Heading4"/>
        <w:spacing w:line="240" w:lineRule="auto"/>
        <w:rPr>
          <w:rFonts w:cs="Times New Roman"/>
          <w:color w:val="000000" w:themeColor="text1"/>
        </w:rPr>
      </w:pPr>
      <w:r w:rsidRPr="00650470">
        <w:rPr>
          <w:rFonts w:cs="Times New Roman"/>
          <w:color w:val="000000" w:themeColor="text1"/>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6BE37B1" w14:textId="77777777" w:rsidR="000D1F72" w:rsidRPr="000D1F72" w:rsidRDefault="000D1F72" w:rsidP="000D1F72"/>
    <w:p w14:paraId="393254F0" w14:textId="77777777" w:rsidR="00457242" w:rsidRDefault="00457242" w:rsidP="00457242">
      <w:pPr>
        <w:pStyle w:val="Heading3"/>
      </w:pPr>
      <w:r>
        <w:t xml:space="preserve">Negate </w:t>
      </w:r>
    </w:p>
    <w:p w14:paraId="5AF14630" w14:textId="77777777" w:rsidR="00457242" w:rsidRDefault="00457242" w:rsidP="00457242">
      <w:pPr>
        <w:pStyle w:val="Heading4"/>
      </w:pPr>
      <w:r>
        <w:t>[1] Intellectual property allows for individual autonomy and maximum respect of freedom for all.</w:t>
      </w:r>
    </w:p>
    <w:p w14:paraId="751E98D2" w14:textId="77777777" w:rsidR="00457242" w:rsidRDefault="00457242" w:rsidP="00457242">
      <w:pPr>
        <w:pStyle w:val="Heading4"/>
      </w:pPr>
      <w:proofErr w:type="spellStart"/>
      <w:r>
        <w:t>Kanning</w:t>
      </w:r>
      <w:proofErr w:type="spellEnd"/>
      <w:r>
        <w:t xml:space="preserve"> 12</w:t>
      </w:r>
    </w:p>
    <w:p w14:paraId="31D99405" w14:textId="77777777" w:rsidR="00457242" w:rsidRPr="00A50888" w:rsidRDefault="00457242" w:rsidP="00457242">
      <w:r w:rsidRPr="00A50888">
        <w:t>[</w:t>
      </w:r>
      <w:proofErr w:type="spellStart"/>
      <w:r w:rsidRPr="00A50888">
        <w:t>Kanning</w:t>
      </w:r>
      <w:proofErr w:type="spellEnd"/>
      <w:r w:rsidRPr="00A50888">
        <w:t>, Michael A., "A Philosophical Analysis of Intellectual Property: In Defense of Instrumentalism" (2012). Graduate Theses and Dissertations. http://scholarcommons.usf.edu/etd/4094]</w:t>
      </w:r>
      <w:r>
        <w:t>//RaZ</w:t>
      </w:r>
    </w:p>
    <w:p w14:paraId="031054AB" w14:textId="77777777" w:rsidR="00457242" w:rsidRPr="006468DA" w:rsidRDefault="00457242" w:rsidP="00457242">
      <w:pPr>
        <w:rPr>
          <w:sz w:val="16"/>
        </w:rPr>
      </w:pPr>
      <w:r w:rsidRPr="006468DA">
        <w:rPr>
          <w:sz w:val="16"/>
        </w:rPr>
        <w:t xml:space="preserve">The Kantian property theory is in many ways </w:t>
      </w:r>
      <w:proofErr w:type="gramStart"/>
      <w:r w:rsidRPr="006468DA">
        <w:rPr>
          <w:sz w:val="16"/>
        </w:rPr>
        <w:t>similar to</w:t>
      </w:r>
      <w:proofErr w:type="gramEnd"/>
      <w:r w:rsidRPr="006468DA">
        <w:rPr>
          <w:sz w:val="16"/>
        </w:rPr>
        <w:t xml:space="preserve"> Hegel’s. Both theories hold up </w:t>
      </w:r>
      <w:r w:rsidRPr="006E3B65">
        <w:rPr>
          <w:rStyle w:val="Emphasis"/>
          <w:highlight w:val="cyan"/>
        </w:rPr>
        <w:t>individual autonomy</w:t>
      </w:r>
      <w:r w:rsidRPr="006468DA">
        <w:rPr>
          <w:sz w:val="16"/>
        </w:rPr>
        <w:t xml:space="preserve"> and personal freedom as a feature of 14 human existence that </w:t>
      </w:r>
      <w:r w:rsidRPr="006E3B65">
        <w:rPr>
          <w:rStyle w:val="Emphasis"/>
          <w:highlight w:val="cyan"/>
        </w:rPr>
        <w:t>can only be</w:t>
      </w:r>
      <w:r w:rsidRPr="006468DA">
        <w:rPr>
          <w:sz w:val="16"/>
        </w:rPr>
        <w:t xml:space="preserve"> </w:t>
      </w:r>
      <w:r w:rsidRPr="006E3B65">
        <w:rPr>
          <w:rStyle w:val="Emphasis"/>
          <w:highlight w:val="cyan"/>
        </w:rPr>
        <w:t>full</w:t>
      </w:r>
      <w:r w:rsidRPr="006468DA">
        <w:rPr>
          <w:sz w:val="16"/>
        </w:rPr>
        <w:t xml:space="preserve">y realized </w:t>
      </w:r>
      <w:r w:rsidRPr="006E3B65">
        <w:rPr>
          <w:rStyle w:val="Emphasis"/>
          <w:highlight w:val="cyan"/>
        </w:rPr>
        <w:t>through the recognition of individual property rights.</w:t>
      </w:r>
      <w:r w:rsidRPr="006468DA">
        <w:rPr>
          <w:sz w:val="16"/>
        </w:rPr>
        <w:t xml:space="preserve"> </w:t>
      </w:r>
      <w:proofErr w:type="gramStart"/>
      <w:r w:rsidRPr="006468DA">
        <w:rPr>
          <w:sz w:val="16"/>
        </w:rPr>
        <w:t>Both of these</w:t>
      </w:r>
      <w:proofErr w:type="gramEnd"/>
      <w:r w:rsidRPr="006468DA">
        <w:rPr>
          <w:sz w:val="16"/>
        </w:rPr>
        <w:t xml:space="preserve"> theories foreground the relationship between an individual and an object (Merges 71). Individuals have an interest in property in the Kantian scheme because </w:t>
      </w:r>
      <w:r w:rsidRPr="00F44892">
        <w:rPr>
          <w:rStyle w:val="Emphasis"/>
          <w:highlight w:val="cyan"/>
        </w:rPr>
        <w:t>property supports a maximal “range of freedom</w:t>
      </w:r>
      <w:r w:rsidRPr="006468DA">
        <w:rPr>
          <w:sz w:val="16"/>
        </w:rPr>
        <w:t xml:space="preserve">”. Freedom is enabled by property because it </w:t>
      </w:r>
      <w:r w:rsidRPr="00F44892">
        <w:rPr>
          <w:rStyle w:val="Emphasis"/>
          <w:highlight w:val="cyan"/>
        </w:rPr>
        <w:t>allows individuals “to carry out projects in the world”.</w:t>
      </w:r>
      <w:r w:rsidRPr="006468DA">
        <w:rPr>
          <w:sz w:val="16"/>
        </w:rPr>
        <w:t xml:space="preserve"> Projects, particularly those of the creative classes, </w:t>
      </w:r>
      <w:r w:rsidRPr="00F44892">
        <w:rPr>
          <w:rStyle w:val="Emphasis"/>
          <w:highlight w:val="cyan"/>
        </w:rPr>
        <w:t>require</w:t>
      </w:r>
      <w:r w:rsidRPr="00F44892">
        <w:rPr>
          <w:rStyle w:val="Emphasis"/>
        </w:rPr>
        <w:t xml:space="preserve"> </w:t>
      </w:r>
      <w:r w:rsidRPr="00F44892">
        <w:rPr>
          <w:rStyle w:val="Emphasis"/>
          <w:highlight w:val="cyan"/>
        </w:rPr>
        <w:t>some degree of physical control</w:t>
      </w:r>
      <w:r w:rsidRPr="006468DA">
        <w:rPr>
          <w:sz w:val="16"/>
        </w:rPr>
        <w:t xml:space="preserve"> over things </w:t>
      </w:r>
      <w:proofErr w:type="gramStart"/>
      <w:r w:rsidRPr="006468DA">
        <w:rPr>
          <w:sz w:val="16"/>
        </w:rPr>
        <w:t>in order to</w:t>
      </w:r>
      <w:proofErr w:type="gramEnd"/>
      <w:r w:rsidRPr="006468DA">
        <w:rPr>
          <w:sz w:val="16"/>
        </w:rPr>
        <w:t xml:space="preserve"> be realized. Property rights are the </w:t>
      </w:r>
      <w:r w:rsidRPr="0021788F">
        <w:rPr>
          <w:rStyle w:val="Emphasis"/>
          <w:highlight w:val="cyan"/>
        </w:rPr>
        <w:t>best way to help individuals achieve the full degree of freedom</w:t>
      </w:r>
      <w:r w:rsidRPr="006468DA">
        <w:rPr>
          <w:sz w:val="16"/>
        </w:rPr>
        <w:t xml:space="preserve"> possible to them (72).</w:t>
      </w:r>
    </w:p>
    <w:p w14:paraId="248CD739" w14:textId="77777777" w:rsidR="00457242" w:rsidRDefault="00457242" w:rsidP="00457242">
      <w:pPr>
        <w:pStyle w:val="Heading4"/>
      </w:pPr>
      <w:r>
        <w:t xml:space="preserve">[2] All subjects have the right to protect their property; it’s universal because anyone can patent something that hasn’t been patented before. </w:t>
      </w:r>
    </w:p>
    <w:p w14:paraId="4A297AE7" w14:textId="77777777" w:rsidR="00457242" w:rsidRDefault="00457242" w:rsidP="00457242">
      <w:pPr>
        <w:pStyle w:val="Heading4"/>
      </w:pPr>
      <w:r>
        <w:t>Dyke 18</w:t>
      </w:r>
    </w:p>
    <w:p w14:paraId="345CCE8E" w14:textId="77777777" w:rsidR="00457242" w:rsidRPr="00021C86" w:rsidRDefault="00457242" w:rsidP="00457242">
      <w:r w:rsidRPr="00021C86">
        <w:t xml:space="preserve">[Raymond Van Dyke, July 17, 2018 ,“The Categorical Imperative for Innovation and Patenting” </w:t>
      </w:r>
      <w:hyperlink r:id="rId6" w:history="1">
        <w:r w:rsidRPr="00021C86">
          <w:rPr>
            <w:rStyle w:val="Hyperlink"/>
          </w:rPr>
          <w:t>Raymond Van Dyke</w:t>
        </w:r>
      </w:hyperlink>
      <w:r w:rsidRPr="00021C86">
        <w:t> has been an intellectual and technology attorney and consultant for over 25 years, specializing in IP procurement, prosecution, IP portfolio building and management, licensing, legislative advocacy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w:t>
      </w:r>
      <w:proofErr w:type="spellStart"/>
      <w:r w:rsidRPr="00021C86">
        <w:t>RaZ</w:t>
      </w:r>
      <w:proofErr w:type="spellEnd"/>
    </w:p>
    <w:p w14:paraId="676CE0DF" w14:textId="77777777" w:rsidR="00457242" w:rsidRPr="006468DA" w:rsidRDefault="00457242" w:rsidP="00457242">
      <w:pPr>
        <w:pStyle w:val="NormalWeb"/>
        <w:shd w:val="clear" w:color="auto" w:fill="FFFFFF"/>
        <w:spacing w:after="0" w:afterAutospacing="0" w:line="390" w:lineRule="atLeast"/>
        <w:rPr>
          <w:rFonts w:ascii="Source Sans Pro" w:hAnsi="Source Sans Pro"/>
          <w:color w:val="222222"/>
          <w:sz w:val="16"/>
          <w:szCs w:val="27"/>
        </w:rPr>
      </w:pPr>
      <w:r w:rsidRPr="006468DA">
        <w:rPr>
          <w:rFonts w:ascii="Source Sans Pro" w:hAnsi="Source Sans Pro"/>
          <w:color w:val="222222"/>
          <w:sz w:val="16"/>
          <w:szCs w:val="27"/>
        </w:rPr>
        <w:t xml:space="preserve">As we shall see, applying Kantian logic entails first acknowledging some basic principles; that the </w:t>
      </w:r>
      <w:r w:rsidRPr="00B85789">
        <w:rPr>
          <w:rStyle w:val="Emphasis"/>
          <w:highlight w:val="cyan"/>
        </w:rPr>
        <w:t>people have a right to express themselves</w:t>
      </w:r>
      <w:r w:rsidRPr="006468DA">
        <w:rPr>
          <w:rFonts w:ascii="Source Sans Pro" w:hAnsi="Source Sans Pro"/>
          <w:color w:val="222222"/>
          <w:sz w:val="16"/>
          <w:szCs w:val="27"/>
        </w:rPr>
        <w:t xml:space="preserve">, that </w:t>
      </w:r>
      <w:r w:rsidRPr="00B85789">
        <w:rPr>
          <w:rStyle w:val="Emphasis"/>
          <w:highlight w:val="cyan"/>
        </w:rPr>
        <w:t>that expression (the fruits of their labor) has value and is theirs</w:t>
      </w:r>
      <w:r w:rsidRPr="006468DA">
        <w:rPr>
          <w:rFonts w:ascii="Source Sans Pro" w:hAnsi="Source Sans Pro"/>
          <w:color w:val="222222"/>
          <w:sz w:val="16"/>
          <w:szCs w:val="27"/>
        </w:rPr>
        <w:t xml:space="preserve"> (unless consent is given otherwise), and that </w:t>
      </w:r>
      <w:r w:rsidRPr="00B85789">
        <w:rPr>
          <w:rStyle w:val="Emphasis"/>
          <w:highlight w:val="cyan"/>
        </w:rPr>
        <w:t>government is obligated to protect people and their property.</w:t>
      </w:r>
      <w:r w:rsidRPr="006468DA">
        <w:rPr>
          <w:rFonts w:ascii="Source Sans Pro" w:hAnsi="Source Sans Pro"/>
          <w:color w:val="222222"/>
          <w:sz w:val="16"/>
          <w:szCs w:val="27"/>
        </w:rPr>
        <w:t xml:space="preserve"> Thus, </w:t>
      </w:r>
      <w:r w:rsidRPr="00B85789">
        <w:rPr>
          <w:rStyle w:val="Emphasis"/>
          <w:highlight w:val="cyan"/>
        </w:rPr>
        <w:t>an inventor or creator has a right in their own creation, which cannot be taken from them without their consent.</w:t>
      </w:r>
      <w:r>
        <w:rPr>
          <w:rStyle w:val="Emphasis"/>
        </w:rPr>
        <w:t xml:space="preserve"> </w:t>
      </w:r>
      <w:r w:rsidRPr="006468DA">
        <w:rPr>
          <w:rFonts w:ascii="Source Sans Pro" w:hAnsi="Source Sans Pro"/>
          <w:color w:val="222222"/>
          <w:sz w:val="16"/>
          <w:szCs w:val="27"/>
        </w:rPr>
        <w:t xml:space="preserve">So, employing this canon, a proposed Categorical Imperative (CI) is the following Statement: </w:t>
      </w:r>
      <w:r w:rsidRPr="0005754E">
        <w:rPr>
          <w:rStyle w:val="Emphasis"/>
          <w:highlight w:val="cyan"/>
        </w:rPr>
        <w:t>creators should be protected against the unlawful taking of their creation by others.</w:t>
      </w:r>
      <w:r w:rsidRPr="006468DA">
        <w:rPr>
          <w:rFonts w:ascii="Source Sans Pro" w:hAnsi="Source Sans Pro"/>
          <w:color w:val="222222"/>
          <w:sz w:val="16"/>
          <w:szCs w:val="27"/>
        </w:rPr>
        <w:t xml:space="preserve">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w:t>
      </w:r>
      <w:r w:rsidRPr="0005754E">
        <w:rPr>
          <w:rStyle w:val="Emphasis"/>
          <w:highlight w:val="cyan"/>
        </w:rPr>
        <w:t>protect the people and their possessions</w:t>
      </w:r>
      <w:r w:rsidRPr="006468DA">
        <w:rPr>
          <w:rFonts w:ascii="Source Sans Pro" w:hAnsi="Source Sans Pro"/>
          <w:color w:val="222222"/>
          <w:sz w:val="16"/>
          <w:szCs w:val="27"/>
        </w:rPr>
        <w:t xml:space="preserve"> by providing laws to that effect, whether for the protection of tangible or intangible things.</w:t>
      </w:r>
    </w:p>
    <w:p w14:paraId="56FBA932" w14:textId="77777777" w:rsidR="00457242" w:rsidRDefault="00457242" w:rsidP="00457242">
      <w:pPr>
        <w:pStyle w:val="Heading4"/>
      </w:pPr>
    </w:p>
    <w:p w14:paraId="0F96C95F" w14:textId="77777777" w:rsidR="00457242" w:rsidRDefault="00457242" w:rsidP="00457242">
      <w:pPr>
        <w:pStyle w:val="Heading4"/>
      </w:pPr>
      <w:r>
        <w:t xml:space="preserve">[3] No patent causes freeriding which isn’t universal -- if everyone was a </w:t>
      </w:r>
      <w:proofErr w:type="spellStart"/>
      <w:r>
        <w:t>freerider</w:t>
      </w:r>
      <w:proofErr w:type="spellEnd"/>
      <w:r>
        <w:t xml:space="preserve"> then no inventions would exist to begin with. </w:t>
      </w:r>
    </w:p>
    <w:p w14:paraId="26B7EBB3" w14:textId="77777777" w:rsidR="00457242" w:rsidRDefault="00457242" w:rsidP="00457242">
      <w:pPr>
        <w:pStyle w:val="Heading4"/>
      </w:pPr>
      <w:r>
        <w:t>Dyke 18</w:t>
      </w:r>
    </w:p>
    <w:p w14:paraId="78D9EF9E" w14:textId="77777777" w:rsidR="00457242" w:rsidRPr="00021C86" w:rsidRDefault="00457242" w:rsidP="00457242">
      <w:r w:rsidRPr="00021C86">
        <w:t xml:space="preserve">[Raymond Van Dyke, July 17, 2018 ,“The Categorical Imperative for Innovation and Patenting” </w:t>
      </w:r>
      <w:hyperlink r:id="rId7" w:history="1">
        <w:r w:rsidRPr="00021C86">
          <w:rPr>
            <w:rStyle w:val="Hyperlink"/>
          </w:rPr>
          <w:t>Raymond Van Dyke</w:t>
        </w:r>
      </w:hyperlink>
      <w:r w:rsidRPr="00021C86">
        <w:t> has been an intellectual and technology attorney and consultant for over 25 years, specializing in IP procurement, prosecution, IP portfolio building and management, licensing, legislative advocacy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w:t>
      </w:r>
      <w:proofErr w:type="spellStart"/>
      <w:r w:rsidRPr="00021C86">
        <w:t>RaZ</w:t>
      </w:r>
      <w:proofErr w:type="spellEnd"/>
    </w:p>
    <w:p w14:paraId="5BCA6613" w14:textId="77777777" w:rsidR="00457242" w:rsidRPr="00816A70" w:rsidRDefault="00457242" w:rsidP="00457242">
      <w:pPr>
        <w:pStyle w:val="NormalWeb"/>
        <w:shd w:val="clear" w:color="auto" w:fill="FFFFFF"/>
        <w:spacing w:after="0" w:afterAutospacing="0" w:line="390" w:lineRule="atLeast"/>
        <w:rPr>
          <w:rStyle w:val="Emphasis"/>
        </w:rPr>
      </w:pPr>
      <w:r w:rsidRPr="00BC2DC3">
        <w:rPr>
          <w:rFonts w:ascii="Source Sans Pro" w:hAnsi="Source Sans Pro"/>
          <w:color w:val="222222"/>
          <w:sz w:val="16"/>
          <w:szCs w:val="27"/>
        </w:rPr>
        <w:t xml:space="preserve">However, a contrary proposal can be postulated: </w:t>
      </w:r>
      <w:r w:rsidRPr="00D8203E">
        <w:rPr>
          <w:rStyle w:val="Emphasis"/>
          <w:highlight w:val="cyan"/>
        </w:rPr>
        <w:t>everyone should be able to use the creations of another without charge.</w:t>
      </w:r>
      <w:r>
        <w:rPr>
          <w:rStyle w:val="Emphasis"/>
        </w:rPr>
        <w:t xml:space="preserve"> </w:t>
      </w:r>
      <w:r w:rsidRPr="00BC2DC3">
        <w:rPr>
          <w:rFonts w:ascii="Source Sans Pro" w:hAnsi="Source Sans Pro"/>
          <w:color w:val="222222"/>
          <w:sz w:val="16"/>
          <w:szCs w:val="27"/>
        </w:rPr>
        <w:t xml:space="preserve">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t>
      </w:r>
      <w:r w:rsidRPr="00D8203E">
        <w:rPr>
          <w:rStyle w:val="Emphasis"/>
          <w:highlight w:val="cyan"/>
        </w:rPr>
        <w:t>Why even create?</w:t>
      </w:r>
      <w:r>
        <w:rPr>
          <w:rStyle w:val="Emphasis"/>
        </w:rPr>
        <w:t xml:space="preserve"> </w:t>
      </w:r>
      <w:r w:rsidRPr="00D8203E">
        <w:rPr>
          <w:rStyle w:val="Emphasis"/>
          <w:highlight w:val="cyan"/>
        </w:rPr>
        <w:t>This approach</w:t>
      </w:r>
      <w:r w:rsidRPr="00D8203E">
        <w:rPr>
          <w:rStyle w:val="Emphasis"/>
        </w:rPr>
        <w:t xml:space="preserve"> </w:t>
      </w:r>
      <w:r w:rsidRPr="00BC2DC3">
        <w:rPr>
          <w:rFonts w:ascii="Source Sans Pro" w:hAnsi="Source Sans Pro"/>
          <w:color w:val="222222"/>
          <w:sz w:val="16"/>
          <w:szCs w:val="27"/>
        </w:rPr>
        <w:t xml:space="preserve">thus </w:t>
      </w:r>
      <w:r w:rsidRPr="00D8203E">
        <w:rPr>
          <w:rStyle w:val="Emphasis"/>
          <w:highlight w:val="cyan"/>
        </w:rPr>
        <w:t>undermines and greatly hinders the distribution of ideas in a free society,</w:t>
      </w:r>
      <w:r w:rsidRPr="00BC2DC3">
        <w:rPr>
          <w:rFonts w:ascii="Source Sans Pro" w:hAnsi="Source Sans Pro"/>
          <w:color w:val="222222"/>
          <w:sz w:val="16"/>
          <w:szCs w:val="27"/>
        </w:rPr>
        <w:t xml:space="preserve"> which is </w:t>
      </w:r>
      <w:r w:rsidRPr="00D8203E">
        <w:rPr>
          <w:rStyle w:val="Emphasis"/>
          <w:highlight w:val="cyan"/>
        </w:rPr>
        <w:t>contrary to the</w:t>
      </w:r>
      <w:r w:rsidRPr="00BC2DC3">
        <w:rPr>
          <w:rFonts w:ascii="Source Sans Pro" w:hAnsi="Source Sans Pro"/>
          <w:color w:val="222222"/>
          <w:sz w:val="16"/>
          <w:szCs w:val="27"/>
        </w:rPr>
        <w:t xml:space="preserve"> paradigm of the U.S. </w:t>
      </w:r>
      <w:r w:rsidRPr="00D8203E">
        <w:rPr>
          <w:rStyle w:val="Emphasis"/>
          <w:highlight w:val="cyan"/>
        </w:rPr>
        <w:t>patent and copyright systems, which promotes dissemination</w:t>
      </w:r>
      <w:r w:rsidRPr="00816A70">
        <w:rPr>
          <w:rStyle w:val="Emphasis"/>
          <w:highlight w:val="cyan"/>
        </w:rPr>
        <w:t>.</w:t>
      </w:r>
      <w:r>
        <w:rPr>
          <w:rStyle w:val="Emphasis"/>
          <w:highlight w:val="cyan"/>
        </w:rPr>
        <w:t xml:space="preserve"> </w:t>
      </w:r>
      <w:r w:rsidRPr="00816A70">
        <w:rPr>
          <w:rStyle w:val="Emphasis"/>
          <w:highlight w:val="cyan"/>
        </w:rPr>
        <w:t>By allowing freeriding, innovation and creativity would be thwarted</w:t>
      </w:r>
      <w:r w:rsidRPr="00BC2DC3">
        <w:rPr>
          <w:rFonts w:ascii="Source Sans Pro" w:hAnsi="Source Sans Pro"/>
          <w:color w:val="222222"/>
          <w:sz w:val="16"/>
          <w:szCs w:val="27"/>
        </w:rPr>
        <w:t xml:space="preserve"> (or at least not encouraged) and trade secret protection would become the mainstay for </w:t>
      </w:r>
      <w:r w:rsidRPr="00816A70">
        <w:rPr>
          <w:rStyle w:val="Emphasis"/>
          <w:highlight w:val="cyan"/>
        </w:rPr>
        <w:t>society with the heightened distrust.</w:t>
      </w:r>
    </w:p>
    <w:p w14:paraId="7EBAD378" w14:textId="6B4790B8" w:rsidR="00457242" w:rsidRDefault="00457242" w:rsidP="00457242"/>
    <w:p w14:paraId="08BD9B99" w14:textId="674C813D" w:rsidR="00563405" w:rsidRDefault="00563405" w:rsidP="00563405">
      <w:pPr>
        <w:pStyle w:val="Heading2"/>
      </w:pPr>
      <w:r>
        <w:t>2</w:t>
      </w:r>
    </w:p>
    <w:p w14:paraId="78AE66C2" w14:textId="77777777" w:rsidR="00D1208D" w:rsidRDefault="00D1208D" w:rsidP="00D1208D">
      <w:pPr>
        <w:pStyle w:val="Heading4"/>
      </w:pPr>
      <w:r>
        <w:t xml:space="preserve">Interpretation - Medicine solely refers to </w:t>
      </w:r>
      <w:r>
        <w:rPr>
          <w:u w:val="single"/>
        </w:rPr>
        <w:t>drugs</w:t>
      </w:r>
      <w:r>
        <w:t>.</w:t>
      </w:r>
    </w:p>
    <w:p w14:paraId="55A91630" w14:textId="77777777" w:rsidR="00D1208D" w:rsidRPr="00D66530" w:rsidRDefault="00D1208D" w:rsidP="00D1208D">
      <w:r w:rsidRPr="00D66530">
        <w:rPr>
          <w:rStyle w:val="Style13ptBold"/>
        </w:rPr>
        <w:t>American Heritage Dictionary of Medicine 18</w:t>
      </w:r>
      <w:r>
        <w:t xml:space="preserve"> </w:t>
      </w:r>
      <w:r w:rsidRPr="00D66530">
        <w:t>The American Heritage Dictionary of Medicine 2018 by Houghton Mifflin Harcourt Publishing Company</w:t>
      </w:r>
      <w:r>
        <w:t xml:space="preserve"> </w:t>
      </w:r>
      <w:hyperlink r:id="rId8" w:history="1">
        <w:r w:rsidRPr="00C822CF">
          <w:rPr>
            <w:rStyle w:val="Hyperlink"/>
          </w:rPr>
          <w:t>https://www.yourdictionary.com/medicine</w:t>
        </w:r>
      </w:hyperlink>
      <w:r>
        <w:t xml:space="preserve"> //Elmer </w:t>
      </w:r>
    </w:p>
    <w:p w14:paraId="52C51710" w14:textId="77777777" w:rsidR="00D1208D" w:rsidRPr="00D66530" w:rsidRDefault="00D1208D" w:rsidP="00D1208D">
      <w:pPr>
        <w:rPr>
          <w:u w:val="single"/>
        </w:rPr>
      </w:pPr>
      <w:r w:rsidRPr="00D66530">
        <w:t>"</w:t>
      </w:r>
      <w:r w:rsidRPr="00D66530">
        <w:rPr>
          <w:u w:val="single"/>
        </w:rPr>
        <w:t xml:space="preserve">A </w:t>
      </w:r>
      <w:r w:rsidRPr="00E55D3F">
        <w:rPr>
          <w:b/>
          <w:sz w:val="26"/>
          <w:highlight w:val="green"/>
          <w:u w:val="single"/>
        </w:rPr>
        <w:t>substance</w:t>
      </w:r>
      <w:r w:rsidRPr="00D66530">
        <w:rPr>
          <w:u w:val="single"/>
        </w:rPr>
        <w:t xml:space="preserve">, </w:t>
      </w:r>
      <w:r w:rsidRPr="00E55D3F">
        <w:rPr>
          <w:b/>
          <w:sz w:val="26"/>
          <w:highlight w:val="green"/>
          <w:u w:val="single"/>
        </w:rPr>
        <w:t>especially a drug</w:t>
      </w:r>
      <w:r w:rsidRPr="00D66530">
        <w:rPr>
          <w:u w:val="single"/>
        </w:rPr>
        <w:t xml:space="preserve">, </w:t>
      </w:r>
      <w:r w:rsidRPr="00E55D3F">
        <w:rPr>
          <w:b/>
          <w:sz w:val="26"/>
          <w:highlight w:val="green"/>
          <w:u w:val="single"/>
        </w:rPr>
        <w:t>used to treat</w:t>
      </w:r>
      <w:r w:rsidRPr="00D66530">
        <w:rPr>
          <w:u w:val="single"/>
        </w:rPr>
        <w:t xml:space="preserve"> the signs and symptoms of a </w:t>
      </w:r>
      <w:r w:rsidRPr="00E55D3F">
        <w:rPr>
          <w:b/>
          <w:sz w:val="26"/>
          <w:highlight w:val="green"/>
          <w:u w:val="single"/>
        </w:rPr>
        <w:t>disease</w:t>
      </w:r>
      <w:r w:rsidRPr="00D66530">
        <w:rPr>
          <w:u w:val="single"/>
        </w:rPr>
        <w:t>, condition, or injury."</w:t>
      </w:r>
    </w:p>
    <w:p w14:paraId="6E12A2AB" w14:textId="77777777" w:rsidR="00D1208D" w:rsidRDefault="00D1208D" w:rsidP="00D1208D">
      <w:pPr>
        <w:pStyle w:val="Heading4"/>
      </w:pPr>
      <w:r>
        <w:t xml:space="preserve">Violation – </w:t>
      </w:r>
      <w:bookmarkStart w:id="0" w:name="_Hlk81679194"/>
      <w:r>
        <w:t xml:space="preserve">Genomic Medicine is not - They say Genomic medicines – a term which doesn’t exist in the topic literature. There are no “genomic medicines”, genomic medicine is a </w:t>
      </w:r>
      <w:r w:rsidRPr="003A7F40">
        <w:rPr>
          <w:u w:val="single"/>
        </w:rPr>
        <w:t>discipline</w:t>
      </w:r>
      <w:r>
        <w:t xml:space="preserve"> </w:t>
      </w:r>
      <w:proofErr w:type="gramStart"/>
      <w:r>
        <w:t>not types</w:t>
      </w:r>
      <w:proofErr w:type="gramEnd"/>
      <w:r>
        <w:t xml:space="preserve"> of medicines. </w:t>
      </w:r>
      <w:bookmarkEnd w:id="0"/>
    </w:p>
    <w:p w14:paraId="5BF75C80" w14:textId="77777777" w:rsidR="00D1208D" w:rsidRPr="003A7F40" w:rsidRDefault="00D1208D" w:rsidP="00D1208D">
      <w:pPr>
        <w:pStyle w:val="Heading4"/>
      </w:pPr>
      <w:r>
        <w:t xml:space="preserve">Read your own solvency advocate – they talk about CRISPR and gene editing practices not discreet forms of medicines or substances or drugs. The words “Genomic medicines” doesn’t appear in their solvency advocate at all. </w:t>
      </w:r>
    </w:p>
    <w:p w14:paraId="3BA4875F" w14:textId="77777777" w:rsidR="00D1208D" w:rsidRDefault="00D1208D" w:rsidP="00D1208D">
      <w:r w:rsidRPr="009A551C">
        <w:rPr>
          <w:b/>
          <w:bCs/>
          <w:szCs w:val="24"/>
        </w:rPr>
        <w:t>NHGRI 20</w:t>
      </w:r>
      <w:r>
        <w:rPr>
          <w:b/>
          <w:bCs/>
          <w:szCs w:val="24"/>
        </w:rPr>
        <w:t>’</w:t>
      </w:r>
      <w:r w:rsidRPr="003A7F40">
        <w:t xml:space="preserve"> </w:t>
      </w:r>
      <w:r>
        <w:br/>
      </w:r>
      <w:r w:rsidRPr="009A551C">
        <w:rPr>
          <w:sz w:val="16"/>
          <w:szCs w:val="16"/>
        </w:rPr>
        <w:t xml:space="preserve">At the national human genome research institute, we are focused on advances in genomics research. Building on our leadership role in the initial sequencing of the human genome, we collaborate with the world's scientific and medical communities to enhance genomic technologies that accelerate breakthroughs and improve lives. By empowering and expanding the field of genomics, we can benefit all of humankind. </w:t>
      </w:r>
      <w:r w:rsidRPr="009A551C">
        <w:rPr>
          <w:sz w:val="16"/>
          <w:szCs w:val="16"/>
        </w:rPr>
        <w:br/>
      </w:r>
      <w:hyperlink r:id="rId9" w:history="1">
        <w:r w:rsidRPr="009A551C">
          <w:rPr>
            <w:rStyle w:val="Hyperlink"/>
            <w:sz w:val="16"/>
            <w:szCs w:val="16"/>
          </w:rPr>
          <w:t>https://www.genome.gov/health/Genomics-and-Medicine</w:t>
        </w:r>
      </w:hyperlink>
      <w:r w:rsidRPr="009A551C">
        <w:rPr>
          <w:sz w:val="16"/>
          <w:szCs w:val="16"/>
        </w:rPr>
        <w:t xml:space="preserve"> (December 2, 2020)</w:t>
      </w:r>
    </w:p>
    <w:p w14:paraId="31EA1E6E" w14:textId="77777777" w:rsidR="00D1208D" w:rsidRPr="000D256C" w:rsidRDefault="00D1208D" w:rsidP="00D1208D">
      <w:pPr>
        <w:rPr>
          <w:sz w:val="12"/>
          <w:szCs w:val="18"/>
        </w:rPr>
      </w:pPr>
      <w:r w:rsidRPr="009A551C">
        <w:rPr>
          <w:rFonts w:ascii="Arial" w:hAnsi="Arial" w:cs="Arial"/>
          <w:b/>
          <w:bCs/>
          <w:color w:val="000000"/>
          <w:szCs w:val="24"/>
          <w:highlight w:val="yellow"/>
          <w:u w:val="single"/>
          <w:shd w:val="clear" w:color="auto" w:fill="FFFFFF"/>
        </w:rPr>
        <w:t>Genomic medicine is an emerging medical discipline</w:t>
      </w:r>
      <w:r w:rsidRPr="009A551C">
        <w:rPr>
          <w:rFonts w:ascii="Arial" w:hAnsi="Arial" w:cs="Arial"/>
          <w:color w:val="000000"/>
          <w:sz w:val="12"/>
          <w:szCs w:val="24"/>
          <w:highlight w:val="yellow"/>
          <w:shd w:val="clear" w:color="auto" w:fill="FFFFFF"/>
        </w:rPr>
        <w:t xml:space="preserve"> </w:t>
      </w:r>
      <w:r w:rsidRPr="009A551C">
        <w:rPr>
          <w:rFonts w:ascii="Arial" w:hAnsi="Arial" w:cs="Arial"/>
          <w:b/>
          <w:bCs/>
          <w:color w:val="000000"/>
          <w:szCs w:val="24"/>
          <w:highlight w:val="yellow"/>
          <w:u w:val="single"/>
          <w:shd w:val="clear" w:color="auto" w:fill="FFFFFF"/>
        </w:rPr>
        <w:t>that</w:t>
      </w:r>
      <w:r w:rsidRPr="009A551C">
        <w:rPr>
          <w:rFonts w:ascii="Arial" w:hAnsi="Arial" w:cs="Arial"/>
          <w:color w:val="000000"/>
          <w:sz w:val="12"/>
          <w:szCs w:val="24"/>
          <w:highlight w:val="yellow"/>
          <w:shd w:val="clear" w:color="auto" w:fill="FFFFFF"/>
        </w:rPr>
        <w:t xml:space="preserve"> </w:t>
      </w:r>
      <w:r w:rsidRPr="009A551C">
        <w:rPr>
          <w:rFonts w:ascii="Arial" w:hAnsi="Arial" w:cs="Arial"/>
          <w:b/>
          <w:bCs/>
          <w:color w:val="000000"/>
          <w:szCs w:val="24"/>
          <w:highlight w:val="yellow"/>
          <w:u w:val="single"/>
          <w:shd w:val="clear" w:color="auto" w:fill="FFFFFF"/>
        </w:rPr>
        <w:t>involves</w:t>
      </w:r>
      <w:r w:rsidRPr="009A551C">
        <w:rPr>
          <w:rFonts w:ascii="Arial" w:hAnsi="Arial" w:cs="Arial"/>
          <w:color w:val="000000"/>
          <w:sz w:val="12"/>
          <w:szCs w:val="24"/>
          <w:highlight w:val="yellow"/>
          <w:shd w:val="clear" w:color="auto" w:fill="FFFFFF"/>
        </w:rPr>
        <w:t xml:space="preserve"> </w:t>
      </w:r>
      <w:r w:rsidRPr="009A551C">
        <w:rPr>
          <w:rFonts w:ascii="Arial" w:hAnsi="Arial" w:cs="Arial"/>
          <w:b/>
          <w:bCs/>
          <w:color w:val="000000"/>
          <w:szCs w:val="24"/>
          <w:highlight w:val="yellow"/>
          <w:u w:val="single"/>
          <w:shd w:val="clear" w:color="auto" w:fill="FFFFFF"/>
        </w:rPr>
        <w:t>using genomic information</w:t>
      </w:r>
      <w:r w:rsidRPr="009A551C">
        <w:rPr>
          <w:rFonts w:ascii="Arial" w:hAnsi="Arial" w:cs="Arial"/>
          <w:color w:val="000000"/>
          <w:sz w:val="12"/>
          <w:szCs w:val="24"/>
          <w:shd w:val="clear" w:color="auto" w:fill="FFFFFF"/>
        </w:rPr>
        <w:t xml:space="preserve"> about an individual </w:t>
      </w:r>
      <w:r w:rsidRPr="009A551C">
        <w:rPr>
          <w:rFonts w:ascii="Arial" w:hAnsi="Arial" w:cs="Arial"/>
          <w:b/>
          <w:bCs/>
          <w:color w:val="000000"/>
          <w:szCs w:val="24"/>
          <w:highlight w:val="yellow"/>
          <w:u w:val="single"/>
          <w:shd w:val="clear" w:color="auto" w:fill="FFFFFF"/>
        </w:rPr>
        <w:t xml:space="preserve">as part of </w:t>
      </w:r>
      <w:r w:rsidRPr="009A551C">
        <w:rPr>
          <w:rFonts w:ascii="Arial" w:hAnsi="Arial" w:cs="Arial"/>
          <w:color w:val="000000"/>
          <w:sz w:val="12"/>
          <w:szCs w:val="24"/>
          <w:shd w:val="clear" w:color="auto" w:fill="FFFFFF"/>
        </w:rPr>
        <w:t>their</w:t>
      </w:r>
      <w:r w:rsidRPr="009A551C">
        <w:rPr>
          <w:rFonts w:ascii="Arial" w:hAnsi="Arial" w:cs="Arial"/>
          <w:b/>
          <w:bCs/>
          <w:color w:val="000000"/>
          <w:szCs w:val="24"/>
          <w:u w:val="single"/>
          <w:shd w:val="clear" w:color="auto" w:fill="FFFFFF"/>
        </w:rPr>
        <w:t xml:space="preserve"> </w:t>
      </w:r>
      <w:r w:rsidRPr="009A551C">
        <w:rPr>
          <w:rFonts w:ascii="Arial" w:hAnsi="Arial" w:cs="Arial"/>
          <w:b/>
          <w:bCs/>
          <w:color w:val="000000"/>
          <w:szCs w:val="24"/>
          <w:highlight w:val="yellow"/>
          <w:u w:val="single"/>
          <w:shd w:val="clear" w:color="auto" w:fill="FFFFFF"/>
        </w:rPr>
        <w:t>clinical care</w:t>
      </w:r>
      <w:r w:rsidRPr="009A551C">
        <w:rPr>
          <w:rFonts w:ascii="Arial" w:hAnsi="Arial" w:cs="Arial"/>
          <w:color w:val="000000"/>
          <w:sz w:val="12"/>
          <w:szCs w:val="24"/>
          <w:shd w:val="clear" w:color="auto" w:fill="FFFFFF"/>
        </w:rPr>
        <w:t xml:space="preserve"> (</w:t>
      </w:r>
      <w:proofErr w:type="gramStart"/>
      <w:r w:rsidRPr="009A551C">
        <w:rPr>
          <w:rFonts w:ascii="Arial" w:hAnsi="Arial" w:cs="Arial"/>
          <w:color w:val="000000"/>
          <w:sz w:val="12"/>
          <w:szCs w:val="24"/>
          <w:shd w:val="clear" w:color="auto" w:fill="FFFFFF"/>
        </w:rPr>
        <w:t>e.g.</w:t>
      </w:r>
      <w:proofErr w:type="gramEnd"/>
      <w:r w:rsidRPr="009A551C">
        <w:rPr>
          <w:rFonts w:ascii="Arial" w:hAnsi="Arial" w:cs="Arial"/>
          <w:color w:val="000000"/>
          <w:sz w:val="12"/>
          <w:szCs w:val="24"/>
          <w:shd w:val="clear" w:color="auto" w:fill="FFFFFF"/>
        </w:rPr>
        <w:t xml:space="preserve"> for diagnostic or therapeutic decision-making) and the health outcomes and policy implications of that clinical use.</w:t>
      </w:r>
    </w:p>
    <w:p w14:paraId="7D9E3068" w14:textId="77777777" w:rsidR="00D1208D" w:rsidRPr="00AA246F" w:rsidRDefault="00D1208D" w:rsidP="00D1208D">
      <w:pPr>
        <w:pStyle w:val="Heading4"/>
      </w:pPr>
      <w:r>
        <w:t xml:space="preserve">The Standard is </w:t>
      </w:r>
      <w:r w:rsidRPr="00AA246F">
        <w:rPr>
          <w:u w:val="single"/>
        </w:rPr>
        <w:t>Limits</w:t>
      </w:r>
      <w:r>
        <w:t xml:space="preserve"> – They explode the topic to include therapies, research areas, treatments, etc. that eviscerate a stable locus of predictability. Limits is a sequencing question to Clash and in-depth Education since we’re only able to prepare if there’s stable core controversies. </w:t>
      </w:r>
    </w:p>
    <w:p w14:paraId="7D06F359" w14:textId="77777777" w:rsidR="00D1208D" w:rsidRPr="00D1208D" w:rsidRDefault="00D1208D" w:rsidP="00D1208D"/>
    <w:p w14:paraId="604FAA5D" w14:textId="3BC513EC" w:rsidR="00457242" w:rsidRDefault="008A64DB" w:rsidP="008A64DB">
      <w:pPr>
        <w:pStyle w:val="Heading4"/>
      </w:pPr>
      <w:r w:rsidRPr="008A64DB">
        <w:t xml:space="preserve">Paradigm Issues – a] Topicality is Drop the Debater – it’s a fundamental baseline for debate-ability. b] Use Competing </w:t>
      </w:r>
      <w:proofErr w:type="spellStart"/>
      <w:r w:rsidRPr="008A64DB">
        <w:t>Interps</w:t>
      </w:r>
      <w:proofErr w:type="spellEnd"/>
      <w:r w:rsidRPr="008A64DB">
        <w:t xml:space="preserve"> – 1] Topicality is a yes/no question, you can’t be reasonably topical and 2] Reasonability invites arbitrary judge intervention and a race to the bottom of questionable argumentation. c] No RVI’s - 1] Forces the 1NC to go all-in on Theory which kills substance education, 2] Encourages Baiting since the 1AC will purposely be abusive, and 3] Illogical – you shouldn’t win for not being abusive.</w:t>
      </w:r>
    </w:p>
    <w:p w14:paraId="129A2445" w14:textId="3E6E353F" w:rsidR="008A64DB" w:rsidRDefault="008A64DB" w:rsidP="008A64DB"/>
    <w:p w14:paraId="24FD84FC" w14:textId="77777777" w:rsidR="008A64DB" w:rsidRPr="008A64DB" w:rsidRDefault="008A64DB" w:rsidP="008A64DB"/>
    <w:p w14:paraId="24E9724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75673"/>
    <w:multiLevelType w:val="hybridMultilevel"/>
    <w:tmpl w:val="7DA6D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9B3636"/>
    <w:multiLevelType w:val="hybridMultilevel"/>
    <w:tmpl w:val="27066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70583"/>
    <w:multiLevelType w:val="hybridMultilevel"/>
    <w:tmpl w:val="2908933C"/>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0FD2"/>
    <w:rsid w:val="000139A3"/>
    <w:rsid w:val="000D1F7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7242"/>
    <w:rsid w:val="004605D6"/>
    <w:rsid w:val="00490D54"/>
    <w:rsid w:val="004C60E8"/>
    <w:rsid w:val="004E3579"/>
    <w:rsid w:val="004E728B"/>
    <w:rsid w:val="004F39E0"/>
    <w:rsid w:val="00537BD5"/>
    <w:rsid w:val="00563405"/>
    <w:rsid w:val="0057268A"/>
    <w:rsid w:val="00585167"/>
    <w:rsid w:val="005D2912"/>
    <w:rsid w:val="00604643"/>
    <w:rsid w:val="006065BD"/>
    <w:rsid w:val="00645FA9"/>
    <w:rsid w:val="00647866"/>
    <w:rsid w:val="00665003"/>
    <w:rsid w:val="006A2AD0"/>
    <w:rsid w:val="006C2375"/>
    <w:rsid w:val="006D4ECC"/>
    <w:rsid w:val="00722258"/>
    <w:rsid w:val="007243E5"/>
    <w:rsid w:val="00725C38"/>
    <w:rsid w:val="00766EA0"/>
    <w:rsid w:val="007A2226"/>
    <w:rsid w:val="007A6445"/>
    <w:rsid w:val="007F5B66"/>
    <w:rsid w:val="00820FD2"/>
    <w:rsid w:val="00823A1C"/>
    <w:rsid w:val="00845B9D"/>
    <w:rsid w:val="00860984"/>
    <w:rsid w:val="008A64DB"/>
    <w:rsid w:val="008B3ECB"/>
    <w:rsid w:val="008B4E85"/>
    <w:rsid w:val="008C1B2E"/>
    <w:rsid w:val="0091627E"/>
    <w:rsid w:val="0097032B"/>
    <w:rsid w:val="009D2EAD"/>
    <w:rsid w:val="009D54B2"/>
    <w:rsid w:val="009E1922"/>
    <w:rsid w:val="009F7ED2"/>
    <w:rsid w:val="00A93661"/>
    <w:rsid w:val="00A95652"/>
    <w:rsid w:val="00AC0AB8"/>
    <w:rsid w:val="00AF2167"/>
    <w:rsid w:val="00B33C6D"/>
    <w:rsid w:val="00B4508F"/>
    <w:rsid w:val="00B55AD5"/>
    <w:rsid w:val="00B8057C"/>
    <w:rsid w:val="00BD6238"/>
    <w:rsid w:val="00BE1291"/>
    <w:rsid w:val="00BF593B"/>
    <w:rsid w:val="00BF773A"/>
    <w:rsid w:val="00BF7E81"/>
    <w:rsid w:val="00C13773"/>
    <w:rsid w:val="00C17CC8"/>
    <w:rsid w:val="00C83417"/>
    <w:rsid w:val="00C9604F"/>
    <w:rsid w:val="00CA19AA"/>
    <w:rsid w:val="00CC5298"/>
    <w:rsid w:val="00CD736E"/>
    <w:rsid w:val="00CD798D"/>
    <w:rsid w:val="00CE161E"/>
    <w:rsid w:val="00CF59A8"/>
    <w:rsid w:val="00D1208D"/>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35A12"/>
  <w15:chartTrackingRefBased/>
  <w15:docId w15:val="{13AB5111-A928-483F-BE72-5CACB523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5167"/>
    <w:rPr>
      <w:rFonts w:ascii="Calibri" w:hAnsi="Calibri" w:cs="Calibri"/>
    </w:rPr>
  </w:style>
  <w:style w:type="paragraph" w:styleId="Heading1">
    <w:name w:val="heading 1"/>
    <w:aliases w:val="Pocket"/>
    <w:basedOn w:val="Normal"/>
    <w:next w:val="Normal"/>
    <w:link w:val="Heading1Char"/>
    <w:qFormat/>
    <w:rsid w:val="005851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51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51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3"/>
    <w:unhideWhenUsed/>
    <w:qFormat/>
    <w:rsid w:val="005851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51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167"/>
  </w:style>
  <w:style w:type="character" w:customStyle="1" w:styleId="Heading1Char">
    <w:name w:val="Heading 1 Char"/>
    <w:aliases w:val="Pocket Char"/>
    <w:basedOn w:val="DefaultParagraphFont"/>
    <w:link w:val="Heading1"/>
    <w:rsid w:val="005851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51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516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58516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5851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516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585167"/>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585167"/>
    <w:rPr>
      <w:color w:val="auto"/>
      <w:u w:val="none"/>
    </w:rPr>
  </w:style>
  <w:style w:type="character" w:styleId="FollowedHyperlink">
    <w:name w:val="FollowedHyperlink"/>
    <w:basedOn w:val="DefaultParagraphFont"/>
    <w:uiPriority w:val="99"/>
    <w:semiHidden/>
    <w:unhideWhenUsed/>
    <w:rsid w:val="00585167"/>
    <w:rPr>
      <w:color w:val="auto"/>
      <w:u w:val="none"/>
    </w:rPr>
  </w:style>
  <w:style w:type="paragraph" w:customStyle="1" w:styleId="textbold">
    <w:name w:val="text bold"/>
    <w:basedOn w:val="Normal"/>
    <w:link w:val="Emphasis"/>
    <w:uiPriority w:val="7"/>
    <w:qFormat/>
    <w:rsid w:val="00820FD2"/>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820FD2"/>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820FD2"/>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820FD2"/>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820FD2"/>
    <w:pPr>
      <w:ind w:left="720"/>
      <w:contextualSpacing/>
    </w:pPr>
  </w:style>
  <w:style w:type="paragraph" w:styleId="NoSpacing">
    <w:name w:val="No Spacing"/>
    <w:aliases w:val="Card Format,ClearFormatting,DDI Tag,Tag Title,No Spacing51,Tag and Cite,No Spacing31,No Spacing22,No Spacing41,No Spacing6,No Spacing7,No Spacing8,Dont u,No Spacing311,No Spacing2,Clear,tag"/>
    <w:basedOn w:val="Heading1"/>
    <w:link w:val="Hyperlink"/>
    <w:autoRedefine/>
    <w:uiPriority w:val="99"/>
    <w:qFormat/>
    <w:rsid w:val="004572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4572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rdictionary.com/medicine" TargetMode="External"/><Relationship Id="rId3" Type="http://schemas.openxmlformats.org/officeDocument/2006/relationships/styles" Target="styles.xml"/><Relationship Id="rId7" Type="http://schemas.openxmlformats.org/officeDocument/2006/relationships/hyperlink" Target="https://www.ipwatchdog.com/author/raymond-van-dy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author/raymond-van-dyk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nome.gov/health/Genomics-and-Medi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1480</Words>
  <Characters>8439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3</cp:revision>
  <dcterms:created xsi:type="dcterms:W3CDTF">2021-09-05T00:33:00Z</dcterms:created>
  <dcterms:modified xsi:type="dcterms:W3CDTF">2021-09-05T14:12:00Z</dcterms:modified>
</cp:coreProperties>
</file>