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C893C" w14:textId="77777777" w:rsidR="00FD4557" w:rsidRDefault="00FD4557" w:rsidP="00FD4557">
      <w:pPr>
        <w:pStyle w:val="Heading1"/>
      </w:pPr>
      <w:r>
        <w:t>1NC</w:t>
      </w:r>
    </w:p>
    <w:p w14:paraId="13698FC0" w14:textId="77777777" w:rsidR="00FD4557" w:rsidRDefault="00FD4557" w:rsidP="00FD4557">
      <w:pPr>
        <w:pStyle w:val="Heading3"/>
      </w:pPr>
      <w:r>
        <w:lastRenderedPageBreak/>
        <w:t>1</w:t>
      </w:r>
    </w:p>
    <w:p w14:paraId="38ED0041" w14:textId="4B2384E7" w:rsidR="00FD4557" w:rsidRDefault="00FD4557" w:rsidP="00FD4557">
      <w:pPr>
        <w:keepNext/>
        <w:keepLines/>
        <w:spacing w:before="40" w:after="0"/>
        <w:outlineLvl w:val="3"/>
        <w:rPr>
          <w:rFonts w:eastAsiaTheme="majorEastAsia"/>
          <w:b/>
          <w:bCs/>
          <w:sz w:val="26"/>
          <w:szCs w:val="26"/>
        </w:rPr>
      </w:pPr>
      <w:proofErr w:type="spellStart"/>
      <w:r w:rsidRPr="005C1D6D">
        <w:rPr>
          <w:rFonts w:eastAsiaTheme="majorEastAsia"/>
          <w:b/>
          <w:bCs/>
          <w:sz w:val="26"/>
          <w:szCs w:val="26"/>
        </w:rPr>
        <w:t>Interp</w:t>
      </w:r>
      <w:proofErr w:type="spellEnd"/>
      <w:r w:rsidRPr="005C1D6D">
        <w:rPr>
          <w:rFonts w:eastAsiaTheme="majorEastAsia"/>
          <w:b/>
          <w:bCs/>
          <w:sz w:val="26"/>
          <w:szCs w:val="26"/>
        </w:rPr>
        <w:t>: Debaters must disclose round reports that say which positions (AC, NC, K, T, Theory, etc.) were read/gone for in every speech</w:t>
      </w:r>
      <w:r>
        <w:rPr>
          <w:rFonts w:eastAsiaTheme="majorEastAsia"/>
          <w:b/>
          <w:bCs/>
          <w:sz w:val="26"/>
          <w:szCs w:val="26"/>
        </w:rPr>
        <w:t xml:space="preserve"> for every round</w:t>
      </w:r>
      <w:r w:rsidRPr="005C1D6D">
        <w:rPr>
          <w:rFonts w:eastAsiaTheme="majorEastAsia"/>
          <w:b/>
          <w:bCs/>
          <w:sz w:val="26"/>
          <w:szCs w:val="26"/>
        </w:rPr>
        <w:t>.</w:t>
      </w:r>
    </w:p>
    <w:p w14:paraId="772F920E" w14:textId="77777777" w:rsidR="00FD4557" w:rsidRDefault="00FD4557" w:rsidP="00FD4557">
      <w:pPr>
        <w:keepNext/>
        <w:keepLines/>
        <w:spacing w:before="40" w:after="0"/>
        <w:outlineLvl w:val="3"/>
        <w:rPr>
          <w:rFonts w:eastAsiaTheme="majorEastAsia"/>
          <w:b/>
          <w:bCs/>
          <w:sz w:val="26"/>
          <w:szCs w:val="26"/>
        </w:rPr>
      </w:pPr>
      <w:r w:rsidRPr="005C1D6D">
        <w:rPr>
          <w:rFonts w:eastAsiaTheme="majorEastAsia"/>
          <w:b/>
          <w:bCs/>
          <w:sz w:val="26"/>
          <w:szCs w:val="26"/>
        </w:rPr>
        <w:t xml:space="preserve">Violation: </w:t>
      </w:r>
    </w:p>
    <w:p w14:paraId="7703181F" w14:textId="65830BDF" w:rsidR="00FD4557" w:rsidRPr="007E17EA" w:rsidRDefault="008404C0" w:rsidP="00FD4557">
      <w:pPr>
        <w:keepNext/>
        <w:keepLines/>
        <w:spacing w:before="40" w:after="0"/>
        <w:outlineLvl w:val="3"/>
        <w:rPr>
          <w:rFonts w:eastAsiaTheme="majorEastAsia"/>
          <w:b/>
          <w:bCs/>
          <w:sz w:val="26"/>
          <w:szCs w:val="26"/>
        </w:rPr>
      </w:pPr>
      <w:r>
        <w:rPr>
          <w:rFonts w:eastAsiaTheme="majorEastAsia"/>
          <w:b/>
          <w:bCs/>
          <w:noProof/>
          <w:sz w:val="26"/>
          <w:szCs w:val="26"/>
        </w:rPr>
        <w:drawing>
          <wp:inline distT="0" distB="0" distL="0" distR="0" wp14:anchorId="6F6B51DC" wp14:editId="5D373CA5">
            <wp:extent cx="5486400" cy="3056890"/>
            <wp:effectExtent l="0" t="0" r="0" b="381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1"/>
                    <a:stretch>
                      <a:fillRect/>
                    </a:stretch>
                  </pic:blipFill>
                  <pic:spPr>
                    <a:xfrm>
                      <a:off x="0" y="0"/>
                      <a:ext cx="5486400" cy="3056890"/>
                    </a:xfrm>
                    <a:prstGeom prst="rect">
                      <a:avLst/>
                    </a:prstGeom>
                  </pic:spPr>
                </pic:pic>
              </a:graphicData>
            </a:graphic>
          </wp:inline>
        </w:drawing>
      </w:r>
      <w:r w:rsidR="00FD4557">
        <w:rPr>
          <w:rFonts w:eastAsiaTheme="majorEastAsia"/>
          <w:b/>
          <w:bCs/>
          <w:noProof/>
          <w:sz w:val="26"/>
          <w:szCs w:val="26"/>
        </w:rPr>
        <w:drawing>
          <wp:inline distT="0" distB="0" distL="0" distR="0" wp14:anchorId="0F8B78B7" wp14:editId="7543A62F">
            <wp:extent cx="6676589" cy="3206007"/>
            <wp:effectExtent l="0" t="0" r="381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12"/>
                    <a:stretch>
                      <a:fillRect/>
                    </a:stretch>
                  </pic:blipFill>
                  <pic:spPr>
                    <a:xfrm>
                      <a:off x="0" y="0"/>
                      <a:ext cx="6705508" cy="3219893"/>
                    </a:xfrm>
                    <a:prstGeom prst="rect">
                      <a:avLst/>
                    </a:prstGeom>
                  </pic:spPr>
                </pic:pic>
              </a:graphicData>
            </a:graphic>
          </wp:inline>
        </w:drawing>
      </w:r>
    </w:p>
    <w:p w14:paraId="4CC152F9" w14:textId="72E49BB6" w:rsidR="00FD4557" w:rsidRDefault="00FD4557" w:rsidP="00FD4557">
      <w:pPr>
        <w:keepNext/>
        <w:keepLines/>
        <w:spacing w:before="40" w:after="0"/>
        <w:outlineLvl w:val="3"/>
        <w:rPr>
          <w:rFonts w:eastAsiaTheme="majorEastAsia"/>
          <w:b/>
          <w:bCs/>
          <w:sz w:val="26"/>
          <w:szCs w:val="26"/>
        </w:rPr>
      </w:pPr>
      <w:r w:rsidRPr="005C1D6D">
        <w:rPr>
          <w:rFonts w:eastAsiaTheme="majorEastAsia"/>
          <w:b/>
          <w:bCs/>
          <w:sz w:val="26"/>
          <w:szCs w:val="26"/>
        </w:rPr>
        <w:t>Standards:</w:t>
      </w:r>
    </w:p>
    <w:p w14:paraId="473699E1" w14:textId="014F8F76" w:rsidR="00C43BA0" w:rsidRPr="005C1D6D" w:rsidRDefault="00C43BA0" w:rsidP="00FD4557">
      <w:pPr>
        <w:keepNext/>
        <w:keepLines/>
        <w:spacing w:before="40" w:after="0"/>
        <w:outlineLvl w:val="3"/>
        <w:rPr>
          <w:rFonts w:eastAsiaTheme="majorEastAsia"/>
          <w:b/>
          <w:bCs/>
          <w:sz w:val="26"/>
          <w:szCs w:val="26"/>
        </w:rPr>
      </w:pPr>
      <w:r>
        <w:rPr>
          <w:rFonts w:eastAsiaTheme="majorEastAsia"/>
          <w:b/>
          <w:bCs/>
          <w:sz w:val="26"/>
          <w:szCs w:val="26"/>
        </w:rPr>
        <w:t xml:space="preserve">Text </w:t>
      </w:r>
      <w:proofErr w:type="spellStart"/>
      <w:r>
        <w:rPr>
          <w:rFonts w:eastAsiaTheme="majorEastAsia"/>
          <w:b/>
          <w:bCs/>
          <w:sz w:val="26"/>
          <w:szCs w:val="26"/>
        </w:rPr>
        <w:t>ows</w:t>
      </w:r>
      <w:proofErr w:type="spellEnd"/>
      <w:r>
        <w:rPr>
          <w:rFonts w:eastAsiaTheme="majorEastAsia"/>
          <w:b/>
          <w:bCs/>
          <w:sz w:val="26"/>
          <w:szCs w:val="26"/>
        </w:rPr>
        <w:t xml:space="preserve"> spirit</w:t>
      </w:r>
    </w:p>
    <w:p w14:paraId="2F990216" w14:textId="77777777" w:rsidR="00FD4557" w:rsidRPr="00311C62" w:rsidRDefault="00FD4557" w:rsidP="00FD4557">
      <w:pPr>
        <w:pStyle w:val="Heading4"/>
      </w:pPr>
      <w:r w:rsidRPr="00311C62">
        <w:lastRenderedPageBreak/>
        <w:t xml:space="preserve">1] Level Playing Field – big schools can go around and scout and collect flows while small school debaters are left guessing That's key knowledge because it tells you what layers debaters </w:t>
      </w:r>
      <w:proofErr w:type="gramStart"/>
      <w:r w:rsidRPr="00311C62">
        <w:t>actually go</w:t>
      </w:r>
      <w:proofErr w:type="gramEnd"/>
      <w:r w:rsidRPr="00311C62">
        <w:t xml:space="preserve"> for like theory, K or util, which is key to plan the best possible strategy against them. Round reports solve because everyone can equally access the wiki.</w:t>
      </w:r>
    </w:p>
    <w:p w14:paraId="1BF1C17D" w14:textId="77777777" w:rsidR="00FD4557" w:rsidRPr="00311C62" w:rsidRDefault="00FD4557" w:rsidP="00FD4557">
      <w:pPr>
        <w:pStyle w:val="Heading4"/>
      </w:pPr>
      <w:r w:rsidRPr="00311C62">
        <w:t>2] Strat – Round reports help novices understand what the best debaters go for in the 2NR and 2AR in the context of the round. This is key to education – it teaches us how to make decisions given the big picture.</w:t>
      </w:r>
    </w:p>
    <w:p w14:paraId="19E96FBD" w14:textId="3D85CA48" w:rsidR="00E02329" w:rsidRDefault="00E02329" w:rsidP="00E02329">
      <w:pPr>
        <w:pStyle w:val="Heading3"/>
      </w:pPr>
      <w:r>
        <w:lastRenderedPageBreak/>
        <w:t>3</w:t>
      </w:r>
    </w:p>
    <w:p w14:paraId="3BECFE8E" w14:textId="77777777" w:rsidR="00466F62" w:rsidRDefault="00466F62" w:rsidP="00466F62">
      <w:pPr>
        <w:pStyle w:val="Heading4"/>
        <w:rPr>
          <w:rFonts w:cs="Calibri"/>
        </w:rPr>
      </w:pPr>
      <w:r w:rsidRPr="00F570EE">
        <w:rPr>
          <w:rFonts w:cs="Calibri"/>
        </w:rPr>
        <w:t>Permissibility and presumption negate</w:t>
      </w:r>
    </w:p>
    <w:p w14:paraId="0DEE6495" w14:textId="77777777" w:rsidR="00466F62" w:rsidRDefault="00466F62" w:rsidP="00466F62">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0D955730" w14:textId="77777777" w:rsidR="00466F62" w:rsidRDefault="00466F62" w:rsidP="00466F62">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353E829D" w14:textId="77777777" w:rsidR="00466F62" w:rsidRDefault="00466F62" w:rsidP="00466F62">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A258106" w14:textId="77777777" w:rsidR="00466F62" w:rsidRPr="004F2341" w:rsidRDefault="00466F62" w:rsidP="00466F62">
      <w:pPr>
        <w:pStyle w:val="Heading4"/>
      </w:pPr>
      <w:r>
        <w:t xml:space="preserve">4] </w:t>
      </w:r>
      <w:r w:rsidRPr="004F2341">
        <w:rPr>
          <w:u w:val="single"/>
        </w:rPr>
        <w:t>Affirmation theory-</w:t>
      </w:r>
      <w:r>
        <w:t xml:space="preserve"> Affirming requires unconditionally maintaining an obligation</w:t>
      </w:r>
    </w:p>
    <w:p w14:paraId="4BD3A1AA" w14:textId="46DDB3B6" w:rsidR="00466F62" w:rsidRPr="0028499F" w:rsidRDefault="00466F62" w:rsidP="00466F62">
      <w:pPr>
        <w:rPr>
          <w:rStyle w:val="Emphasis"/>
          <w:sz w:val="24"/>
        </w:rPr>
      </w:pPr>
      <w:r w:rsidRPr="0028499F">
        <w:rPr>
          <w:rStyle w:val="Emphasis"/>
          <w:sz w:val="24"/>
          <w:highlight w:val="green"/>
        </w:rPr>
        <w:t>Affirm: maintain as true.</w:t>
      </w:r>
    </w:p>
    <w:p w14:paraId="10EDD279" w14:textId="77777777" w:rsidR="00466F62" w:rsidRDefault="00466F62" w:rsidP="00466F62">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50ADF06A" w14:textId="77777777" w:rsidR="00466F62" w:rsidRPr="00466F62" w:rsidRDefault="00466F62" w:rsidP="00466F62"/>
    <w:p w14:paraId="7BD5F9BF" w14:textId="77777777" w:rsidR="00E02329" w:rsidRDefault="00E02329" w:rsidP="00E02329">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5ADB16B0" w14:textId="77777777" w:rsidR="00E02329" w:rsidRDefault="00E02329" w:rsidP="00E02329">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220232FC" w14:textId="77777777" w:rsidR="00E02329" w:rsidRDefault="00E02329" w:rsidP="00E02329">
      <w:pPr>
        <w:pStyle w:val="Heading4"/>
      </w:pPr>
      <w:r>
        <w:t>Scalar methods like comparison increases intervention – the persuasion of certain DA or advantages sway decisions – T/F binary is descriptive and technical.</w:t>
      </w:r>
    </w:p>
    <w:p w14:paraId="496AA73E" w14:textId="77777777" w:rsidR="00E02329" w:rsidRPr="00F346D7" w:rsidRDefault="00E02329" w:rsidP="00E02329">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1B9ECA1F" w14:textId="77777777" w:rsidR="00E02329" w:rsidRDefault="00E02329" w:rsidP="00E02329">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35BCBD83" w14:textId="77777777" w:rsidR="00E02329" w:rsidRPr="00803B86" w:rsidRDefault="00E02329" w:rsidP="00E02329">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449529FC" w14:textId="77777777" w:rsidR="00E02329" w:rsidRPr="00B26701" w:rsidRDefault="00E02329" w:rsidP="00E02329">
      <w:pPr>
        <w:pStyle w:val="Heading4"/>
      </w:pPr>
      <w:r>
        <w:t>Vote neg-</w:t>
      </w:r>
    </w:p>
    <w:p w14:paraId="297874C0" w14:textId="77777777" w:rsidR="00E02329" w:rsidRDefault="00E02329" w:rsidP="00E02329">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0D23B92D" w14:textId="77777777" w:rsidR="00E02329" w:rsidRDefault="00E02329" w:rsidP="00E02329">
      <w:r w:rsidRPr="000B5A6A">
        <w:t>https://www.merriam-webster.com/dictionary/to</w:t>
      </w:r>
      <w:hyperlink r:id="rId13" w:history="1"/>
    </w:p>
    <w:p w14:paraId="2E83BB81" w14:textId="77777777" w:rsidR="00E02329" w:rsidRPr="00611770" w:rsidRDefault="00E02329" w:rsidP="00E02329">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0EBD1AA2" w14:textId="77777777" w:rsidR="00E02329" w:rsidRDefault="00E02329" w:rsidP="00E02329">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07B3795E" w14:textId="77777777" w:rsidR="00E02329" w:rsidRDefault="00E02329" w:rsidP="00E02329">
      <w:pPr>
        <w:pStyle w:val="Heading4"/>
      </w:pPr>
      <w:r>
        <w:t xml:space="preserve">2] </w:t>
      </w:r>
      <w:proofErr w:type="spellStart"/>
      <w:r>
        <w:t>Merrian</w:t>
      </w:r>
      <w:proofErr w:type="spellEnd"/>
      <w:r>
        <w:t xml:space="preserve"> Websters defines right as  </w:t>
      </w:r>
    </w:p>
    <w:p w14:paraId="0B43CDB0" w14:textId="77777777" w:rsidR="00E02329" w:rsidRPr="00F41784" w:rsidRDefault="00E02329" w:rsidP="00E02329">
      <w:r w:rsidRPr="00F41784">
        <w:t>https://www.merriam-webster.com/dictionary/right</w:t>
      </w:r>
    </w:p>
    <w:p w14:paraId="433697CD" w14:textId="77777777" w:rsidR="00E02329" w:rsidRDefault="00E02329" w:rsidP="00E02329">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206A7C86" w14:textId="77777777" w:rsidR="00E02329" w:rsidRDefault="00E02329" w:rsidP="00E02329">
      <w:pPr>
        <w:pStyle w:val="Heading4"/>
      </w:pPr>
      <w:r>
        <w:t xml:space="preserve">But there is no base for strikes to be perpendicular to, so the </w:t>
      </w:r>
      <w:proofErr w:type="spellStart"/>
      <w:r>
        <w:t>rez</w:t>
      </w:r>
      <w:proofErr w:type="spellEnd"/>
      <w:r>
        <w:t xml:space="preserve"> does nothing</w:t>
      </w:r>
    </w:p>
    <w:p w14:paraId="3037ED7C" w14:textId="77777777" w:rsidR="00E02329" w:rsidRDefault="00E02329" w:rsidP="00E02329">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6C9E687D" w14:textId="77777777" w:rsidR="00E02329" w:rsidRDefault="00E02329" w:rsidP="00E02329">
      <w:pPr>
        <w:spacing w:after="0" w:line="240" w:lineRule="auto"/>
      </w:pPr>
      <w:r w:rsidRPr="00B56B19">
        <w:t>https://www.merriam-webster.com/dictionary/strike</w:t>
      </w:r>
    </w:p>
    <w:p w14:paraId="141B7754" w14:textId="77777777" w:rsidR="00E02329" w:rsidRDefault="00E02329" w:rsidP="00E02329">
      <w:pPr>
        <w:pStyle w:val="Heading4"/>
      </w:pPr>
      <w:r>
        <w:lastRenderedPageBreak/>
        <w:t xml:space="preserve">4] </w:t>
      </w:r>
      <w:proofErr w:type="spellStart"/>
      <w:r>
        <w:t>Merrian</w:t>
      </w:r>
      <w:proofErr w:type="spellEnd"/>
      <w:r>
        <w:t xml:space="preserve"> Websters defines workers as </w:t>
      </w:r>
    </w:p>
    <w:p w14:paraId="7CBD84FD" w14:textId="77777777" w:rsidR="00E02329" w:rsidRDefault="00E02329" w:rsidP="00E02329">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0DA3D5F3" w14:textId="77777777" w:rsidR="00E02329" w:rsidRPr="00AC67EA" w:rsidRDefault="00E02329" w:rsidP="00E02329">
      <w:r w:rsidRPr="00AC67EA">
        <w:t>https://www.merriam-webster.com/dictionary/worker</w:t>
      </w:r>
    </w:p>
    <w:p w14:paraId="61537E74" w14:textId="77777777" w:rsidR="00E02329" w:rsidRPr="00AD4714" w:rsidRDefault="00E02329" w:rsidP="00E02329">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5B27044D" w14:textId="77777777" w:rsidR="00E02329" w:rsidRDefault="00E02329" w:rsidP="00E02329">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4"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02DCE7DA" w14:textId="77777777" w:rsidR="00E02329" w:rsidRDefault="00E02329" w:rsidP="00E02329">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6FB73C8E" w14:textId="77777777" w:rsidR="00E02329" w:rsidRDefault="00E02329" w:rsidP="00E02329">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639B13CA" w14:textId="77777777" w:rsidR="00E02329" w:rsidRDefault="00E02329" w:rsidP="00E02329">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4F53150F" w14:textId="77777777" w:rsidR="00E02329" w:rsidRDefault="00E02329" w:rsidP="00E02329">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415BB0C6" w14:textId="77777777" w:rsidR="00E02329" w:rsidRPr="001B30FD" w:rsidRDefault="00E02329" w:rsidP="00E02329">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75996AFA" w14:textId="77777777" w:rsidR="00E02329" w:rsidRDefault="00E02329" w:rsidP="00E02329">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19A9EADD" w14:textId="77777777" w:rsidR="00E02329" w:rsidRDefault="00E02329" w:rsidP="00E02329"/>
    <w:p w14:paraId="26A3E572" w14:textId="77777777" w:rsidR="00E02329" w:rsidRDefault="00E02329" w:rsidP="00E02329">
      <w:pPr>
        <w:pStyle w:val="Heading3"/>
      </w:pPr>
      <w:r>
        <w:lastRenderedPageBreak/>
        <w:t>4</w:t>
      </w:r>
    </w:p>
    <w:p w14:paraId="78A612FD" w14:textId="51702BF5" w:rsidR="00E02329" w:rsidRDefault="00E02329" w:rsidP="00E02329">
      <w:pPr>
        <w:pStyle w:val="Heading4"/>
      </w:pPr>
      <w:r w:rsidRPr="00A3034A">
        <w:t xml:space="preserve">The standard is </w:t>
      </w:r>
      <w:r>
        <w:t xml:space="preserve">consistency with </w:t>
      </w:r>
      <w:r>
        <w:t>act hedonistic util</w:t>
      </w:r>
      <w:r w:rsidRPr="00A3034A">
        <w:t xml:space="preserve">. Prefer – </w:t>
      </w:r>
    </w:p>
    <w:p w14:paraId="1633662E" w14:textId="77777777" w:rsidR="00E02329" w:rsidRDefault="00E02329" w:rsidP="00E02329">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agonism</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4CE3A656" w14:textId="77777777" w:rsidR="00E02329" w:rsidRDefault="00E02329" w:rsidP="00E02329">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w:t>
      </w:r>
      <w:proofErr w:type="spellStart"/>
      <w:r w:rsidRPr="004A25F3">
        <w:t>args</w:t>
      </w:r>
      <w:proofErr w:type="spellEnd"/>
      <w:r w:rsidRPr="004A25F3">
        <w:t xml:space="preserve"> – proven by the fact that </w:t>
      </w:r>
      <w:r>
        <w:t>the same agonism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547110DA" w14:textId="77777777" w:rsidR="00E02329" w:rsidRDefault="00E02329" w:rsidP="00E02329">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10A04C59" w14:textId="77777777" w:rsidR="00E02329" w:rsidRDefault="00E02329" w:rsidP="00E02329">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xml:space="preserve">, economics, IR, etc. Outweighs since portable skills are the </w:t>
      </w:r>
      <w:proofErr w:type="gramStart"/>
      <w:r w:rsidRPr="004A25F3">
        <w:t>ultimate goal</w:t>
      </w:r>
      <w:proofErr w:type="gramEnd"/>
      <w:r w:rsidRPr="004A25F3">
        <w:t xml:space="preserve"> of debate.</w:t>
      </w:r>
    </w:p>
    <w:p w14:paraId="709D9AF1" w14:textId="77777777" w:rsidR="00E02329" w:rsidRPr="00D319C0" w:rsidRDefault="00E02329" w:rsidP="00E02329">
      <w:pPr>
        <w:pStyle w:val="Heading4"/>
        <w:rPr>
          <w:color w:val="FF0000"/>
        </w:rPr>
      </w:pPr>
      <w:r w:rsidRPr="00C66931">
        <w:rPr>
          <w:color w:val="FF0000"/>
        </w:rPr>
        <w:t>TJFs first – substance begs the question of a framework being good for debate – fairness is a gateway issue to deciding the better debater and education is the reason schools fund debate</w:t>
      </w:r>
    </w:p>
    <w:p w14:paraId="694DFA9F" w14:textId="77777777" w:rsidR="00E02329" w:rsidRDefault="00E02329" w:rsidP="00E02329">
      <w:pPr>
        <w:pStyle w:val="Heading4"/>
      </w:pPr>
      <w:r w:rsidRPr="00A3034A">
        <w:t>2 – No intent-foresight distinction – if I foresee a consequence, then it becomes part of my deliberation since its intrinsic to my action</w:t>
      </w:r>
    </w:p>
    <w:p w14:paraId="6F949554" w14:textId="77777777" w:rsidR="00E02329" w:rsidRDefault="00E02329" w:rsidP="00E02329">
      <w:pPr>
        <w:pStyle w:val="Heading4"/>
      </w:pPr>
      <w:r>
        <w:t>No intent foresight distinction for states.</w:t>
      </w:r>
    </w:p>
    <w:p w14:paraId="3231A31D" w14:textId="77777777" w:rsidR="00E02329" w:rsidRPr="00152744" w:rsidRDefault="00E02329" w:rsidP="00E02329">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54B6315" w14:textId="77777777" w:rsidR="00E02329" w:rsidRDefault="00E02329" w:rsidP="00E02329">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w:t>
      </w:r>
      <w:proofErr w:type="spellStart"/>
      <w:r w:rsidRPr="004E7D36">
        <w:rPr>
          <w:sz w:val="12"/>
        </w:rPr>
        <w:t>Pildes</w:t>
      </w:r>
      <w:proofErr w:type="spellEnd"/>
      <w:r w:rsidRPr="004E7D36">
        <w:rPr>
          <w:sz w:val="12"/>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w:t>
      </w:r>
      <w:r w:rsidRPr="004E7D36">
        <w:rPr>
          <w:sz w:val="12"/>
        </w:rPr>
        <w:lastRenderedPageBreak/>
        <w:t xml:space="preserve">of expression Anderson &amp; </w:t>
      </w:r>
      <w:proofErr w:type="spellStart"/>
      <w:r w:rsidRPr="004E7D36">
        <w:rPr>
          <w:sz w:val="12"/>
        </w:rPr>
        <w:t>Pildes</w:t>
      </w:r>
      <w:proofErr w:type="spellEnd"/>
      <w:r w:rsidRPr="004E7D36">
        <w:rPr>
          <w:sz w:val="12"/>
        </w:rPr>
        <w:t xml:space="preserve"> work with is amazingly broad, so that “To express an attitude through action is to act on the reasons the attitude gives us”; Anderson &amp; </w:t>
      </w:r>
      <w:proofErr w:type="spellStart"/>
      <w:r w:rsidRPr="004E7D36">
        <w:rPr>
          <w:sz w:val="12"/>
        </w:rPr>
        <w:t>Pildes</w:t>
      </w:r>
      <w:proofErr w:type="spellEnd"/>
      <w:r w:rsidRPr="004E7D36">
        <w:rPr>
          <w:sz w:val="12"/>
        </w:rPr>
        <w:t xml:space="preserve">, supra note 38, at 1510. If this is so, it seems that expression drops out of the </w:t>
      </w:r>
      <w:proofErr w:type="gramStart"/>
      <w:r w:rsidRPr="004E7D36">
        <w:rPr>
          <w:sz w:val="12"/>
        </w:rPr>
        <w:t>picture</w:t>
      </w:r>
      <w:proofErr w:type="gramEnd"/>
      <w:r w:rsidRPr="004E7D36">
        <w:rPr>
          <w:sz w:val="12"/>
        </w:rPr>
        <w:t xml:space="preserve"> and everything done with it can be done directly in terms of reasons. 43. This may be true of what Anderson and </w:t>
      </w:r>
      <w:proofErr w:type="spellStart"/>
      <w:r w:rsidRPr="004E7D36">
        <w:rPr>
          <w:sz w:val="12"/>
        </w:rPr>
        <w:t>Pildes</w:t>
      </w:r>
      <w:proofErr w:type="spellEnd"/>
      <w:r w:rsidRPr="004E7D36">
        <w:rPr>
          <w:sz w:val="12"/>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w:t>
      </w:r>
      <w:proofErr w:type="gramStart"/>
      <w:r w:rsidRPr="004E7D36">
        <w:rPr>
          <w:sz w:val="12"/>
        </w:rPr>
        <w:t>takes into account</w:t>
      </w:r>
      <w:proofErr w:type="gramEnd"/>
      <w:r w:rsidRPr="004E7D36">
        <w:rPr>
          <w:sz w:val="12"/>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824E469" w14:textId="77777777" w:rsidR="00E02329" w:rsidRPr="003121A9" w:rsidRDefault="00E02329" w:rsidP="00E02329">
      <w:pPr>
        <w:pStyle w:val="Heading4"/>
      </w:pPr>
      <w:r w:rsidRPr="003121A9">
        <w:t>3</w:t>
      </w:r>
      <w:r>
        <w:t xml:space="preserve"> - </w:t>
      </w:r>
      <w:r w:rsidRPr="003121A9">
        <w:t xml:space="preserve">Extinction first – </w:t>
      </w:r>
    </w:p>
    <w:p w14:paraId="2A5B6A6F" w14:textId="77777777" w:rsidR="00E02329" w:rsidRPr="00A3034A" w:rsidRDefault="00E02329" w:rsidP="00E02329">
      <w:pPr>
        <w:pStyle w:val="Heading4"/>
      </w:pPr>
      <w:r>
        <w:t>A</w:t>
      </w:r>
      <w:r w:rsidRPr="00A3034A">
        <w:t xml:space="preserve"> – Forecloses future improvement – we can never improve society because our impact is irreversible which proves moral uncertainty</w:t>
      </w:r>
    </w:p>
    <w:p w14:paraId="100EF972" w14:textId="77777777" w:rsidR="00E02329" w:rsidRPr="00A3034A" w:rsidRDefault="00E02329" w:rsidP="00E02329">
      <w:pPr>
        <w:pStyle w:val="Heading4"/>
      </w:pPr>
      <w:r>
        <w:t>B</w:t>
      </w:r>
      <w:r w:rsidRPr="00A3034A">
        <w:t xml:space="preserve"> – Turns suffering – mass death causes suffering because people can’t get access to resources and </w:t>
      </w:r>
      <w:proofErr w:type="gramStart"/>
      <w:r w:rsidRPr="00A3034A">
        <w:t>basic necessities</w:t>
      </w:r>
      <w:proofErr w:type="gramEnd"/>
    </w:p>
    <w:p w14:paraId="29844B14" w14:textId="77777777" w:rsidR="00E02329" w:rsidRDefault="00E02329" w:rsidP="00E02329">
      <w:pPr>
        <w:pStyle w:val="Heading4"/>
      </w:pPr>
      <w:r>
        <w:t>C</w:t>
      </w:r>
      <w:r w:rsidRPr="00A3034A">
        <w:t xml:space="preserve"> – Objectivity – body count is the most objective way to calculate impacts because comparing suffering is unethical</w:t>
      </w:r>
    </w:p>
    <w:p w14:paraId="53410EBD" w14:textId="046FDBC0" w:rsidR="00E02329" w:rsidRDefault="00E02329" w:rsidP="00E02329"/>
    <w:p w14:paraId="524E12B7" w14:textId="77777777" w:rsidR="00466F62" w:rsidRPr="00D319C0" w:rsidRDefault="00466F62" w:rsidP="00E02329"/>
    <w:p w14:paraId="01DF45A6" w14:textId="77777777" w:rsidR="00E02329" w:rsidRDefault="00E02329" w:rsidP="00E02329">
      <w:pPr>
        <w:pStyle w:val="Heading3"/>
      </w:pPr>
      <w:r>
        <w:lastRenderedPageBreak/>
        <w:t>5</w:t>
      </w:r>
    </w:p>
    <w:p w14:paraId="6D7FB4BD" w14:textId="77777777" w:rsidR="00E02329" w:rsidRDefault="00E02329" w:rsidP="00E02329">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5745A2C8" w14:textId="77777777" w:rsidR="00E02329" w:rsidRDefault="00E02329" w:rsidP="00E02329">
      <w:pPr>
        <w:pStyle w:val="Heading4"/>
      </w:pPr>
      <w:r>
        <w:t xml:space="preserve">Solves – the ICJ will </w:t>
      </w:r>
      <w:r>
        <w:rPr>
          <w:u w:val="single"/>
        </w:rPr>
        <w:t>rule in favor</w:t>
      </w:r>
      <w:r>
        <w:t xml:space="preserve"> of an unconditional right to strike.</w:t>
      </w:r>
    </w:p>
    <w:p w14:paraId="2582C79F" w14:textId="77777777" w:rsidR="00E02329" w:rsidRPr="00F2442E" w:rsidRDefault="00E02329" w:rsidP="00E02329">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530E6FF" w14:textId="77777777" w:rsidR="00E02329" w:rsidRDefault="00E02329" w:rsidP="00E0232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601A7C02" w14:textId="77777777" w:rsidR="00E02329" w:rsidRDefault="00E02329" w:rsidP="00E02329">
      <w:pPr>
        <w:rPr>
          <w:u w:val="single"/>
        </w:rPr>
      </w:pPr>
    </w:p>
    <w:p w14:paraId="73143B7B" w14:textId="77777777" w:rsidR="00E02329" w:rsidRDefault="00E02329" w:rsidP="00E02329">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6A3AC6F5" w14:textId="77777777" w:rsidR="00E02329" w:rsidRPr="00F2442E" w:rsidRDefault="00E02329" w:rsidP="00E02329">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6BEF86C8" w14:textId="77777777" w:rsidR="00E02329" w:rsidRPr="001C3A20" w:rsidRDefault="00E02329" w:rsidP="00E02329">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lastRenderedPageBreak/>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5F12A86E" w14:textId="77777777" w:rsidR="00E02329" w:rsidRPr="00F2442E" w:rsidRDefault="00E02329" w:rsidP="00E02329">
      <w:pPr>
        <w:rPr>
          <w:u w:val="single"/>
        </w:rPr>
      </w:pPr>
    </w:p>
    <w:p w14:paraId="69D474E0" w14:textId="77777777" w:rsidR="00E02329" w:rsidRDefault="00E02329" w:rsidP="00E02329"/>
    <w:p w14:paraId="1694AB51" w14:textId="77777777" w:rsidR="00E02329" w:rsidRDefault="00E02329" w:rsidP="00E02329">
      <w:pPr>
        <w:pStyle w:val="Heading4"/>
      </w:pPr>
      <w:r>
        <w:t xml:space="preserve">Nuke war causes extinction AND outweighs </w:t>
      </w:r>
      <w:r w:rsidRPr="00C339DB">
        <w:rPr>
          <w:u w:val="single"/>
        </w:rPr>
        <w:t>other</w:t>
      </w:r>
      <w:r>
        <w:t xml:space="preserve"> existential risks</w:t>
      </w:r>
    </w:p>
    <w:p w14:paraId="607CF227" w14:textId="77777777" w:rsidR="00E02329" w:rsidRPr="005E50AE" w:rsidRDefault="00E02329" w:rsidP="00E02329">
      <w:pPr>
        <w:pStyle w:val="ListParagraph"/>
        <w:numPr>
          <w:ilvl w:val="0"/>
          <w:numId w:val="12"/>
        </w:numPr>
      </w:pPr>
      <w:r>
        <w:t>Checked</w:t>
      </w:r>
    </w:p>
    <w:p w14:paraId="3462B70F" w14:textId="77777777" w:rsidR="00E02329" w:rsidRPr="00E530E8" w:rsidRDefault="00E02329" w:rsidP="00E02329">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3537D6F9" w14:textId="08076CC7" w:rsidR="00E02329" w:rsidRDefault="00E02329" w:rsidP="00E02329">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FE4C092" w14:textId="181B7E58" w:rsidR="00DC03F2" w:rsidRPr="00E02329" w:rsidRDefault="00DC03F2" w:rsidP="00DC03F2">
      <w:pPr>
        <w:pStyle w:val="Heading4"/>
      </w:pPr>
      <w:r>
        <w:t>Communication good – break norms</w:t>
      </w:r>
    </w:p>
    <w:p w14:paraId="4BA29160" w14:textId="2317D905" w:rsidR="00663A09" w:rsidRDefault="00663A09" w:rsidP="00663A09"/>
    <w:p w14:paraId="1E3644FF" w14:textId="77777777" w:rsidR="00E02329" w:rsidRPr="00E02329" w:rsidRDefault="00E02329" w:rsidP="00E02329"/>
    <w:sectPr w:rsidR="00E02329" w:rsidRPr="00E0232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9BF0A" w14:textId="77777777" w:rsidR="0054033A" w:rsidRDefault="0054033A" w:rsidP="00FD4557">
      <w:pPr>
        <w:spacing w:after="0" w:line="240" w:lineRule="auto"/>
      </w:pPr>
      <w:r>
        <w:separator/>
      </w:r>
    </w:p>
  </w:endnote>
  <w:endnote w:type="continuationSeparator" w:id="0">
    <w:p w14:paraId="273CDC15" w14:textId="77777777" w:rsidR="0054033A" w:rsidRDefault="0054033A" w:rsidP="00FD4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A89A" w14:textId="77777777" w:rsidR="0054033A" w:rsidRDefault="0054033A" w:rsidP="00FD4557">
      <w:pPr>
        <w:spacing w:after="0" w:line="240" w:lineRule="auto"/>
      </w:pPr>
      <w:r>
        <w:separator/>
      </w:r>
    </w:p>
  </w:footnote>
  <w:footnote w:type="continuationSeparator" w:id="0">
    <w:p w14:paraId="20E082D5" w14:textId="77777777" w:rsidR="0054033A" w:rsidRDefault="0054033A" w:rsidP="00FD4557">
      <w:pPr>
        <w:spacing w:after="0" w:line="240" w:lineRule="auto"/>
      </w:pPr>
      <w:r>
        <w:continuationSeparator/>
      </w:r>
    </w:p>
  </w:footnote>
  <w:footnote w:id="1">
    <w:p w14:paraId="24BF118D" w14:textId="77777777" w:rsidR="00E02329" w:rsidRPr="00752E9C" w:rsidRDefault="00E02329" w:rsidP="00E0232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1110239" w14:textId="77777777" w:rsidR="00E02329" w:rsidRPr="00855FDC" w:rsidRDefault="00E02329" w:rsidP="00E0232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B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F6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3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A09"/>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37C7"/>
    <w:rsid w:val="008266F9"/>
    <w:rsid w:val="008267E2"/>
    <w:rsid w:val="00826A9B"/>
    <w:rsid w:val="00834842"/>
    <w:rsid w:val="008404C0"/>
    <w:rsid w:val="00840E7B"/>
    <w:rsid w:val="008536AF"/>
    <w:rsid w:val="00853D40"/>
    <w:rsid w:val="008564FC"/>
    <w:rsid w:val="00864E76"/>
    <w:rsid w:val="008700B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72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BA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188"/>
    <w:rsid w:val="00DB699B"/>
    <w:rsid w:val="00DC0376"/>
    <w:rsid w:val="00DC03F2"/>
    <w:rsid w:val="00DC099B"/>
    <w:rsid w:val="00DC2BE5"/>
    <w:rsid w:val="00DC397D"/>
    <w:rsid w:val="00DD4CD4"/>
    <w:rsid w:val="00DD65A2"/>
    <w:rsid w:val="00DD6770"/>
    <w:rsid w:val="00DE0749"/>
    <w:rsid w:val="00DE1CE2"/>
    <w:rsid w:val="00DE3B0B"/>
    <w:rsid w:val="00DF1210"/>
    <w:rsid w:val="00DF31E9"/>
    <w:rsid w:val="00DF400D"/>
    <w:rsid w:val="00DF5C23"/>
    <w:rsid w:val="00E01DAD"/>
    <w:rsid w:val="00E021DC"/>
    <w:rsid w:val="00E02329"/>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4557"/>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7BD669"/>
  <w14:defaultImageDpi w14:val="300"/>
  <w15:docId w15:val="{4E7E228E-9CC7-FA41-B38D-8FF6A779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B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3B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B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Char"/>
    <w:basedOn w:val="Normal"/>
    <w:next w:val="Normal"/>
    <w:link w:val="Heading3Char"/>
    <w:uiPriority w:val="9"/>
    <w:unhideWhenUsed/>
    <w:qFormat/>
    <w:rsid w:val="00DE3B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DE3B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B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B0B"/>
  </w:style>
  <w:style w:type="character" w:customStyle="1" w:styleId="Heading1Char">
    <w:name w:val="Heading 1 Char"/>
    <w:aliases w:val="Pocket Char"/>
    <w:basedOn w:val="DefaultParagraphFont"/>
    <w:link w:val="Heading1"/>
    <w:uiPriority w:val="9"/>
    <w:rsid w:val="00DE3B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3B0B"/>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9"/>
    <w:rsid w:val="00DE3B0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E3B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DE3B0B"/>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link w:val="Title"/>
    <w:uiPriority w:val="1"/>
    <w:qFormat/>
    <w:rsid w:val="00DE3B0B"/>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DE3B0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E3B0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DE3B0B"/>
    <w:rPr>
      <w:color w:val="auto"/>
      <w:u w:val="none"/>
    </w:rPr>
  </w:style>
  <w:style w:type="paragraph" w:styleId="DocumentMap">
    <w:name w:val="Document Map"/>
    <w:basedOn w:val="Normal"/>
    <w:link w:val="DocumentMapChar"/>
    <w:uiPriority w:val="99"/>
    <w:semiHidden/>
    <w:unhideWhenUsed/>
    <w:rsid w:val="00DE3B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3B0B"/>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FD4557"/>
    <w:rPr>
      <w:vertAlign w:val="superscript"/>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D45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663A09"/>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styleId="Title">
    <w:name w:val="Title"/>
    <w:basedOn w:val="Normal"/>
    <w:next w:val="Normal"/>
    <w:link w:val="StyleUnderline"/>
    <w:uiPriority w:val="1"/>
    <w:qFormat/>
    <w:rsid w:val="00663A09"/>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663A09"/>
    <w:rPr>
      <w:rFonts w:asciiTheme="majorHAnsi" w:eastAsiaTheme="majorEastAsia" w:hAnsiTheme="majorHAnsi" w:cstheme="majorBidi"/>
      <w:spacing w:val="-10"/>
      <w:kern w:val="28"/>
      <w:sz w:val="56"/>
      <w:szCs w:val="56"/>
    </w:rPr>
  </w:style>
  <w:style w:type="paragraph" w:styleId="NoSpacing">
    <w:name w:val="No Spacing"/>
    <w:aliases w:val="Small Text,Tag and Ci,Note Level 21"/>
    <w:basedOn w:val="Heading1"/>
    <w:autoRedefine/>
    <w:uiPriority w:val="99"/>
    <w:qFormat/>
    <w:rsid w:val="00E0232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E02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sta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x.com/2015/6/29/8847863/holographic-principle-universe-theory-physic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12</Pages>
  <Words>4513</Words>
  <Characters>25729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2021-12-04T20:39:00Z</dcterms:created>
  <dcterms:modified xsi:type="dcterms:W3CDTF">2021-12-04T22:13:00Z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