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4E299" w14:textId="6157F739" w:rsidR="0038016C" w:rsidRDefault="0038016C" w:rsidP="0038016C">
      <w:pPr>
        <w:pStyle w:val="Heading3"/>
      </w:pPr>
      <w:r>
        <w:t>1</w:t>
      </w:r>
    </w:p>
    <w:p w14:paraId="5309DD19" w14:textId="04DE1BA3" w:rsidR="0038016C" w:rsidRPr="0038016C" w:rsidRDefault="0038016C" w:rsidP="0038016C">
      <w:pPr>
        <w:pStyle w:val="Heading4"/>
        <w:rPr>
          <w:bCs w:val="0"/>
        </w:rPr>
      </w:pPr>
      <w:bookmarkStart w:id="0" w:name="_Hlk94729355"/>
      <w:proofErr w:type="spellStart"/>
      <w:r>
        <w:rPr>
          <w:rStyle w:val="Style13ptBold"/>
          <w:b/>
          <w:bCs w:val="0"/>
        </w:rPr>
        <w:t>Interp</w:t>
      </w:r>
      <w:proofErr w:type="spellEnd"/>
      <w:r>
        <w:rPr>
          <w:rStyle w:val="Style13ptBold"/>
          <w:b/>
          <w:bCs w:val="0"/>
        </w:rPr>
        <w:t xml:space="preserve">: Debaters must not defend the hypothetical implementation of an explicit actor or action </w:t>
      </w:r>
    </w:p>
    <w:p w14:paraId="3C73E61E" w14:textId="77777777" w:rsidR="0038016C" w:rsidRPr="00CD32CB" w:rsidRDefault="0038016C" w:rsidP="0038016C">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2517550D" w14:textId="05B827DE" w:rsidR="0038016C" w:rsidRPr="00CD32CB" w:rsidRDefault="0038016C" w:rsidP="0038016C">
      <w:r w:rsidRPr="00CD32CB">
        <w:rPr>
          <w:rStyle w:val="Style13ptBold"/>
        </w:rPr>
        <w:t>Webster ND</w:t>
      </w:r>
      <w:r w:rsidRPr="00CD32CB">
        <w:t xml:space="preserve"> Definition of IS," Merriam Webster, </w:t>
      </w:r>
      <w:hyperlink r:id="rId9" w:history="1">
        <w:r w:rsidRPr="00CD32CB">
          <w:rPr>
            <w:rStyle w:val="Hyperlink"/>
          </w:rPr>
          <w:t>https://www.merriam-webster.com/dictionary/is</w:t>
        </w:r>
      </w:hyperlink>
      <w:r w:rsidRPr="00CD32CB">
        <w:t xml:space="preserve"> IS</w:t>
      </w:r>
    </w:p>
    <w:p w14:paraId="0B269091" w14:textId="77777777" w:rsidR="0038016C" w:rsidRPr="00CD32CB" w:rsidRDefault="0038016C" w:rsidP="0038016C">
      <w:pPr>
        <w:pStyle w:val="Heading4"/>
        <w:rPr>
          <w:rFonts w:cs="Arial"/>
        </w:rPr>
      </w:pPr>
      <w:r w:rsidRPr="00CD32CB">
        <w:rPr>
          <w:rFonts w:cs="Arial"/>
        </w:rPr>
        <w:t>Dialectical present tense means logical coherence which implies no implementation</w:t>
      </w:r>
    </w:p>
    <w:p w14:paraId="6184D108" w14:textId="77777777" w:rsidR="0038016C" w:rsidRPr="00CD32CB" w:rsidRDefault="0038016C" w:rsidP="0038016C">
      <w:r w:rsidRPr="00CD32CB">
        <w:rPr>
          <w:rStyle w:val="Style13ptBold"/>
        </w:rPr>
        <w:t>Your Dictionary ND</w:t>
      </w:r>
      <w:r w:rsidRPr="00CD32CB">
        <w:t xml:space="preserve">, "Dialectical Meaning," No Publication, </w:t>
      </w:r>
      <w:hyperlink r:id="rId10" w:history="1">
        <w:r w:rsidRPr="00CD32CB">
          <w:rPr>
            <w:rStyle w:val="Hyperlink"/>
          </w:rPr>
          <w:t>https://www.yourdictionary.com/dialectical</w:t>
        </w:r>
      </w:hyperlink>
      <w:r w:rsidRPr="00CD32CB">
        <w:t xml:space="preserve"> Cho</w:t>
      </w:r>
    </w:p>
    <w:p w14:paraId="3F540F40" w14:textId="77777777" w:rsidR="0038016C" w:rsidRPr="00CD32CB" w:rsidRDefault="0038016C" w:rsidP="0038016C">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16D9E0F2" w14:textId="77777777" w:rsidR="0038016C" w:rsidRPr="00CD32CB" w:rsidRDefault="0038016C" w:rsidP="0038016C">
      <w:pPr>
        <w:rPr>
          <w:rStyle w:val="Emphasis"/>
        </w:rPr>
      </w:pPr>
    </w:p>
    <w:p w14:paraId="43A5B637" w14:textId="77777777" w:rsidR="00A3707C" w:rsidRPr="00CD32CB" w:rsidRDefault="00A3707C" w:rsidP="00A3707C">
      <w:pPr>
        <w:pStyle w:val="Heading4"/>
        <w:rPr>
          <w:rFonts w:cs="Arial"/>
        </w:rPr>
      </w:pPr>
      <w:r w:rsidRPr="00CD32CB">
        <w:rPr>
          <w:rFonts w:cs="Arial"/>
        </w:rPr>
        <w:t xml:space="preserve">“BE” is a linking verb, not an action verb so implementation is incoherent </w:t>
      </w:r>
    </w:p>
    <w:p w14:paraId="474C33F2" w14:textId="77777777" w:rsidR="00A3707C" w:rsidRPr="00CD32CB" w:rsidRDefault="00A3707C" w:rsidP="00A3707C">
      <w:r w:rsidRPr="00CD32CB">
        <w:rPr>
          <w:rStyle w:val="Style13ptBold"/>
        </w:rPr>
        <w:t>Grammar Monster ND</w:t>
      </w:r>
      <w:r w:rsidRPr="00CD32CB">
        <w:t xml:space="preserve"> "Linking Verbs," Grammar Monster, </w:t>
      </w:r>
      <w:hyperlink r:id="rId11" w:history="1">
        <w:r w:rsidRPr="00CD32CB">
          <w:rPr>
            <w:rStyle w:val="Hyperlink"/>
          </w:rPr>
          <w:t>https://www.grammar-monster.com/glossary/linking_verbs.htm</w:t>
        </w:r>
      </w:hyperlink>
      <w:r w:rsidRPr="00CD32CB">
        <w:t xml:space="preserve"> CHO</w:t>
      </w:r>
      <w:r>
        <w:t xml:space="preserve"> [Brackets for Clarity]</w:t>
      </w:r>
    </w:p>
    <w:p w14:paraId="5171AE31" w14:textId="77777777" w:rsidR="00A3707C" w:rsidRPr="00CD32CB" w:rsidRDefault="00A3707C" w:rsidP="00A3707C">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w:t>
      </w:r>
      <w:r>
        <w:rPr>
          <w:rStyle w:val="Emphasis"/>
          <w:highlight w:val="green"/>
        </w:rPr>
        <w:t xml:space="preserve"> [George]</w:t>
      </w:r>
      <w:r w:rsidRPr="00CD32CB">
        <w:rPr>
          <w:rStyle w:val="Emphasis"/>
          <w:highlight w:val="green"/>
        </w:rPr>
        <w:t xml:space="preserve">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134817E" w14:textId="77777777" w:rsidR="00A3707C" w:rsidRPr="00B55AD5" w:rsidRDefault="00A3707C" w:rsidP="00A3707C"/>
    <w:p w14:paraId="12F970FB" w14:textId="77777777" w:rsidR="0038016C" w:rsidRPr="00CD32CB" w:rsidRDefault="0038016C" w:rsidP="0038016C">
      <w:r w:rsidRPr="00CD32CB">
        <w:rPr>
          <w:noProof/>
        </w:rPr>
        <w:drawing>
          <wp:inline distT="0" distB="0" distL="0" distR="0" wp14:anchorId="37EAE931" wp14:editId="4A00CB7A">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670083B" w14:textId="77777777" w:rsidR="0038016C" w:rsidRPr="00CD32CB" w:rsidRDefault="0038016C" w:rsidP="0038016C">
      <w:pPr>
        <w:rPr>
          <w:b/>
          <w:iCs/>
          <w:u w:val="single"/>
        </w:rPr>
      </w:pPr>
      <w:r w:rsidRPr="00CD32CB">
        <w:rPr>
          <w:noProof/>
        </w:rPr>
        <w:lastRenderedPageBreak/>
        <w:drawing>
          <wp:inline distT="0" distB="0" distL="0" distR="0" wp14:anchorId="1B8AE1FC" wp14:editId="3A0C5225">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12F87802" w14:textId="77777777" w:rsidR="0038016C" w:rsidRPr="00CD32CB" w:rsidRDefault="0038016C" w:rsidP="0038016C">
      <w:pPr>
        <w:rPr>
          <w:b/>
          <w:iCs/>
          <w:u w:val="single"/>
        </w:rPr>
      </w:pPr>
    </w:p>
    <w:p w14:paraId="61209D85" w14:textId="77777777" w:rsidR="0038016C" w:rsidRPr="00CD32CB" w:rsidRDefault="0038016C" w:rsidP="0038016C">
      <w:pPr>
        <w:pStyle w:val="Heading4"/>
        <w:rPr>
          <w:rFonts w:cs="Arial"/>
          <w:b w:val="0"/>
          <w:bCs w:val="0"/>
          <w:sz w:val="10"/>
          <w:szCs w:val="10"/>
        </w:rPr>
      </w:pPr>
      <w:r w:rsidRPr="00CD32CB">
        <w:rPr>
          <w:rFonts w:cs="Arial"/>
        </w:rPr>
        <w:t xml:space="preserve">Unjust means </w:t>
      </w:r>
      <w:r w:rsidRPr="00CD32CB">
        <w:rPr>
          <w:rFonts w:cs="Arial"/>
          <w:b w:val="0"/>
          <w:sz w:val="10"/>
          <w:szCs w:val="10"/>
        </w:rPr>
        <w:t>unjust adjective US /</w:t>
      </w:r>
      <w:proofErr w:type="spellStart"/>
      <w:r w:rsidRPr="00CD32CB">
        <w:rPr>
          <w:rFonts w:cs="Arial"/>
          <w:b w:val="0"/>
          <w:sz w:val="10"/>
          <w:szCs w:val="10"/>
        </w:rPr>
        <w:t>ʌnˈdʒʌst</w:t>
      </w:r>
      <w:proofErr w:type="spellEnd"/>
      <w:r w:rsidRPr="00CD32CB">
        <w:rPr>
          <w:rFonts w:cs="Arial"/>
          <w:b w:val="0"/>
          <w:sz w:val="10"/>
          <w:szCs w:val="10"/>
        </w:rPr>
        <w:t xml:space="preserve">/ </w:t>
      </w:r>
      <w:r w:rsidRPr="00CD32CB">
        <w:rPr>
          <w:rStyle w:val="Emphasis"/>
          <w:b/>
          <w:sz w:val="24"/>
          <w:szCs w:val="24"/>
          <w:highlight w:val="green"/>
        </w:rPr>
        <w:t>not morally right; not fair</w:t>
      </w:r>
      <w:r w:rsidRPr="00CD32CB">
        <w:rPr>
          <w:rFonts w:cs="Arial"/>
          <w:b w:val="0"/>
          <w:sz w:val="10"/>
          <w:szCs w:val="10"/>
        </w:rPr>
        <w:t xml:space="preserve">: </w:t>
      </w:r>
      <w:proofErr w:type="gramStart"/>
      <w:r w:rsidRPr="00CD32CB">
        <w:rPr>
          <w:rFonts w:cs="Arial"/>
          <w:b w:val="0"/>
          <w:sz w:val="10"/>
          <w:szCs w:val="10"/>
        </w:rPr>
        <w:t>New</w:t>
      </w:r>
      <w:proofErr w:type="gramEnd"/>
      <w:r w:rsidRPr="00CD32CB">
        <w:rPr>
          <w:rFonts w:cs="Arial"/>
          <w:b w:val="0"/>
          <w:sz w:val="10"/>
          <w:szCs w:val="10"/>
        </w:rPr>
        <w:t xml:space="preserve"> laws will protect employees against unjust dismissals. (Definition of unjust from the Cambridge Academic Content Dictionary © Cambridge University Press)</w:t>
      </w:r>
    </w:p>
    <w:p w14:paraId="3B47EB62" w14:textId="77777777" w:rsidR="0038016C" w:rsidRPr="00CD32CB" w:rsidRDefault="0038016C" w:rsidP="0038016C">
      <w:r w:rsidRPr="00CD32CB">
        <w:rPr>
          <w:rStyle w:val="Style13ptBold"/>
        </w:rPr>
        <w:t xml:space="preserve">That’s Cambridge Dictionary ND </w:t>
      </w:r>
      <w:r w:rsidRPr="00CD32CB">
        <w:t xml:space="preserve">[“Meaning of unjust in English” Cambridge Dictionary, </w:t>
      </w:r>
      <w:hyperlink r:id="rId14" w:history="1">
        <w:r w:rsidRPr="00CD32CB">
          <w:rPr>
            <w:rStyle w:val="Hyperlink"/>
          </w:rPr>
          <w:t>https://dictionary.cambridge.org/us/dictionary/english/unjust]</w:t>
        </w:r>
      </w:hyperlink>
    </w:p>
    <w:p w14:paraId="511DCFF0" w14:textId="77777777" w:rsidR="0038016C" w:rsidRDefault="0038016C" w:rsidP="0038016C"/>
    <w:p w14:paraId="7FBF1302" w14:textId="77777777" w:rsidR="0038016C" w:rsidRDefault="0038016C" w:rsidP="0038016C">
      <w:pPr>
        <w:pStyle w:val="Heading4"/>
      </w:pPr>
      <w:r>
        <w:t>Violation: They cannot defend hypothetical implementation and use the state – or they are Extra-T</w:t>
      </w:r>
    </w:p>
    <w:p w14:paraId="60493859" w14:textId="77777777" w:rsidR="0038016C" w:rsidRDefault="0038016C" w:rsidP="0038016C"/>
    <w:p w14:paraId="74039BA6" w14:textId="77777777" w:rsidR="0038016C" w:rsidRDefault="0038016C" w:rsidP="0038016C">
      <w:pPr>
        <w:pStyle w:val="Heading4"/>
      </w:pPr>
      <w:r>
        <w:t xml:space="preserve">Voter for limits and ground - imprecisely includes thousands of </w:t>
      </w:r>
      <w:proofErr w:type="spellStart"/>
      <w:r>
        <w:t>affs</w:t>
      </w:r>
      <w:proofErr w:type="spellEnd"/>
      <w:r>
        <w:t xml:space="preserve"> that expand appropriation and deprives us of the public regs counterplan - makes it impossible to be neg</w:t>
      </w:r>
    </w:p>
    <w:p w14:paraId="49773008" w14:textId="77777777" w:rsidR="0038016C" w:rsidRDefault="0038016C" w:rsidP="0038016C"/>
    <w:p w14:paraId="7C7A7F24" w14:textId="77777777" w:rsidR="0038016C" w:rsidRDefault="0038016C" w:rsidP="0038016C">
      <w:pPr>
        <w:pStyle w:val="Heading4"/>
      </w:pPr>
      <w:r>
        <w:t xml:space="preserve">Grammar - very idea of a topic rests on the assumption that words have stable meanings and relationships - precision internal link turns every piece of </w:t>
      </w:r>
      <w:proofErr w:type="spellStart"/>
      <w:r>
        <w:t>aff</w:t>
      </w:r>
      <w:proofErr w:type="spellEnd"/>
      <w:r>
        <w:t xml:space="preserve"> offense</w:t>
      </w:r>
    </w:p>
    <w:p w14:paraId="026C78ED" w14:textId="77777777" w:rsidR="0038016C" w:rsidRDefault="0038016C" w:rsidP="0038016C"/>
    <w:p w14:paraId="1667BE7E" w14:textId="77777777" w:rsidR="0038016C" w:rsidRPr="00044BF9" w:rsidRDefault="0038016C" w:rsidP="0038016C">
      <w:pPr>
        <w:pStyle w:val="Heading4"/>
      </w:pPr>
      <w:r>
        <w:lastRenderedPageBreak/>
        <w:t>Phil Ed – creates better ethical subjectivity and critical thinking that o/</w:t>
      </w:r>
      <w:proofErr w:type="spellStart"/>
      <w:r>
        <w:t>ws</w:t>
      </w:r>
      <w:proofErr w:type="spellEnd"/>
      <w:r>
        <w:t xml:space="preserve"> on uniqueness to LD.</w:t>
      </w:r>
      <w:r w:rsidRPr="00044BF9">
        <w:t xml:space="preserve"> </w:t>
      </w:r>
      <w:r>
        <w:t xml:space="preserve">Switch to policy and read the PTD </w:t>
      </w:r>
      <w:proofErr w:type="spellStart"/>
      <w:r>
        <w:t>aff</w:t>
      </w:r>
      <w:proofErr w:type="spellEnd"/>
      <w:r>
        <w:t xml:space="preserve"> on the water topic – solves all your offense</w:t>
      </w:r>
    </w:p>
    <w:p w14:paraId="2503A991" w14:textId="77777777" w:rsidR="0038016C" w:rsidRPr="00044BF9" w:rsidRDefault="0038016C" w:rsidP="0038016C"/>
    <w:p w14:paraId="188CD63A" w14:textId="77777777" w:rsidR="0038016C" w:rsidRDefault="0038016C" w:rsidP="0038016C">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w:t>
      </w:r>
    </w:p>
    <w:p w14:paraId="492EE82A" w14:textId="77777777" w:rsidR="003B1EC6" w:rsidRPr="003B1EC6" w:rsidRDefault="003B1EC6" w:rsidP="003B1EC6"/>
    <w:bookmarkEnd w:id="0"/>
    <w:p w14:paraId="4B1EE202" w14:textId="7AD1474E" w:rsidR="0038016C" w:rsidRDefault="0038016C" w:rsidP="00F601E6"/>
    <w:p w14:paraId="49A980B5" w14:textId="630BF8AE" w:rsidR="0038016C" w:rsidRDefault="0038016C" w:rsidP="0038016C">
      <w:pPr>
        <w:pStyle w:val="Heading3"/>
      </w:pPr>
      <w:r>
        <w:lastRenderedPageBreak/>
        <w:t>2</w:t>
      </w:r>
    </w:p>
    <w:p w14:paraId="7C8AF4E5" w14:textId="03BCCF3D" w:rsidR="003B1EC6" w:rsidRDefault="003B1EC6" w:rsidP="003B1EC6">
      <w:pPr>
        <w:pStyle w:val="Heading4"/>
      </w:pPr>
      <w:proofErr w:type="spellStart"/>
      <w:r>
        <w:t>Interp</w:t>
      </w:r>
      <w:proofErr w:type="spellEnd"/>
      <w:r>
        <w:t xml:space="preserve"> - If the Affirmative specifies “Appropriation that produces Debris” – they must clearly de-lineate a clear parameter and definition for what “produces Debris” constitutes.</w:t>
      </w:r>
    </w:p>
    <w:p w14:paraId="79E1DFE3" w14:textId="77777777" w:rsidR="003B1EC6" w:rsidRDefault="003B1EC6" w:rsidP="003B1EC6">
      <w:pPr>
        <w:pStyle w:val="Heading4"/>
      </w:pPr>
      <w:r>
        <w:t xml:space="preserve">Violation – they don’t. They will outline </w:t>
      </w:r>
      <w:proofErr w:type="gramStart"/>
      <w:r>
        <w:t>particular examples</w:t>
      </w:r>
      <w:proofErr w:type="gramEnd"/>
      <w:r>
        <w:t xml:space="preserve"> BUT that doesn’t meet since they haven’t produced a metric or </w:t>
      </w:r>
      <w:proofErr w:type="spellStart"/>
      <w:r>
        <w:t>brightline</w:t>
      </w:r>
      <w:proofErr w:type="spellEnd"/>
      <w:r>
        <w:t xml:space="preserve"> for determining what type of appropriation is banned by the Plan. </w:t>
      </w:r>
    </w:p>
    <w:p w14:paraId="6956FA7A" w14:textId="77777777" w:rsidR="003B1EC6" w:rsidRPr="002F585C" w:rsidRDefault="003B1EC6" w:rsidP="003B1EC6">
      <w:pPr>
        <w:pStyle w:val="Heading4"/>
      </w:pPr>
      <w:r>
        <w:t xml:space="preserve">Three Implications: </w:t>
      </w:r>
    </w:p>
    <w:p w14:paraId="48D413A1" w14:textId="77777777" w:rsidR="003B1EC6" w:rsidRDefault="003B1EC6" w:rsidP="003B1EC6">
      <w:pPr>
        <w:pStyle w:val="Heading4"/>
      </w:pPr>
      <w:r>
        <w:t xml:space="preserve">1] The term “debris” itself is meaningless in international agreements – impossible to come to consensus – independently means you Vote Negative on Presumption since the Plan does nothing since everyone will deny they produce “Debris”. </w:t>
      </w:r>
    </w:p>
    <w:p w14:paraId="0B01E441" w14:textId="77777777" w:rsidR="003B1EC6" w:rsidRPr="000C3818" w:rsidRDefault="003B1EC6" w:rsidP="003B1EC6">
      <w:proofErr w:type="spellStart"/>
      <w:r w:rsidRPr="0089558B">
        <w:rPr>
          <w:rStyle w:val="Style13ptBold"/>
        </w:rPr>
        <w:t>Munters</w:t>
      </w:r>
      <w:proofErr w:type="spellEnd"/>
      <w:r w:rsidRPr="0089558B">
        <w:rPr>
          <w:rStyle w:val="Style13ptBold"/>
        </w:rPr>
        <w:t xml:space="preserve"> 16</w:t>
      </w:r>
      <w:r w:rsidRPr="0089558B">
        <w:t xml:space="preserve"> Ward </w:t>
      </w:r>
      <w:proofErr w:type="spellStart"/>
      <w:r w:rsidRPr="0089558B">
        <w:t>Munters</w:t>
      </w:r>
      <w:proofErr w:type="spellEnd"/>
      <w:r w:rsidRPr="0089558B">
        <w:t xml:space="preserve"> 2016 "Space debris conundrum for international law makers"</w:t>
      </w:r>
      <w:r>
        <w:t xml:space="preserve"> </w:t>
      </w:r>
      <w:hyperlink r:id="rId15" w:history="1">
        <w:r w:rsidRPr="001F28C2">
          <w:rPr>
            <w:rStyle w:val="Hyperlink"/>
          </w:rPr>
          <w:t>https://room.eu.com/article/space-debris-conundrum-for-international-law-makers</w:t>
        </w:r>
      </w:hyperlink>
      <w:r>
        <w:t xml:space="preserve"> (</w:t>
      </w:r>
      <w:r w:rsidRPr="0089558B">
        <w:t>Leuven Centre for Global Governance Studies, Belgium</w:t>
      </w:r>
      <w:r>
        <w:t xml:space="preserve">)//Elmer </w:t>
      </w:r>
    </w:p>
    <w:p w14:paraId="629E4024" w14:textId="77777777" w:rsidR="003B1EC6" w:rsidRPr="00F53BF8" w:rsidRDefault="003B1EC6" w:rsidP="003B1EC6">
      <w:pPr>
        <w:rPr>
          <w:rStyle w:val="StyleUnderline"/>
        </w:rPr>
      </w:pPr>
      <w:r w:rsidRPr="008A3291">
        <w:rPr>
          <w:rStyle w:val="Emphasis"/>
          <w:highlight w:val="green"/>
        </w:rPr>
        <w:t>A</w:t>
      </w:r>
      <w:r w:rsidRPr="008A3291">
        <w:rPr>
          <w:highlight w:val="green"/>
          <w:u w:val="single"/>
        </w:rPr>
        <w:t xml:space="preserve"> </w:t>
      </w:r>
      <w:r w:rsidRPr="008A3291">
        <w:rPr>
          <w:rStyle w:val="Emphasis"/>
          <w:highlight w:val="green"/>
        </w:rPr>
        <w:t>fundamental</w:t>
      </w:r>
      <w:r w:rsidRPr="008A3291">
        <w:rPr>
          <w:highlight w:val="green"/>
          <w:u w:val="single"/>
        </w:rPr>
        <w:t xml:space="preserve"> </w:t>
      </w:r>
      <w:r w:rsidRPr="00F53BF8">
        <w:rPr>
          <w:u w:val="single"/>
        </w:rPr>
        <w:t xml:space="preserve">and abstract </w:t>
      </w:r>
      <w:r w:rsidRPr="008A3291">
        <w:rPr>
          <w:rStyle w:val="Emphasis"/>
          <w:highlight w:val="green"/>
          <w:bdr w:val="single" w:sz="18" w:space="0" w:color="auto"/>
        </w:rPr>
        <w:t>legal matter</w:t>
      </w:r>
      <w:r w:rsidRPr="008A3291">
        <w:rPr>
          <w:highlight w:val="green"/>
          <w:u w:val="single"/>
        </w:rPr>
        <w:t xml:space="preserve"> </w:t>
      </w:r>
      <w:r w:rsidRPr="00F53BF8">
        <w:rPr>
          <w:u w:val="single"/>
        </w:rPr>
        <w:t xml:space="preserve">in this regard, that appears almost too simple and too basic to present an obstacle, is the question: </w:t>
      </w:r>
      <w:r w:rsidRPr="008A3291">
        <w:rPr>
          <w:rStyle w:val="Emphasis"/>
          <w:highlight w:val="green"/>
        </w:rPr>
        <w:t>what is space debris</w:t>
      </w:r>
      <w:r w:rsidRPr="00F53BF8">
        <w:rPr>
          <w:sz w:val="16"/>
        </w:rPr>
        <w:t xml:space="preserve">? </w:t>
      </w:r>
      <w:r w:rsidRPr="008A3291">
        <w:rPr>
          <w:rStyle w:val="Emphasis"/>
          <w:highlight w:val="green"/>
        </w:rPr>
        <w:t>Technical definitions</w:t>
      </w:r>
      <w:r w:rsidRPr="008A3291">
        <w:rPr>
          <w:sz w:val="16"/>
          <w:highlight w:val="green"/>
        </w:rPr>
        <w:t xml:space="preserve"> </w:t>
      </w:r>
      <w:r w:rsidRPr="00F53BF8">
        <w:rPr>
          <w:sz w:val="16"/>
        </w:rPr>
        <w:t xml:space="preserve">used by scientists and engineers, as well as in the technical and non-binding Space Debris Mitigation Guidelines [3] of the United Nations Committee on the Peaceful Uses of Outer Space (UN COPUOS) focus unvaryingly on the non-functional nature of debris: space debris are all man-made objects, including fragments or elements thereof, in Earth orbit or re-entering into Earth’s atmosphere that are non-functional. </w:t>
      </w:r>
      <w:r w:rsidRPr="00F53BF8">
        <w:rPr>
          <w:rStyle w:val="StyleUnderline"/>
        </w:rPr>
        <w:t xml:space="preserve">However, this definition, intuitive as it may be, </w:t>
      </w:r>
      <w:r w:rsidRPr="008A3291">
        <w:rPr>
          <w:rStyle w:val="Emphasis"/>
          <w:highlight w:val="green"/>
        </w:rPr>
        <w:t xml:space="preserve">cannot easily be construed </w:t>
      </w:r>
      <w:r w:rsidRPr="008A3291">
        <w:rPr>
          <w:rStyle w:val="Emphasis"/>
          <w:highlight w:val="green"/>
          <w:bdr w:val="single" w:sz="18" w:space="0" w:color="auto"/>
        </w:rPr>
        <w:t>into an international legal definition</w:t>
      </w:r>
      <w:r w:rsidRPr="00F53BF8">
        <w:rPr>
          <w:sz w:val="16"/>
        </w:rPr>
        <w:t xml:space="preserve">. The </w:t>
      </w:r>
      <w:r w:rsidRPr="00F53BF8">
        <w:rPr>
          <w:rStyle w:val="StyleUnderline"/>
        </w:rPr>
        <w:t xml:space="preserve">existing </w:t>
      </w:r>
      <w:r w:rsidRPr="008A3291">
        <w:rPr>
          <w:rStyle w:val="Emphasis"/>
          <w:highlight w:val="green"/>
        </w:rPr>
        <w:t>space law treaties</w:t>
      </w:r>
      <w:r w:rsidRPr="008A3291">
        <w:rPr>
          <w:rStyle w:val="StyleUnderline"/>
          <w:highlight w:val="green"/>
        </w:rPr>
        <w:t xml:space="preserve"> </w:t>
      </w:r>
      <w:r w:rsidRPr="00F53BF8">
        <w:rPr>
          <w:rStyle w:val="StyleUnderline"/>
        </w:rPr>
        <w:t xml:space="preserve">simply </w:t>
      </w:r>
      <w:r w:rsidRPr="008A3291">
        <w:rPr>
          <w:rStyle w:val="Emphasis"/>
          <w:highlight w:val="green"/>
        </w:rPr>
        <w:t xml:space="preserve">do not mention ‘space </w:t>
      </w:r>
      <w:proofErr w:type="gramStart"/>
      <w:r w:rsidRPr="008A3291">
        <w:rPr>
          <w:rStyle w:val="Emphasis"/>
          <w:highlight w:val="green"/>
        </w:rPr>
        <w:t>debris’</w:t>
      </w:r>
      <w:proofErr w:type="gramEnd"/>
      <w:r w:rsidRPr="008A3291">
        <w:rPr>
          <w:rStyle w:val="Emphasis"/>
          <w:highlight w:val="green"/>
        </w:rPr>
        <w:t xml:space="preserve"> anywhere</w:t>
      </w:r>
      <w:r w:rsidRPr="00F53BF8">
        <w:rPr>
          <w:rStyle w:val="StyleUnderline"/>
        </w:rPr>
        <w:t>.</w:t>
      </w:r>
      <w:r w:rsidRPr="00F53BF8">
        <w:rPr>
          <w:sz w:val="16"/>
        </w:rPr>
        <w:t xml:space="preserve"> </w:t>
      </w:r>
      <w:r w:rsidRPr="00F53BF8">
        <w:rPr>
          <w:rStyle w:val="StyleUnderline"/>
        </w:rPr>
        <w:t xml:space="preserve">The closest related, </w:t>
      </w:r>
      <w:proofErr w:type="gramStart"/>
      <w:r w:rsidRPr="00F53BF8">
        <w:rPr>
          <w:rStyle w:val="Emphasis"/>
        </w:rPr>
        <w:t>applicable</w:t>
      </w:r>
      <w:proofErr w:type="gramEnd"/>
      <w:r w:rsidRPr="00F53BF8">
        <w:rPr>
          <w:rStyle w:val="Emphasis"/>
        </w:rPr>
        <w:t xml:space="preserve"> and rather vague term in the treaties is that of ‘space object’</w:t>
      </w:r>
      <w:r w:rsidRPr="00F53BF8">
        <w:rPr>
          <w:rStyle w:val="StyleUnderline"/>
        </w:rPr>
        <w:t>. The treaties apply this term to any object launched into space to determine important legal consequences such as which State has sole jurisdiction and control over the object, which State can register the object or which States are liable for damage caused by the object in space or on Earth</w:t>
      </w:r>
      <w:r w:rsidRPr="00F53BF8">
        <w:rPr>
          <w:sz w:val="16"/>
        </w:rPr>
        <w:t xml:space="preserve">. Nevertheless, </w:t>
      </w:r>
      <w:r w:rsidRPr="00F53BF8">
        <w:rPr>
          <w:rStyle w:val="StyleUnderline"/>
        </w:rPr>
        <w:t xml:space="preserve">the treaties </w:t>
      </w:r>
      <w:r w:rsidRPr="008A3291">
        <w:rPr>
          <w:rStyle w:val="Emphasis"/>
          <w:highlight w:val="green"/>
        </w:rPr>
        <w:t>do not define</w:t>
      </w:r>
      <w:r w:rsidRPr="008A3291">
        <w:rPr>
          <w:rStyle w:val="StyleUnderline"/>
          <w:highlight w:val="green"/>
        </w:rPr>
        <w:t xml:space="preserve"> </w:t>
      </w:r>
      <w:r w:rsidRPr="00F53BF8">
        <w:rPr>
          <w:rStyle w:val="StyleUnderline"/>
        </w:rPr>
        <w:t>what exactly is a ‘</w:t>
      </w:r>
      <w:r w:rsidRPr="008A3291">
        <w:rPr>
          <w:rStyle w:val="Emphasis"/>
          <w:highlight w:val="green"/>
        </w:rPr>
        <w:t>space object’</w:t>
      </w:r>
      <w:r w:rsidRPr="00F53BF8">
        <w:rPr>
          <w:rStyle w:val="StyleUnderline"/>
        </w:rPr>
        <w:t xml:space="preserve"> </w:t>
      </w:r>
      <w:r w:rsidRPr="008A3291">
        <w:rPr>
          <w:rStyle w:val="Emphasis"/>
          <w:highlight w:val="green"/>
        </w:rPr>
        <w:t>and</w:t>
      </w:r>
      <w:r w:rsidRPr="00F53BF8">
        <w:rPr>
          <w:rStyle w:val="StyleUnderline"/>
        </w:rPr>
        <w:t xml:space="preserve">, more importantly, they </w:t>
      </w:r>
      <w:r w:rsidRPr="008A3291">
        <w:rPr>
          <w:rStyle w:val="Emphasis"/>
          <w:highlight w:val="green"/>
        </w:rPr>
        <w:t>do not consider</w:t>
      </w:r>
      <w:r w:rsidRPr="008A3291">
        <w:rPr>
          <w:rStyle w:val="StyleUnderline"/>
          <w:highlight w:val="green"/>
        </w:rPr>
        <w:t xml:space="preserve"> </w:t>
      </w:r>
      <w:r w:rsidRPr="00F53BF8">
        <w:rPr>
          <w:rStyle w:val="StyleUnderline"/>
        </w:rPr>
        <w:t xml:space="preserve">the </w:t>
      </w:r>
      <w:r w:rsidRPr="008A3291">
        <w:rPr>
          <w:rStyle w:val="Emphasis"/>
          <w:highlight w:val="green"/>
        </w:rPr>
        <w:t>functional or non-functional nature</w:t>
      </w:r>
      <w:r w:rsidRPr="008A3291">
        <w:rPr>
          <w:rStyle w:val="StyleUnderline"/>
          <w:highlight w:val="green"/>
        </w:rPr>
        <w:t xml:space="preserve"> </w:t>
      </w:r>
      <w:r w:rsidRPr="00F53BF8">
        <w:rPr>
          <w:rStyle w:val="StyleUnderline"/>
        </w:rPr>
        <w:t>of the space object in applying these important legal consequences to it.</w:t>
      </w:r>
      <w:r w:rsidRPr="00F53BF8">
        <w:rPr>
          <w:sz w:val="16"/>
        </w:rPr>
        <w:t xml:space="preserve"> </w:t>
      </w:r>
      <w:r w:rsidRPr="00F53BF8">
        <w:rPr>
          <w:rStyle w:val="StyleUnderline"/>
        </w:rPr>
        <w:t xml:space="preserve">Therefore, international space law does </w:t>
      </w:r>
      <w:r w:rsidRPr="00F53BF8">
        <w:rPr>
          <w:rStyle w:val="Emphasis"/>
        </w:rPr>
        <w:t>not contain any provisions that could form the basis for a legal distinction between valuable spacecraft and supposedly worthless space debris</w:t>
      </w:r>
      <w:r w:rsidRPr="00F53BF8">
        <w:rPr>
          <w:rStyle w:val="StyleUnderline"/>
        </w:rPr>
        <w:t>.</w:t>
      </w:r>
      <w:r w:rsidRPr="00F53BF8">
        <w:rPr>
          <w:sz w:val="16"/>
        </w:rPr>
        <w:t xml:space="preserve"> Faced with this legal uncertainty, </w:t>
      </w:r>
      <w:proofErr w:type="gramStart"/>
      <w:r w:rsidRPr="00F53BF8">
        <w:rPr>
          <w:rStyle w:val="StyleUnderline"/>
        </w:rPr>
        <w:t>the majority of</w:t>
      </w:r>
      <w:proofErr w:type="gramEnd"/>
      <w:r w:rsidRPr="00F53BF8">
        <w:rPr>
          <w:rStyle w:val="StyleUnderline"/>
        </w:rPr>
        <w:t xml:space="preserve"> legal experts appear to agree that even if a satellite were to become non-functional or to catastrophically break up into separate fragments, these will still constitute a ‘space object’ for the purposes of the treaties and carry with them all legal ramifications thereof</w:t>
      </w:r>
      <w:r w:rsidRPr="00F53BF8">
        <w:rPr>
          <w:sz w:val="16"/>
        </w:rPr>
        <w:t xml:space="preserve">. The Outer Space Treaty declares that any State that has registered a space object shall retain legal and de facto jurisdiction and control over that object. </w:t>
      </w:r>
      <w:r w:rsidRPr="00F53BF8">
        <w:rPr>
          <w:rStyle w:val="StyleUnderline"/>
        </w:rPr>
        <w:t>As a piece of space debris is considered a ‘space object’ for legal purposes, even if the State were to lose de facto control over the space object when it becomes non-functional or uncontrollable, it retains sole legal jurisdiction and control as per the treaty</w:t>
      </w:r>
      <w:r w:rsidRPr="00F53BF8">
        <w:rPr>
          <w:sz w:val="16"/>
        </w:rPr>
        <w:t xml:space="preserve">. Therefore, </w:t>
      </w:r>
      <w:r w:rsidRPr="00F53BF8">
        <w:rPr>
          <w:rStyle w:val="StyleUnderline"/>
        </w:rPr>
        <w:t xml:space="preserve">it is </w:t>
      </w:r>
      <w:r w:rsidRPr="00F53BF8">
        <w:rPr>
          <w:rStyle w:val="Emphasis"/>
        </w:rPr>
        <w:t xml:space="preserve">uncertain whether space objects, their component parts or </w:t>
      </w:r>
      <w:r w:rsidRPr="00F53BF8">
        <w:rPr>
          <w:rStyle w:val="Emphasis"/>
        </w:rPr>
        <w:lastRenderedPageBreak/>
        <w:t>fragments thereof can legally be abandoned or considered abandoned, irrespective of their non-functional</w:t>
      </w:r>
      <w:r w:rsidRPr="00F53BF8">
        <w:rPr>
          <w:rStyle w:val="StyleUnderline"/>
        </w:rPr>
        <w:t xml:space="preserve"> status. This notion is reinforced by the fact that space faring States have hitherto not expressed a right to abandon their non-functional satellites in space. This sheds severe doubt on the possibility of introducing a legal regime of ‘salvage’, </w:t>
      </w:r>
      <w:proofErr w:type="gramStart"/>
      <w:r w:rsidRPr="00F53BF8">
        <w:rPr>
          <w:rStyle w:val="StyleUnderline"/>
        </w:rPr>
        <w:t>similar to</w:t>
      </w:r>
      <w:proofErr w:type="gramEnd"/>
      <w:r w:rsidRPr="00F53BF8">
        <w:rPr>
          <w:rStyle w:val="StyleUnderline"/>
        </w:rPr>
        <w:t xml:space="preserve"> maritime law, whereby actors other than the State of registry could freely remove pieces of debris that pose a threat in Earth orbit.</w:t>
      </w:r>
    </w:p>
    <w:p w14:paraId="6C0F9D8F" w14:textId="1FF796AC" w:rsidR="003B1EC6" w:rsidRDefault="003B1EC6" w:rsidP="003B1EC6">
      <w:pPr>
        <w:pStyle w:val="Heading4"/>
      </w:pPr>
      <w:r>
        <w:t xml:space="preserve">2] </w:t>
      </w:r>
      <w:r>
        <w:rPr>
          <w:u w:val="single"/>
        </w:rPr>
        <w:t>Shiftiness and Ground</w:t>
      </w:r>
      <w:r>
        <w:t xml:space="preserve"> – without anything de-lineated in the 1AC – it can become </w:t>
      </w:r>
      <w:r>
        <w:rPr>
          <w:u w:val="single"/>
        </w:rPr>
        <w:t>as limiting</w:t>
      </w:r>
      <w:r>
        <w:t xml:space="preserve"> or </w:t>
      </w:r>
      <w:r>
        <w:rPr>
          <w:u w:val="single"/>
        </w:rPr>
        <w:t>under-limiting</w:t>
      </w:r>
      <w:r>
        <w:t xml:space="preserve"> as they deem strategic given the 1NC which makes Negative </w:t>
      </w:r>
      <w:r>
        <w:rPr>
          <w:u w:val="single"/>
        </w:rPr>
        <w:t>prep impossible</w:t>
      </w:r>
      <w:r>
        <w:t xml:space="preserve"> since they will always shift the ground of “what produces debris”. Fairness is a voter since its necessary for Debate to continue to occur. </w:t>
      </w:r>
    </w:p>
    <w:p w14:paraId="2E1C7A26" w14:textId="24FB7F47" w:rsidR="003B1EC6" w:rsidRDefault="003B1EC6" w:rsidP="003B1EC6">
      <w:pPr>
        <w:pStyle w:val="Heading4"/>
      </w:pPr>
    </w:p>
    <w:p w14:paraId="26937968" w14:textId="1D79A04A" w:rsidR="003B1EC6" w:rsidRPr="003B1EC6" w:rsidRDefault="003B1EC6" w:rsidP="003B1EC6">
      <w:pPr>
        <w:pStyle w:val="Heading4"/>
      </w:pPr>
      <w:r>
        <w:t xml:space="preserve">2] </w:t>
      </w:r>
      <w:r w:rsidRPr="007D0451">
        <w:rPr>
          <w:u w:val="single"/>
        </w:rPr>
        <w:t>Real World</w:t>
      </w:r>
      <w:r>
        <w:t xml:space="preserve">-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1586DFBF" w14:textId="77777777" w:rsidR="003B1EC6" w:rsidRDefault="003B1EC6" w:rsidP="003B1EC6">
      <w:pPr>
        <w:pStyle w:val="Heading4"/>
      </w:pPr>
      <w:r>
        <w:t xml:space="preserve">CX checks is arbitrary and unlimiting – allows them to change from round-to-round which ruins pre-round prep since we can’t predict it. </w:t>
      </w:r>
    </w:p>
    <w:p w14:paraId="66503D93" w14:textId="77777777" w:rsidR="003B1EC6" w:rsidRPr="00B55AD5" w:rsidRDefault="003B1EC6" w:rsidP="003B1EC6"/>
    <w:p w14:paraId="5D501349" w14:textId="6400BCD2" w:rsidR="0038016C" w:rsidRDefault="0038016C" w:rsidP="0038016C"/>
    <w:p w14:paraId="0B58B44F" w14:textId="52A62AB0" w:rsidR="0038016C" w:rsidRDefault="0038016C" w:rsidP="0038016C">
      <w:pPr>
        <w:pStyle w:val="Heading3"/>
      </w:pPr>
      <w:r>
        <w:lastRenderedPageBreak/>
        <w:t>3</w:t>
      </w:r>
    </w:p>
    <w:p w14:paraId="5F2287B9" w14:textId="77777777" w:rsidR="00FF280B" w:rsidRDefault="00FF280B" w:rsidP="00FF280B">
      <w:pPr>
        <w:pStyle w:val="Heading4"/>
      </w:pPr>
      <w:r w:rsidRPr="004F7019">
        <w:t>The meta-ethic is procedural moral realism</w:t>
      </w:r>
      <w:r>
        <w:t>.</w:t>
      </w:r>
    </w:p>
    <w:p w14:paraId="4ABDBAD1" w14:textId="77777777" w:rsidR="00FF280B" w:rsidRDefault="00FF280B" w:rsidP="00FF280B">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BB4D25E" w14:textId="77777777" w:rsidR="00FF280B" w:rsidRDefault="00FF280B" w:rsidP="00FF280B">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12F75650" w14:textId="77777777" w:rsidR="00FF280B" w:rsidRDefault="00FF280B" w:rsidP="00FF280B">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5B6FFC6" w14:textId="77777777" w:rsidR="00FF280B" w:rsidRDefault="00FF280B" w:rsidP="00FF280B">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487F180F" w14:textId="77777777" w:rsidR="00FF280B" w:rsidRPr="00CB69A7" w:rsidRDefault="00FF280B" w:rsidP="00FF280B">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4ECADC14" w14:textId="77777777" w:rsidR="00FF280B" w:rsidRPr="00CB69A7" w:rsidRDefault="00FF280B" w:rsidP="00FF280B">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5769C2EE" w14:textId="77777777" w:rsidR="00FF280B" w:rsidRDefault="00FF280B" w:rsidP="00FF280B">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0F68123C" w14:textId="77777777" w:rsidR="00FF280B" w:rsidRDefault="00FF280B" w:rsidP="00FF280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26903F3F" w14:textId="77777777" w:rsidR="00FF280B" w:rsidRDefault="00FF280B" w:rsidP="00FF280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6D71740" w14:textId="77777777" w:rsidR="00FF280B" w:rsidRDefault="00FF280B" w:rsidP="00FF280B">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45BC0FB0" w14:textId="77777777" w:rsidR="00FF280B" w:rsidRDefault="00FF280B" w:rsidP="00FF280B">
      <w:pPr>
        <w:pStyle w:val="Heading4"/>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w:t>
      </w:r>
      <w:r>
        <w:t xml:space="preserve">Prefer non extinction </w:t>
      </w:r>
      <w:proofErr w:type="gramStart"/>
      <w:r>
        <w:t>intent based</w:t>
      </w:r>
      <w:proofErr w:type="gramEnd"/>
      <w:r>
        <w:t xml:space="preserve"> frameworks </w:t>
      </w:r>
    </w:p>
    <w:p w14:paraId="04A3B10B" w14:textId="700D6BE3" w:rsidR="00FF280B" w:rsidRDefault="00FF280B" w:rsidP="00FF280B">
      <w:pPr>
        <w:pStyle w:val="Heading4"/>
        <w:rPr>
          <w:rFonts w:asciiTheme="majorHAnsi" w:hAnsiTheme="majorHAnsi" w:cstheme="majorHAnsi"/>
          <w:color w:val="000000" w:themeColor="text1"/>
        </w:rPr>
      </w:pPr>
      <w:r>
        <w:rPr>
          <w:rFonts w:asciiTheme="majorHAnsi" w:hAnsiTheme="majorHAnsi" w:cstheme="majorHAnsi"/>
          <w:color w:val="000000" w:themeColor="text1"/>
        </w:rPr>
        <w:lastRenderedPageBreak/>
        <w:t xml:space="preserve">For </w:t>
      </w:r>
      <w:r w:rsidRPr="00392D46">
        <w:rPr>
          <w:rFonts w:asciiTheme="majorHAnsi" w:hAnsiTheme="majorHAnsi" w:cstheme="majorHAnsi"/>
          <w:color w:val="000000" w:themeColor="text1"/>
        </w:rPr>
        <w:t xml:space="preserve">Resource disparities- </w:t>
      </w:r>
      <w:r>
        <w:rPr>
          <w:rFonts w:asciiTheme="majorHAnsi" w:hAnsiTheme="majorHAnsi" w:cstheme="majorHAnsi"/>
          <w:color w:val="000000" w:themeColor="text1"/>
        </w:rPr>
        <w:t xml:space="preserve">1] </w:t>
      </w:r>
      <w:r w:rsidRPr="00392D46">
        <w:rPr>
          <w:rFonts w:asciiTheme="majorHAnsi" w:hAnsiTheme="majorHAnsi" w:cstheme="majorHAnsi"/>
          <w:color w:val="000000" w:themeColor="text1"/>
        </w:rPr>
        <w:t xml:space="preserve">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400C8588" w14:textId="390B0DB3" w:rsidR="00FF280B" w:rsidRDefault="00FF280B" w:rsidP="00FF280B">
      <w:pPr>
        <w:pStyle w:val="Heading4"/>
      </w:pPr>
      <w:r>
        <w:t>2</w:t>
      </w:r>
      <w:r w:rsidRPr="00703C39">
        <w:t xml:space="preserve">] </w:t>
      </w:r>
      <w:r>
        <w:t xml:space="preserve">Predictability – every individual engages within freedom and </w:t>
      </w:r>
      <w:proofErr w:type="spellStart"/>
      <w:r>
        <w:t>twhen</w:t>
      </w:r>
      <w:proofErr w:type="spellEnd"/>
      <w:r>
        <w:t xml:space="preserve"> going to school or using public infrastructure which means it’s the one political engagement everyone is aware of.  </w:t>
      </w:r>
    </w:p>
    <w:p w14:paraId="3B6B8128" w14:textId="2E07611C" w:rsidR="00FF280B" w:rsidRDefault="00FF280B" w:rsidP="00FF280B">
      <w:pPr>
        <w:pStyle w:val="Heading4"/>
      </w:pPr>
      <w:r>
        <w:t>3</w:t>
      </w:r>
      <w:r w:rsidRPr="00703C39">
        <w:t xml:space="preserve">] </w:t>
      </w:r>
      <w:r>
        <w:t xml:space="preserve">Political Education – politicians </w:t>
      </w:r>
      <w:proofErr w:type="gramStart"/>
      <w:r>
        <w:t>have to</w:t>
      </w:r>
      <w:proofErr w:type="gramEnd"/>
      <w:r>
        <w:t xml:space="preserve"> understand the categorical imperative and the process of deontology in order to know what powers they have and what they have to provide citizens. </w:t>
      </w:r>
      <w:proofErr w:type="gramStart"/>
      <w:r>
        <w:t>E.g.</w:t>
      </w:r>
      <w:proofErr w:type="gramEnd"/>
      <w:r>
        <w:t xml:space="preserve"> </w:t>
      </w:r>
      <w:proofErr w:type="spellStart"/>
      <w:r>
        <w:t>german</w:t>
      </w:r>
      <w:proofErr w:type="spellEnd"/>
      <w:r>
        <w:t xml:space="preserve"> governments prove</w:t>
      </w:r>
    </w:p>
    <w:p w14:paraId="011BF586" w14:textId="1176C4B9" w:rsidR="00FF280B" w:rsidRPr="007C4A3B" w:rsidRDefault="00FF280B" w:rsidP="00FF280B">
      <w:pPr>
        <w:pStyle w:val="Heading4"/>
      </w:pPr>
      <w:r>
        <w:t xml:space="preserve">4] </w:t>
      </w:r>
      <w:r w:rsidRPr="00703C39">
        <w:t xml:space="preserve">Resolvability </w:t>
      </w:r>
      <w:r>
        <w:t>–</w:t>
      </w:r>
      <w:r w:rsidRPr="00703C39">
        <w:t xml:space="preserve"> </w:t>
      </w:r>
      <w:r>
        <w:t>other debates create a mess of weighing and link turns</w:t>
      </w:r>
      <w:r w:rsidRPr="00703C39">
        <w:t xml:space="preserve">, but using </w:t>
      </w:r>
      <w:r>
        <w:t>Kant</w:t>
      </w:r>
      <w:r w:rsidRPr="00703C39">
        <w:t xml:space="preserve"> is easily resolvable because it becomes a question of </w:t>
      </w:r>
      <w:proofErr w:type="gramStart"/>
      <w:r w:rsidRPr="00703C39">
        <w:t>w</w:t>
      </w:r>
      <w:r>
        <w:t>hether or not</w:t>
      </w:r>
      <w:proofErr w:type="gramEnd"/>
      <w:r>
        <w:t xml:space="preserve"> it violates</w:t>
      </w:r>
    </w:p>
    <w:p w14:paraId="28A6D2D3" w14:textId="6728A2FF" w:rsidR="00FF280B" w:rsidRDefault="00FF280B" w:rsidP="00FF280B">
      <w:pPr>
        <w:pStyle w:val="Heading4"/>
        <w:rPr>
          <w:rFonts w:asciiTheme="majorHAnsi" w:hAnsiTheme="majorHAnsi" w:cstheme="majorHAnsi"/>
          <w:color w:val="000000" w:themeColor="text1"/>
        </w:rPr>
      </w:pPr>
      <w:r>
        <w:rPr>
          <w:rFonts w:asciiTheme="majorHAnsi" w:hAnsiTheme="majorHAnsi" w:cstheme="majorHAnsi"/>
          <w:color w:val="000000" w:themeColor="text1"/>
        </w:rPr>
        <w:t>5] F</w:t>
      </w:r>
      <w:r w:rsidRPr="000A5608">
        <w:rPr>
          <w:rFonts w:asciiTheme="majorHAnsi" w:hAnsiTheme="majorHAnsi" w:cstheme="majorHAnsi"/>
          <w:color w:val="000000" w:themeColor="text1"/>
        </w:rPr>
        <w:t xml:space="preserve">reedom is the key to the process of justification of arguments. Willing that we should abide by their ethical theory presupposes that we own ourselves in the first place. </w:t>
      </w:r>
    </w:p>
    <w:p w14:paraId="1D01F232" w14:textId="25F025FC" w:rsidR="00FF280B" w:rsidRPr="00FF280B" w:rsidRDefault="00FF280B" w:rsidP="00FF280B">
      <w:r>
        <w:t xml:space="preserve">6] </w:t>
      </w:r>
    </w:p>
    <w:p w14:paraId="22F2A486" w14:textId="0663B06D" w:rsidR="00FF280B" w:rsidRDefault="00FF280B" w:rsidP="00FF280B">
      <w:pPr>
        <w:pStyle w:val="Heading4"/>
      </w:pPr>
      <w:r>
        <w:t xml:space="preserve">No new 1AR framework justifications – Anything else </w:t>
      </w:r>
      <w:r w:rsidRPr="00A257D8">
        <w:t xml:space="preserve">kills 1NC strategy since I </w:t>
      </w:r>
      <w:proofErr w:type="spellStart"/>
      <w:r w:rsidRPr="00A257D8">
        <w:t>premised</w:t>
      </w:r>
      <w:proofErr w:type="spellEnd"/>
      <w:r w:rsidRPr="00A257D8">
        <w:t xml:space="preserve"> my engagement o</w:t>
      </w:r>
      <w:r>
        <w:t>ff a lack of it in the 1AC – It also justifies overloading the 2NR with new arguments</w:t>
      </w:r>
      <w:r w:rsidRPr="00A257D8">
        <w:t xml:space="preserve">. </w:t>
      </w:r>
    </w:p>
    <w:p w14:paraId="397407C3" w14:textId="66D0DDE4" w:rsidR="00FF280B" w:rsidRDefault="00FF280B" w:rsidP="00FF280B">
      <w:pPr>
        <w:pStyle w:val="Heading4"/>
      </w:pPr>
      <w:r>
        <w:t>Negate</w:t>
      </w:r>
    </w:p>
    <w:p w14:paraId="48FBC822" w14:textId="77777777" w:rsidR="00FF280B" w:rsidRPr="00742C76" w:rsidRDefault="00FF280B" w:rsidP="00FF280B">
      <w:pPr>
        <w:pStyle w:val="Heading4"/>
        <w:rPr>
          <w:rFonts w:cs="Calibri"/>
        </w:rPr>
      </w:pPr>
      <w:r w:rsidRPr="00742C76">
        <w:rPr>
          <w:rFonts w:cs="Calibri"/>
        </w:rPr>
        <w:t>1] Libertarianism mandates a market-oriented approach to space—that negates</w:t>
      </w:r>
    </w:p>
    <w:p w14:paraId="7E39A1FB" w14:textId="77777777" w:rsidR="00FF280B" w:rsidRPr="00742C76" w:rsidRDefault="00FF280B" w:rsidP="00FF280B">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6" w:history="1">
        <w:r w:rsidRPr="00742C76">
          <w:rPr>
            <w:rStyle w:val="Hyperlink"/>
            <w:sz w:val="16"/>
            <w:szCs w:val="16"/>
          </w:rPr>
          <w:t>https://abovethelaw.com/2020/01/space-law-can-only-be-libertarian-minded/</w:t>
        </w:r>
      </w:hyperlink>
      <w:r w:rsidRPr="00742C76">
        <w:rPr>
          <w:sz w:val="16"/>
          <w:szCs w:val="16"/>
        </w:rPr>
        <w:t>] TDI</w:t>
      </w:r>
    </w:p>
    <w:p w14:paraId="04080E07" w14:textId="77777777" w:rsidR="00FF280B" w:rsidRPr="008B5772" w:rsidRDefault="00FF280B" w:rsidP="00FF280B">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w:t>
      </w:r>
      <w:r w:rsidRPr="00742C76">
        <w:rPr>
          <w:sz w:val="12"/>
        </w:rPr>
        <w:lastRenderedPageBreak/>
        <w:t xml:space="preserve">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7CF3004B" w14:textId="77777777" w:rsidR="00FF280B" w:rsidRPr="00742C76" w:rsidRDefault="00FF280B" w:rsidP="00FF280B">
      <w:pPr>
        <w:pStyle w:val="Heading4"/>
        <w:rPr>
          <w:rStyle w:val="StyleUnderline"/>
          <w:rFonts w:cs="Calibri"/>
          <w:u w:val="none"/>
        </w:rPr>
      </w:pPr>
      <w:r w:rsidRPr="00742C76">
        <w:rPr>
          <w:rStyle w:val="StyleUnderline"/>
          <w:rFonts w:cs="Calibri"/>
          <w:u w:val="none"/>
        </w:rPr>
        <w:t>2] Property rights in space can be consistent with international law</w:t>
      </w:r>
    </w:p>
    <w:p w14:paraId="115F3B5B" w14:textId="77777777" w:rsidR="00FF280B" w:rsidRPr="00742C76" w:rsidRDefault="00FF280B" w:rsidP="00FF280B">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7"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0D74BA26" w14:textId="77777777" w:rsidR="00FF280B" w:rsidRPr="00742C76" w:rsidRDefault="00FF280B" w:rsidP="00FF280B">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6C62BA3E" w14:textId="77777777" w:rsidR="00FF280B" w:rsidRPr="00FF280B" w:rsidRDefault="00FF280B" w:rsidP="00FF280B"/>
    <w:sectPr w:rsidR="00FF280B" w:rsidRPr="00FF280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10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C6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018"/>
    <w:rsid w:val="00100B28"/>
    <w:rsid w:val="00117316"/>
    <w:rsid w:val="001209B4"/>
    <w:rsid w:val="001637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16C"/>
    <w:rsid w:val="00383071"/>
    <w:rsid w:val="00383B19"/>
    <w:rsid w:val="00384CBC"/>
    <w:rsid w:val="003933F9"/>
    <w:rsid w:val="00395864"/>
    <w:rsid w:val="00396557"/>
    <w:rsid w:val="00397316"/>
    <w:rsid w:val="003A248F"/>
    <w:rsid w:val="003A4D9C"/>
    <w:rsid w:val="003B1668"/>
    <w:rsid w:val="003B1EC6"/>
    <w:rsid w:val="003C5F4C"/>
    <w:rsid w:val="003D5EA8"/>
    <w:rsid w:val="003D7B28"/>
    <w:rsid w:val="003E305E"/>
    <w:rsid w:val="003E34DB"/>
    <w:rsid w:val="003E5302"/>
    <w:rsid w:val="003E5BF1"/>
    <w:rsid w:val="003F2452"/>
    <w:rsid w:val="003F41EA"/>
    <w:rsid w:val="003F7DF0"/>
    <w:rsid w:val="004039AF"/>
    <w:rsid w:val="00407AFF"/>
    <w:rsid w:val="0041155D"/>
    <w:rsid w:val="00413B3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67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F3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0C3"/>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07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5D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66AF1"/>
  <w14:defaultImageDpi w14:val="300"/>
  <w15:docId w15:val="{BF820FB3-6C92-314B-924A-4891401AE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5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65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5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B865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 Ch,T,t,Tag1"/>
    <w:basedOn w:val="Normal"/>
    <w:next w:val="Normal"/>
    <w:link w:val="Heading4Char"/>
    <w:uiPriority w:val="9"/>
    <w:unhideWhenUsed/>
    <w:qFormat/>
    <w:rsid w:val="00B865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65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5D5"/>
  </w:style>
  <w:style w:type="character" w:customStyle="1" w:styleId="Heading1Char">
    <w:name w:val="Heading 1 Char"/>
    <w:aliases w:val="Pocket Char"/>
    <w:basedOn w:val="DefaultParagraphFont"/>
    <w:link w:val="Heading1"/>
    <w:uiPriority w:val="9"/>
    <w:rsid w:val="00B865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5D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865D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
    <w:basedOn w:val="DefaultParagraphFont"/>
    <w:link w:val="Heading4"/>
    <w:uiPriority w:val="9"/>
    <w:rsid w:val="00B865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65D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B865D5"/>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B865D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65D5"/>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B865D5"/>
    <w:rPr>
      <w:color w:val="auto"/>
      <w:u w:val="none"/>
    </w:rPr>
  </w:style>
  <w:style w:type="paragraph" w:styleId="DocumentMap">
    <w:name w:val="Document Map"/>
    <w:basedOn w:val="Normal"/>
    <w:link w:val="DocumentMapChar"/>
    <w:uiPriority w:val="99"/>
    <w:semiHidden/>
    <w:unhideWhenUsed/>
    <w:rsid w:val="00B865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65D5"/>
    <w:rPr>
      <w:rFonts w:ascii="Lucida Grande" w:hAnsi="Lucida Grande" w:cs="Lucida Grande"/>
    </w:rPr>
  </w:style>
  <w:style w:type="paragraph" w:customStyle="1" w:styleId="textbold">
    <w:name w:val="text bold"/>
    <w:basedOn w:val="Normal"/>
    <w:link w:val="Emphasis"/>
    <w:uiPriority w:val="20"/>
    <w:qFormat/>
    <w:rsid w:val="0038016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38016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A3707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cei.org/wp-content/uploads/2012/04/Rand-Simberg-Homesteading-the-Final-Frontier.pdf" TargetMode="External"/><Relationship Id="rId2" Type="http://schemas.openxmlformats.org/officeDocument/2006/relationships/customXml" Target="../customXml/item2.xml"/><Relationship Id="rId16" Type="http://schemas.openxmlformats.org/officeDocument/2006/relationships/hyperlink" Target="https://abovethelaw.com/2020/01/space-law-can-only-be-libertarian-mind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ammar-monster.com/glossary/linking_verbs.htm" TargetMode="External"/><Relationship Id="rId5" Type="http://schemas.openxmlformats.org/officeDocument/2006/relationships/numbering" Target="numbering.xml"/><Relationship Id="rId15" Type="http://schemas.openxmlformats.org/officeDocument/2006/relationships/hyperlink" Target="https://room.eu.com/article/space-debris-conundrum-for-international-law-makers" TargetMode="External"/><Relationship Id="rId10" Type="http://schemas.openxmlformats.org/officeDocument/2006/relationships/hyperlink" Target="https://www.yourdictionary.com/dialectica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is" TargetMode="External"/><Relationship Id="rId14" Type="http://schemas.openxmlformats.org/officeDocument/2006/relationships/hyperlink" Target="https://dictionary.cambridge.org/us/dictionary/english/unjust%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8</Pages>
  <Words>2639</Words>
  <Characters>15045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2022-02-18T00:16:00Z</dcterms:created>
  <dcterms:modified xsi:type="dcterms:W3CDTF">2022-02-18T21:17:00Z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