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B2A0B" w14:textId="4B528ED3" w:rsidR="00325DF7" w:rsidRDefault="00325DF7" w:rsidP="00325DF7">
      <w:pPr>
        <w:pStyle w:val="Heading3"/>
      </w:pPr>
      <w:r>
        <w:t>1</w:t>
      </w:r>
    </w:p>
    <w:p w14:paraId="46D1B9F7" w14:textId="738E72BA" w:rsidR="00D63E07" w:rsidRDefault="00325DF7" w:rsidP="00325DF7">
      <w:pPr>
        <w:pStyle w:val="Heading4"/>
      </w:pPr>
      <w:r>
        <w:t xml:space="preserve">Interpretation – </w:t>
      </w:r>
      <w:r w:rsidRPr="00A34BE4">
        <w:t>Debaters must disclose all constructive positions in cite boxes on the 2021-22 NDCA LD wiki.</w:t>
      </w:r>
      <w:r>
        <w:t xml:space="preserve"> </w:t>
      </w:r>
      <w:r w:rsidR="00DC3004">
        <w:t xml:space="preserve"> I</w:t>
      </w:r>
      <w:r>
        <w:t xml:space="preserve">f cites don’t work, they should </w:t>
      </w:r>
      <w:r w:rsidR="00D63E07">
        <w:t xml:space="preserve">disclose entry titles as a summary of their position. To clarify – instead of having no entry title, this can be either the author of your position, the description of the plan text, or framework text. </w:t>
      </w:r>
    </w:p>
    <w:p w14:paraId="4100E834" w14:textId="0AB7C373" w:rsidR="00325DF7" w:rsidRDefault="00325DF7" w:rsidP="00325DF7">
      <w:pPr>
        <w:pStyle w:val="Heading4"/>
      </w:pPr>
      <w:r>
        <w:t>Violation – Check Screenshots</w:t>
      </w:r>
      <w:r>
        <w:rPr>
          <w:noProof/>
        </w:rPr>
        <w:drawing>
          <wp:inline distT="0" distB="0" distL="0" distR="0" wp14:anchorId="3E7F32DE" wp14:editId="2288B80C">
            <wp:extent cx="5400190" cy="2731811"/>
            <wp:effectExtent l="0" t="0" r="0" b="0"/>
            <wp:docPr id="3" name="Picture 3" descr="Graphical user interface, text,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email&#10;&#10;Description automatically generated"/>
                    <pic:cNvPicPr/>
                  </pic:nvPicPr>
                  <pic:blipFill>
                    <a:blip r:embed="rId11"/>
                    <a:stretch>
                      <a:fillRect/>
                    </a:stretch>
                  </pic:blipFill>
                  <pic:spPr>
                    <a:xfrm>
                      <a:off x="0" y="0"/>
                      <a:ext cx="5422326" cy="2743009"/>
                    </a:xfrm>
                    <a:prstGeom prst="rect">
                      <a:avLst/>
                    </a:prstGeom>
                  </pic:spPr>
                </pic:pic>
              </a:graphicData>
            </a:graphic>
          </wp:inline>
        </w:drawing>
      </w:r>
    </w:p>
    <w:p w14:paraId="5AD8F5A5" w14:textId="50D8DCD8" w:rsidR="00325DF7" w:rsidRDefault="00325DF7" w:rsidP="00325DF7">
      <w:pPr>
        <w:pStyle w:val="Heading4"/>
      </w:pPr>
      <w:r>
        <w:t xml:space="preserve">1] Wiki rules and accessibility – inclusion is a voter because you can’t debate if you can’t participate </w:t>
      </w:r>
    </w:p>
    <w:p w14:paraId="5054A437" w14:textId="77777777" w:rsidR="00325DF7" w:rsidRPr="001F3021" w:rsidRDefault="00325DF7" w:rsidP="00325DF7">
      <w:r w:rsidRPr="001F3021">
        <w:rPr>
          <w:rFonts w:eastAsiaTheme="majorEastAsia" w:cstheme="majorBidi"/>
          <w:b/>
          <w:iCs/>
          <w:sz w:val="26"/>
        </w:rPr>
        <w:t>Wiki Admin</w:t>
      </w:r>
      <w:r>
        <w:t xml:space="preserve"> </w:t>
      </w:r>
      <w:r w:rsidRPr="001F3021">
        <w:rPr>
          <w:sz w:val="18"/>
          <w:szCs w:val="18"/>
        </w:rPr>
        <w:t xml:space="preserve">[Administrator, "NDCA LD 2021-2022," No Publication, </w:t>
      </w:r>
      <w:hyperlink r:id="rId12" w:history="1">
        <w:r w:rsidRPr="001F3021">
          <w:rPr>
            <w:rStyle w:val="Hyperlink"/>
            <w:sz w:val="18"/>
            <w:szCs w:val="18"/>
          </w:rPr>
          <w:t>https://hsld.debatecoaches.org/Main //</w:t>
        </w:r>
      </w:hyperlink>
      <w:r w:rsidRPr="001F3021">
        <w:rPr>
          <w:sz w:val="18"/>
          <w:szCs w:val="18"/>
        </w:rPr>
        <w:t xml:space="preserve"> JB]</w:t>
      </w:r>
    </w:p>
    <w:p w14:paraId="5A2CB3B0" w14:textId="77777777" w:rsidR="00325DF7" w:rsidRPr="001F3021" w:rsidRDefault="00325DF7" w:rsidP="00325DF7">
      <w:pPr>
        <w:rPr>
          <w:sz w:val="16"/>
        </w:rPr>
      </w:pPr>
      <w:r w:rsidRPr="001F3021">
        <w:rPr>
          <w:sz w:val="16"/>
        </w:rPr>
        <w:t xml:space="preserve">When possible, </w:t>
      </w:r>
      <w:r w:rsidRPr="001F3021">
        <w:rPr>
          <w:b/>
          <w:bCs/>
          <w:highlight w:val="green"/>
          <w:u w:val="single"/>
        </w:rPr>
        <w:t>complete citations</w:t>
      </w:r>
      <w:r w:rsidRPr="001F3021">
        <w:rPr>
          <w:highlight w:val="green"/>
          <w:u w:val="single"/>
        </w:rPr>
        <w:t xml:space="preserve"> should be </w:t>
      </w:r>
      <w:r w:rsidRPr="001F3021">
        <w:rPr>
          <w:b/>
          <w:bCs/>
          <w:highlight w:val="green"/>
          <w:u w:val="single"/>
        </w:rPr>
        <w:t>provided</w:t>
      </w:r>
      <w:r w:rsidRPr="001F3021">
        <w:rPr>
          <w:highlight w:val="green"/>
          <w:u w:val="single"/>
        </w:rPr>
        <w:t>. If</w:t>
      </w:r>
      <w:r w:rsidRPr="001F3021">
        <w:rPr>
          <w:u w:val="single"/>
        </w:rPr>
        <w:t xml:space="preserve"> citations are </w:t>
      </w:r>
      <w:r w:rsidRPr="001F3021">
        <w:rPr>
          <w:b/>
          <w:bCs/>
          <w:highlight w:val="green"/>
          <w:u w:val="single"/>
        </w:rPr>
        <w:t>not available, basic information</w:t>
      </w:r>
      <w:r w:rsidRPr="001F3021">
        <w:rPr>
          <w:highlight w:val="green"/>
          <w:u w:val="single"/>
        </w:rPr>
        <w:t xml:space="preserve"> about</w:t>
      </w:r>
      <w:r w:rsidRPr="001F3021">
        <w:rPr>
          <w:u w:val="single"/>
        </w:rPr>
        <w:t xml:space="preserve"> the </w:t>
      </w:r>
      <w:r w:rsidRPr="001F3021">
        <w:rPr>
          <w:highlight w:val="green"/>
          <w:u w:val="single"/>
        </w:rPr>
        <w:t>arguments</w:t>
      </w:r>
      <w:r w:rsidRPr="001F3021">
        <w:rPr>
          <w:u w:val="single"/>
        </w:rPr>
        <w:t xml:space="preserve"> made </w:t>
      </w:r>
      <w:r w:rsidRPr="001F3021">
        <w:rPr>
          <w:highlight w:val="green"/>
          <w:u w:val="single"/>
        </w:rPr>
        <w:t>is</w:t>
      </w:r>
      <w:r w:rsidRPr="001F3021">
        <w:rPr>
          <w:u w:val="single"/>
        </w:rPr>
        <w:t xml:space="preserve"> still very </w:t>
      </w:r>
      <w:r w:rsidRPr="001F3021">
        <w:rPr>
          <w:highlight w:val="green"/>
          <w:u w:val="single"/>
        </w:rPr>
        <w:t>helpful</w:t>
      </w:r>
      <w:r w:rsidRPr="001F3021">
        <w:rPr>
          <w:sz w:val="16"/>
        </w:rPr>
        <w:t xml:space="preserve">. For affirmatives, </w:t>
      </w:r>
      <w:r w:rsidRPr="001F3021">
        <w:rPr>
          <w:highlight w:val="green"/>
          <w:u w:val="single"/>
        </w:rPr>
        <w:t xml:space="preserve">a </w:t>
      </w:r>
      <w:r w:rsidRPr="001F3021">
        <w:rPr>
          <w:b/>
          <w:bCs/>
          <w:highlight w:val="green"/>
          <w:u w:val="single"/>
        </w:rPr>
        <w:t>summary of</w:t>
      </w:r>
      <w:r w:rsidRPr="001F3021">
        <w:rPr>
          <w:highlight w:val="green"/>
          <w:u w:val="single"/>
        </w:rPr>
        <w:t xml:space="preserve"> the </w:t>
      </w:r>
      <w:r w:rsidRPr="001F3021">
        <w:rPr>
          <w:b/>
          <w:bCs/>
          <w:highlight w:val="green"/>
          <w:u w:val="single"/>
        </w:rPr>
        <w:t>plan and advantages</w:t>
      </w:r>
      <w:r w:rsidRPr="001F3021">
        <w:rPr>
          <w:sz w:val="16"/>
        </w:rPr>
        <w:t xml:space="preserve"> as well as </w:t>
      </w:r>
      <w:r w:rsidRPr="001F3021">
        <w:rPr>
          <w:u w:val="single"/>
        </w:rPr>
        <w:t xml:space="preserve">information about </w:t>
      </w:r>
      <w:r w:rsidRPr="00552F69">
        <w:rPr>
          <w:b/>
          <w:bCs/>
          <w:u w:val="single"/>
        </w:rPr>
        <w:t xml:space="preserve">major </w:t>
      </w:r>
      <w:r w:rsidRPr="00552F69">
        <w:rPr>
          <w:u w:val="single"/>
        </w:rPr>
        <w:t>2AC</w:t>
      </w:r>
      <w:r w:rsidRPr="00552F69">
        <w:rPr>
          <w:b/>
          <w:bCs/>
          <w:u w:val="single"/>
        </w:rPr>
        <w:t xml:space="preserve"> add-ons</w:t>
      </w:r>
      <w:r w:rsidRPr="001F3021">
        <w:rPr>
          <w:u w:val="single"/>
        </w:rPr>
        <w:t xml:space="preserve"> or responses</w:t>
      </w:r>
      <w:r w:rsidRPr="001F3021">
        <w:rPr>
          <w:sz w:val="16"/>
        </w:rPr>
        <w:t xml:space="preserve"> would be appreciated. </w:t>
      </w:r>
      <w:r w:rsidRPr="001F3021">
        <w:rPr>
          <w:u w:val="single"/>
        </w:rPr>
        <w:t>For negatives, information about</w:t>
      </w:r>
      <w:r w:rsidRPr="001F3021">
        <w:rPr>
          <w:sz w:val="16"/>
        </w:rPr>
        <w:t xml:space="preserve"> the </w:t>
      </w:r>
      <w:r w:rsidRPr="00552F69">
        <w:rPr>
          <w:highlight w:val="yellow"/>
          <w:u w:val="single"/>
        </w:rPr>
        <w:t xml:space="preserve">arguments made in the </w:t>
      </w:r>
      <w:r w:rsidRPr="00552F69">
        <w:rPr>
          <w:b/>
          <w:bCs/>
          <w:highlight w:val="yellow"/>
          <w:u w:val="single"/>
        </w:rPr>
        <w:t>1NC</w:t>
      </w:r>
      <w:r w:rsidRPr="001F3021">
        <w:rPr>
          <w:sz w:val="16"/>
        </w:rPr>
        <w:t xml:space="preserve"> as well as </w:t>
      </w:r>
      <w:r w:rsidRPr="001F3021">
        <w:rPr>
          <w:u w:val="single"/>
        </w:rPr>
        <w:t xml:space="preserve">information about the </w:t>
      </w:r>
      <w:r w:rsidRPr="001F3021">
        <w:rPr>
          <w:b/>
          <w:bCs/>
          <w:u w:val="single"/>
        </w:rPr>
        <w:t>2NR strategies</w:t>
      </w:r>
      <w:r w:rsidRPr="001F3021">
        <w:rPr>
          <w:sz w:val="16"/>
        </w:rPr>
        <w:t xml:space="preserve"> that the team has settled upon are ideal.</w:t>
      </w:r>
    </w:p>
    <w:p w14:paraId="7FF63B61" w14:textId="77777777" w:rsidR="00325DF7" w:rsidRDefault="00325DF7" w:rsidP="00325DF7">
      <w:pPr>
        <w:rPr>
          <w:sz w:val="16"/>
        </w:rPr>
      </w:pPr>
      <w:r w:rsidRPr="001F3021">
        <w:rPr>
          <w:sz w:val="16"/>
        </w:rPr>
        <w:t xml:space="preserve">It is </w:t>
      </w:r>
      <w:r w:rsidRPr="001F3021">
        <w:rPr>
          <w:u w:val="single"/>
        </w:rPr>
        <w:t xml:space="preserve">our hope that squads will </w:t>
      </w:r>
      <w:r w:rsidRPr="001F3021">
        <w:rPr>
          <w:b/>
          <w:bCs/>
          <w:u w:val="single"/>
        </w:rPr>
        <w:t xml:space="preserve">contribute </w:t>
      </w:r>
      <w:proofErr w:type="gramStart"/>
      <w:r w:rsidRPr="001F3021">
        <w:rPr>
          <w:b/>
          <w:bCs/>
          <w:u w:val="single"/>
        </w:rPr>
        <w:t>all of</w:t>
      </w:r>
      <w:proofErr w:type="gramEnd"/>
      <w:r w:rsidRPr="001F3021">
        <w:rPr>
          <w:b/>
          <w:bCs/>
          <w:u w:val="single"/>
        </w:rPr>
        <w:t xml:space="preserve"> the information</w:t>
      </w:r>
      <w:r w:rsidRPr="001F3021">
        <w:rPr>
          <w:u w:val="single"/>
        </w:rPr>
        <w:t xml:space="preserve"> that they gather about other teams' arguments. </w:t>
      </w:r>
      <w:r w:rsidRPr="001F3021">
        <w:rPr>
          <w:b/>
          <w:bCs/>
          <w:highlight w:val="green"/>
          <w:u w:val="single"/>
        </w:rPr>
        <w:t>Hoarding intelligence</w:t>
      </w:r>
      <w:r w:rsidRPr="001F3021">
        <w:rPr>
          <w:highlight w:val="green"/>
          <w:u w:val="single"/>
        </w:rPr>
        <w:t xml:space="preserve"> to gain</w:t>
      </w:r>
      <w:r w:rsidRPr="001F3021">
        <w:rPr>
          <w:u w:val="single"/>
        </w:rPr>
        <w:t xml:space="preserve"> a </w:t>
      </w:r>
      <w:r w:rsidRPr="001F3021">
        <w:rPr>
          <w:highlight w:val="green"/>
          <w:u w:val="single"/>
        </w:rPr>
        <w:t xml:space="preserve">strategic advantage </w:t>
      </w:r>
      <w:r w:rsidRPr="001F3021">
        <w:rPr>
          <w:b/>
          <w:bCs/>
          <w:highlight w:val="green"/>
          <w:u w:val="single"/>
        </w:rPr>
        <w:t>undermines</w:t>
      </w:r>
      <w:r w:rsidRPr="001F3021">
        <w:rPr>
          <w:u w:val="single"/>
        </w:rPr>
        <w:t xml:space="preserve"> the overall </w:t>
      </w:r>
      <w:r w:rsidRPr="001F3021">
        <w:rPr>
          <w:b/>
          <w:bCs/>
          <w:highlight w:val="green"/>
          <w:u w:val="single"/>
        </w:rPr>
        <w:t>quality of</w:t>
      </w:r>
      <w:r w:rsidRPr="001F3021">
        <w:rPr>
          <w:u w:val="single"/>
        </w:rPr>
        <w:t xml:space="preserve"> the </w:t>
      </w:r>
      <w:r w:rsidRPr="001F3021">
        <w:rPr>
          <w:b/>
          <w:bCs/>
          <w:highlight w:val="green"/>
          <w:u w:val="single"/>
        </w:rPr>
        <w:t>information</w:t>
      </w:r>
      <w:r w:rsidRPr="001F3021">
        <w:rPr>
          <w:b/>
          <w:bCs/>
          <w:u w:val="single"/>
        </w:rPr>
        <w:t xml:space="preserve"> available</w:t>
      </w:r>
      <w:r w:rsidRPr="001F3021">
        <w:rPr>
          <w:u w:val="single"/>
        </w:rPr>
        <w:t xml:space="preserve"> to all squads </w:t>
      </w:r>
      <w:r w:rsidRPr="001F3021">
        <w:rPr>
          <w:highlight w:val="green"/>
          <w:u w:val="single"/>
        </w:rPr>
        <w:t xml:space="preserve">and is </w:t>
      </w:r>
      <w:r w:rsidRPr="001F3021">
        <w:rPr>
          <w:b/>
          <w:bCs/>
          <w:highlight w:val="green"/>
          <w:u w:val="single"/>
        </w:rPr>
        <w:t>antithetical</w:t>
      </w:r>
      <w:r w:rsidRPr="001F3021">
        <w:rPr>
          <w:highlight w:val="green"/>
          <w:u w:val="single"/>
        </w:rPr>
        <w:t xml:space="preserve"> to</w:t>
      </w:r>
      <w:r w:rsidRPr="001F3021">
        <w:rPr>
          <w:u w:val="single"/>
        </w:rPr>
        <w:t xml:space="preserve"> the spirit of </w:t>
      </w:r>
      <w:r w:rsidRPr="001F3021">
        <w:rPr>
          <w:b/>
          <w:bCs/>
          <w:highlight w:val="green"/>
          <w:u w:val="single"/>
        </w:rPr>
        <w:t>clash</w:t>
      </w:r>
      <w:r w:rsidRPr="001F3021">
        <w:rPr>
          <w:u w:val="single"/>
        </w:rPr>
        <w:t xml:space="preserve"> inherent in contest round debating. </w:t>
      </w:r>
      <w:r w:rsidRPr="001F3021">
        <w:rPr>
          <w:b/>
          <w:bCs/>
          <w:highlight w:val="green"/>
          <w:u w:val="single"/>
        </w:rPr>
        <w:t>Democratizing</w:t>
      </w:r>
      <w:r w:rsidRPr="001F3021">
        <w:rPr>
          <w:highlight w:val="green"/>
          <w:u w:val="single"/>
        </w:rPr>
        <w:t xml:space="preserve"> the </w:t>
      </w:r>
      <w:r w:rsidRPr="001F3021">
        <w:rPr>
          <w:b/>
          <w:bCs/>
          <w:highlight w:val="green"/>
          <w:u w:val="single"/>
        </w:rPr>
        <w:t>process</w:t>
      </w:r>
      <w:r w:rsidRPr="001F3021">
        <w:rPr>
          <w:u w:val="single"/>
        </w:rPr>
        <w:t xml:space="preserve"> of intelligence gathering distributes the burden onto a much greater number of people, </w:t>
      </w:r>
      <w:r w:rsidRPr="001F3021">
        <w:rPr>
          <w:highlight w:val="green"/>
          <w:u w:val="single"/>
        </w:rPr>
        <w:t>enabl</w:t>
      </w:r>
      <w:r w:rsidRPr="001F3021">
        <w:rPr>
          <w:u w:val="single"/>
        </w:rPr>
        <w:t xml:space="preserve">ing </w:t>
      </w:r>
      <w:r w:rsidRPr="001F3021">
        <w:rPr>
          <w:b/>
          <w:bCs/>
          <w:highlight w:val="green"/>
          <w:u w:val="single"/>
        </w:rPr>
        <w:t>students</w:t>
      </w:r>
      <w:r w:rsidRPr="001F3021">
        <w:rPr>
          <w:b/>
          <w:bCs/>
          <w:u w:val="single"/>
        </w:rPr>
        <w:t xml:space="preserve"> and teachers</w:t>
      </w:r>
      <w:r w:rsidRPr="001F3021">
        <w:rPr>
          <w:u w:val="single"/>
        </w:rPr>
        <w:t xml:space="preserve"> </w:t>
      </w:r>
      <w:r w:rsidRPr="001F3021">
        <w:rPr>
          <w:highlight w:val="green"/>
          <w:u w:val="single"/>
        </w:rPr>
        <w:t xml:space="preserve">to spend more time </w:t>
      </w:r>
      <w:r w:rsidRPr="001F3021">
        <w:rPr>
          <w:b/>
          <w:bCs/>
          <w:highlight w:val="green"/>
          <w:u w:val="single"/>
        </w:rPr>
        <w:t>generating</w:t>
      </w:r>
      <w:r w:rsidRPr="001F3021">
        <w:rPr>
          <w:u w:val="single"/>
        </w:rPr>
        <w:t xml:space="preserve"> and discussing </w:t>
      </w:r>
      <w:r w:rsidRPr="001F3021">
        <w:rPr>
          <w:b/>
          <w:bCs/>
          <w:highlight w:val="green"/>
          <w:u w:val="single"/>
        </w:rPr>
        <w:t>arguments</w:t>
      </w:r>
      <w:r w:rsidRPr="001F3021">
        <w:rPr>
          <w:u w:val="single"/>
        </w:rPr>
        <w:t xml:space="preserve"> and </w:t>
      </w:r>
      <w:r w:rsidRPr="001F3021">
        <w:rPr>
          <w:b/>
          <w:bCs/>
          <w:highlight w:val="green"/>
          <w:u w:val="single"/>
        </w:rPr>
        <w:t>less time chasing</w:t>
      </w:r>
      <w:r w:rsidRPr="001F3021">
        <w:rPr>
          <w:highlight w:val="green"/>
          <w:u w:val="single"/>
        </w:rPr>
        <w:t xml:space="preserve"> down </w:t>
      </w:r>
      <w:r w:rsidRPr="001F3021">
        <w:rPr>
          <w:b/>
          <w:bCs/>
          <w:highlight w:val="green"/>
          <w:u w:val="single"/>
        </w:rPr>
        <w:t>citations</w:t>
      </w:r>
      <w:r w:rsidRPr="001F3021">
        <w:rPr>
          <w:sz w:val="16"/>
        </w:rPr>
        <w:t>.</w:t>
      </w:r>
    </w:p>
    <w:p w14:paraId="2450ED47" w14:textId="36BA0976" w:rsidR="00325DF7" w:rsidRDefault="00325DF7" w:rsidP="00325DF7">
      <w:pPr>
        <w:pStyle w:val="Heading4"/>
      </w:pPr>
      <w:r>
        <w:lastRenderedPageBreak/>
        <w:t xml:space="preserve">2] Wiki also warns you before you disclose which means no reasonability </w:t>
      </w:r>
    </w:p>
    <w:p w14:paraId="4FAB8C24" w14:textId="77777777" w:rsidR="00325DF7" w:rsidRDefault="00325DF7" w:rsidP="00325DF7">
      <w:r w:rsidRPr="00A34BE4">
        <w:rPr>
          <w:noProof/>
        </w:rPr>
        <w:drawing>
          <wp:inline distT="0" distB="0" distL="0" distR="0" wp14:anchorId="6C73CAE4" wp14:editId="313B7B80">
            <wp:extent cx="4238625" cy="1781175"/>
            <wp:effectExtent l="0" t="0" r="9525" b="952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38625" cy="1781175"/>
                    </a:xfrm>
                    <a:prstGeom prst="rect">
                      <a:avLst/>
                    </a:prstGeom>
                  </pic:spPr>
                </pic:pic>
              </a:graphicData>
            </a:graphic>
          </wp:inline>
        </w:drawing>
      </w:r>
    </w:p>
    <w:p w14:paraId="032C28A2" w14:textId="77777777" w:rsidR="00325DF7" w:rsidRDefault="00325DF7" w:rsidP="00325DF7">
      <w:pPr>
        <w:pStyle w:val="Heading4"/>
      </w:pPr>
      <w:r>
        <w:t xml:space="preserve">I’ll preempt “wiki doesn’t work” – 1] The </w:t>
      </w:r>
      <w:proofErr w:type="spellStart"/>
      <w:r>
        <w:t>interp</w:t>
      </w:r>
      <w:proofErr w:type="spellEnd"/>
      <w:r>
        <w:t xml:space="preserve"> solves, yes the wiki sometimes doesn’t post wikify versions but you can still post a summary of arguments which is what the wiki asks you to do 2] Asking doesn’t solve because it’s a question of the norm you posit and some people don’t know you 3] Verifiability flows neg – you know they didn’t disclose but you don’t know if they’re lying. Either way, most debaters follow my </w:t>
      </w:r>
      <w:proofErr w:type="spellStart"/>
      <w:r>
        <w:t>interp</w:t>
      </w:r>
      <w:proofErr w:type="spellEnd"/>
      <w:r>
        <w:t xml:space="preserve"> which means risk of offense negates.</w:t>
      </w:r>
    </w:p>
    <w:p w14:paraId="30C2D5EE" w14:textId="12147ADC" w:rsidR="00552F69" w:rsidRPr="00552F69" w:rsidRDefault="00325DF7" w:rsidP="00552F69">
      <w:pPr>
        <w:pStyle w:val="Heading4"/>
        <w:rPr>
          <w:rFonts w:eastAsiaTheme="minorHAnsi"/>
        </w:rPr>
      </w:pPr>
      <w:r>
        <w:t xml:space="preserve">3] Preround Prep – </w:t>
      </w:r>
      <w:r w:rsidRPr="00CC784D">
        <w:rPr>
          <w:rFonts w:eastAsiaTheme="minorHAnsi"/>
        </w:rPr>
        <w:t xml:space="preserve">prep becomes atrocious when you make people sift through </w:t>
      </w:r>
      <w:proofErr w:type="gramStart"/>
      <w:r w:rsidRPr="00CC784D">
        <w:rPr>
          <w:rFonts w:eastAsiaTheme="minorHAnsi"/>
        </w:rPr>
        <w:t>20 word</w:t>
      </w:r>
      <w:proofErr w:type="gramEnd"/>
      <w:r w:rsidRPr="00CC784D">
        <w:rPr>
          <w:rFonts w:eastAsiaTheme="minorHAnsi"/>
        </w:rPr>
        <w:t xml:space="preserve"> docs to figure out which links you’re reading and which impacts to prep. Also key for inclusion since disadvantaged people have computers more prone to lag and even 3 or 4 can crash the program for them—outweighs accessibility is a multiplier for their impacts. Disclosing in cite boxes </w:t>
      </w:r>
      <w:r w:rsidR="00552F69">
        <w:rPr>
          <w:rFonts w:eastAsiaTheme="minorHAnsi"/>
        </w:rPr>
        <w:t xml:space="preserve">or a summary as the title of your </w:t>
      </w:r>
      <w:proofErr w:type="spellStart"/>
      <w:r w:rsidR="00552F69">
        <w:rPr>
          <w:rFonts w:eastAsiaTheme="minorHAnsi"/>
        </w:rPr>
        <w:t>posititon</w:t>
      </w:r>
      <w:proofErr w:type="spellEnd"/>
      <w:r w:rsidR="00552F69">
        <w:rPr>
          <w:rFonts w:eastAsiaTheme="minorHAnsi"/>
        </w:rPr>
        <w:t xml:space="preserve"> </w:t>
      </w:r>
      <w:r w:rsidRPr="00CC784D">
        <w:rPr>
          <w:rFonts w:eastAsiaTheme="minorHAnsi"/>
        </w:rPr>
        <w:t>solves—people can quickly get a summary of your position and go to open source if they need more information</w:t>
      </w:r>
    </w:p>
    <w:p w14:paraId="6E6CB179" w14:textId="40ADA716" w:rsidR="00325DF7" w:rsidRDefault="00325DF7" w:rsidP="00325DF7"/>
    <w:p w14:paraId="60EFD301" w14:textId="7531C3F0" w:rsidR="00772F94" w:rsidRDefault="00772F94" w:rsidP="00772F94">
      <w:pPr>
        <w:pStyle w:val="Heading3"/>
      </w:pPr>
      <w:r>
        <w:lastRenderedPageBreak/>
        <w:t>2</w:t>
      </w:r>
    </w:p>
    <w:p w14:paraId="24C73D99" w14:textId="773F4C3A" w:rsidR="00772F94" w:rsidRDefault="00772F94" w:rsidP="00772F94">
      <w:pPr>
        <w:pStyle w:val="Heading4"/>
      </w:pPr>
      <w:r>
        <w:t xml:space="preserve">Interpretation: Cards disclosed by debaters on the NDCA LD wiki </w:t>
      </w:r>
      <w:r w:rsidR="00224D61">
        <w:t xml:space="preserve">must </w:t>
      </w:r>
      <w:r w:rsidRPr="009B3DB8">
        <w:t xml:space="preserve">provide sources </w:t>
      </w:r>
      <w:r>
        <w:t xml:space="preserve">and citations </w:t>
      </w:r>
      <w:r w:rsidRPr="009B3DB8">
        <w:t>for all evidence cited</w:t>
      </w:r>
      <w:r>
        <w:t xml:space="preserve"> in the speech that the evidence was read.</w:t>
      </w:r>
    </w:p>
    <w:p w14:paraId="3ACCEA15" w14:textId="35056773" w:rsidR="00772F94" w:rsidRDefault="00772F94" w:rsidP="00772F94">
      <w:pPr>
        <w:pStyle w:val="Heading4"/>
      </w:pPr>
      <w:r>
        <w:t>Violation: Screenshots in doc</w:t>
      </w:r>
      <w:r w:rsidR="00224D61">
        <w:t xml:space="preserve"> – </w:t>
      </w:r>
      <w:proofErr w:type="spellStart"/>
      <w:r w:rsidR="00224D61">
        <w:t>its</w:t>
      </w:r>
      <w:proofErr w:type="spellEnd"/>
      <w:r w:rsidR="00224D61">
        <w:t xml:space="preserve"> from their </w:t>
      </w:r>
      <w:proofErr w:type="spellStart"/>
      <w:r w:rsidR="00224D61">
        <w:t>blake</w:t>
      </w:r>
      <w:proofErr w:type="spellEnd"/>
      <w:r w:rsidR="00224D61">
        <w:t xml:space="preserve"> round 5</w:t>
      </w:r>
    </w:p>
    <w:p w14:paraId="0AEC5DCF" w14:textId="61E9FCF6" w:rsidR="00224D61" w:rsidRPr="00224D61" w:rsidRDefault="00224D61" w:rsidP="00224D61">
      <w:r w:rsidRPr="00224D61">
        <w:rPr>
          <w:noProof/>
        </w:rPr>
        <w:drawing>
          <wp:inline distT="0" distB="0" distL="0" distR="0" wp14:anchorId="689A5F87" wp14:editId="59ED8172">
            <wp:extent cx="5486400" cy="4264025"/>
            <wp:effectExtent l="0" t="0" r="0" b="317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4"/>
                    <a:stretch>
                      <a:fillRect/>
                    </a:stretch>
                  </pic:blipFill>
                  <pic:spPr>
                    <a:xfrm>
                      <a:off x="0" y="0"/>
                      <a:ext cx="5486400" cy="4264025"/>
                    </a:xfrm>
                    <a:prstGeom prst="rect">
                      <a:avLst/>
                    </a:prstGeom>
                  </pic:spPr>
                </pic:pic>
              </a:graphicData>
            </a:graphic>
          </wp:inline>
        </w:drawing>
      </w:r>
    </w:p>
    <w:p w14:paraId="4EA7FE22" w14:textId="0FE522CC" w:rsidR="00772F94" w:rsidRDefault="00772F94" w:rsidP="00772F94">
      <w:pPr>
        <w:pStyle w:val="Heading4"/>
      </w:pPr>
      <w:r>
        <w:lastRenderedPageBreak/>
        <w:t xml:space="preserve">1] </w:t>
      </w:r>
      <w:r w:rsidRPr="000D3A2B">
        <w:rPr>
          <w:u w:val="single"/>
        </w:rPr>
        <w:t>Evidence ethics</w:t>
      </w:r>
      <w:r>
        <w:t xml:space="preserve">- 2 internal links a] It’s impossible to verify </w:t>
      </w:r>
      <w:proofErr w:type="gramStart"/>
      <w:r>
        <w:t>whether or not</w:t>
      </w:r>
      <w:proofErr w:type="gramEnd"/>
      <w:r>
        <w:t xml:space="preserve"> their evidence was fabricated because there’s no direct link to their evidence. We don’t know what page the highlighted section is on or how we can even get to their evidence otherwise b] spreads the message to novices</w:t>
      </w:r>
      <w:r w:rsidR="00904A5D">
        <w:t xml:space="preserve"> and other varsity debaters</w:t>
      </w:r>
      <w:r>
        <w:t xml:space="preserve"> that </w:t>
      </w:r>
      <w:proofErr w:type="spellStart"/>
      <w:r>
        <w:t>its</w:t>
      </w:r>
      <w:proofErr w:type="spellEnd"/>
      <w:r>
        <w:t xml:space="preserve"> okay to not cite your evidence which is a terrible practice </w:t>
      </w:r>
      <w:r w:rsidR="00904A5D">
        <w:t xml:space="preserve">– supercharged by the fact that you are a competitor at the Harvard round robin </w:t>
      </w:r>
      <w:r>
        <w:t xml:space="preserve">– that’s a voter since it is an academic d-rule to not cheat which outweighs because of sequencing – it questions my ability to engage with their arguments </w:t>
      </w:r>
    </w:p>
    <w:p w14:paraId="6653FFE4" w14:textId="77777777" w:rsidR="00772F94" w:rsidRDefault="00772F94" w:rsidP="00772F94">
      <w:pPr>
        <w:pStyle w:val="Heading4"/>
      </w:pPr>
      <w:r>
        <w:t xml:space="preserve">2] </w:t>
      </w:r>
      <w:r w:rsidRPr="000D3A2B">
        <w:rPr>
          <w:u w:val="single"/>
        </w:rPr>
        <w:t>Inclusion</w:t>
      </w:r>
      <w:r>
        <w:t xml:space="preserve">- Them not providing direct links to sources crowds out small school debaters since not providing sci-hub or pdf links that get you access to pay-walled articles put them at a disadvantage from the very beginning </w:t>
      </w:r>
    </w:p>
    <w:p w14:paraId="1DCD4BF9" w14:textId="45B3DE9A" w:rsidR="00772F94" w:rsidRDefault="00772F94" w:rsidP="00772F94">
      <w:pPr>
        <w:pStyle w:val="Heading4"/>
      </w:pPr>
      <w:r>
        <w:t xml:space="preserve"> </w:t>
      </w:r>
    </w:p>
    <w:p w14:paraId="3F1DCA43" w14:textId="77777777" w:rsidR="006862EE" w:rsidRDefault="006862EE" w:rsidP="00224D61"/>
    <w:p w14:paraId="3016931F" w14:textId="2180B0E3" w:rsidR="00832512" w:rsidRDefault="00832512" w:rsidP="00832512">
      <w:pPr>
        <w:pStyle w:val="Heading3"/>
      </w:pPr>
      <w:r>
        <w:lastRenderedPageBreak/>
        <w:t>3</w:t>
      </w:r>
    </w:p>
    <w:p w14:paraId="39F47B3D" w14:textId="77777777" w:rsidR="00832512" w:rsidRDefault="00832512" w:rsidP="00832512">
      <w:pPr>
        <w:pStyle w:val="Heading4"/>
      </w:pPr>
      <w:r w:rsidRPr="004F7019">
        <w:t>The meta-ethic is procedural moral realism</w:t>
      </w:r>
      <w:r>
        <w:t>.</w:t>
      </w:r>
    </w:p>
    <w:p w14:paraId="73289ACA" w14:textId="77777777" w:rsidR="00832512" w:rsidRDefault="00832512" w:rsidP="00832512">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77C72A18" w14:textId="77777777" w:rsidR="00832512" w:rsidRDefault="00832512" w:rsidP="00832512">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2EA6DE85" w14:textId="77777777" w:rsidR="00832512" w:rsidRDefault="00832512" w:rsidP="00832512">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2B35B46" w14:textId="77777777" w:rsidR="00832512" w:rsidRDefault="00832512" w:rsidP="00832512">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45C166CB" w14:textId="77777777" w:rsidR="00832512" w:rsidRPr="00CB69A7" w:rsidRDefault="00832512" w:rsidP="00832512">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279155D6" w14:textId="77777777" w:rsidR="00832512" w:rsidRPr="00CB69A7" w:rsidRDefault="00832512" w:rsidP="00832512">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proofErr w:type="gramStart"/>
      <w:r>
        <w:t>persons</w:t>
      </w:r>
      <w:proofErr w:type="spellEnd"/>
      <w:proofErr w:type="gramEnd"/>
      <w:r>
        <w:t xml:space="preserve"> ends for another and b] assumes everyone values the same thing. </w:t>
      </w:r>
    </w:p>
    <w:p w14:paraId="0D96AF4A" w14:textId="77777777" w:rsidR="00832512" w:rsidRDefault="00832512" w:rsidP="00832512">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68CF545D" w14:textId="77777777" w:rsidR="00832512" w:rsidRDefault="00832512" w:rsidP="00832512">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74E4739C" w14:textId="77777777" w:rsidR="00832512" w:rsidRDefault="00832512" w:rsidP="00832512">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7B34233A" w14:textId="77777777" w:rsidR="00832512" w:rsidRDefault="00832512" w:rsidP="00832512">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1A385625" w14:textId="77777777" w:rsidR="00832512" w:rsidRDefault="00832512" w:rsidP="00832512">
      <w:pPr>
        <w:pStyle w:val="Heading4"/>
        <w:rPr>
          <w:rFonts w:asciiTheme="majorHAnsi" w:hAnsiTheme="majorHAnsi" w:cstheme="majorHAnsi"/>
          <w:color w:val="000000" w:themeColor="text1"/>
        </w:rPr>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w:t>
      </w:r>
      <w:proofErr w:type="gramStart"/>
      <w:r w:rsidRPr="00392D46">
        <w:rPr>
          <w:rFonts w:asciiTheme="majorHAnsi" w:hAnsiTheme="majorHAnsi" w:cstheme="majorHAnsi"/>
          <w:color w:val="000000" w:themeColor="text1"/>
        </w:rPr>
        <w:t>have to</w:t>
      </w:r>
      <w:proofErr w:type="gramEnd"/>
      <w:r w:rsidRPr="00392D46">
        <w:rPr>
          <w:rFonts w:asciiTheme="majorHAnsi" w:hAnsiTheme="majorHAnsi" w:cstheme="majorHAnsi"/>
          <w:color w:val="000000" w:themeColor="text1"/>
        </w:rPr>
        <w:t xml:space="preserve"> prep for every unique advantage under each </w:t>
      </w:r>
      <w:proofErr w:type="spellStart"/>
      <w:r w:rsidRPr="00392D46">
        <w:rPr>
          <w:rFonts w:asciiTheme="majorHAnsi" w:hAnsiTheme="majorHAnsi" w:cstheme="majorHAnsi"/>
          <w:color w:val="000000" w:themeColor="text1"/>
        </w:rPr>
        <w:t>aff</w:t>
      </w:r>
      <w:proofErr w:type="spellEnd"/>
      <w:r w:rsidRPr="00392D46">
        <w:rPr>
          <w:rFonts w:asciiTheme="majorHAnsi" w:hAnsiTheme="majorHAnsi" w:cstheme="majorHAnsi"/>
          <w:color w:val="000000" w:themeColor="text1"/>
        </w:rPr>
        <w:t xml:space="preserve">, every counterplan, and every </w:t>
      </w:r>
      <w:proofErr w:type="spellStart"/>
      <w:r w:rsidRPr="00392D46">
        <w:rPr>
          <w:rFonts w:asciiTheme="majorHAnsi" w:hAnsiTheme="majorHAnsi" w:cstheme="majorHAnsi"/>
          <w:color w:val="000000" w:themeColor="text1"/>
        </w:rPr>
        <w:t>disad</w:t>
      </w:r>
      <w:proofErr w:type="spellEnd"/>
      <w:r w:rsidRPr="00392D46">
        <w:rPr>
          <w:rFonts w:asciiTheme="majorHAnsi" w:hAnsiTheme="majorHAnsi" w:cstheme="majorHAnsi"/>
          <w:color w:val="000000" w:themeColor="text1"/>
        </w:rPr>
        <w:t xml:space="preserve"> with carded responses to each of them</w:t>
      </w:r>
    </w:p>
    <w:p w14:paraId="7E4D7678" w14:textId="77777777" w:rsidR="00832512" w:rsidRPr="00A257D8" w:rsidRDefault="00832512" w:rsidP="00832512">
      <w:pPr>
        <w:pStyle w:val="Heading4"/>
      </w:pPr>
      <w:r>
        <w:lastRenderedPageBreak/>
        <w:t xml:space="preserve">No new 1AR framework justifications – Anything else </w:t>
      </w:r>
      <w:r w:rsidRPr="00A257D8">
        <w:t xml:space="preserve">kills 1NC strategy since I </w:t>
      </w:r>
      <w:proofErr w:type="spellStart"/>
      <w:r w:rsidRPr="00A257D8">
        <w:t>premised</w:t>
      </w:r>
      <w:proofErr w:type="spellEnd"/>
      <w:r w:rsidRPr="00A257D8">
        <w:t xml:space="preserve"> my engagement o</w:t>
      </w:r>
      <w:r>
        <w:t>ff a lack of it in the 1AC – It also justifies overloading the 2NR with new arguments</w:t>
      </w:r>
      <w:r w:rsidRPr="00A257D8">
        <w:t xml:space="preserve">. </w:t>
      </w:r>
    </w:p>
    <w:p w14:paraId="7CC6E029" w14:textId="1C57F93D" w:rsidR="00832512" w:rsidRDefault="00832512" w:rsidP="00832512">
      <w:pPr>
        <w:pStyle w:val="Heading4"/>
      </w:pPr>
      <w:r>
        <w:t>Offense</w:t>
      </w:r>
    </w:p>
    <w:p w14:paraId="2DF3B7B6" w14:textId="77777777" w:rsidR="00832512" w:rsidRPr="00742C76" w:rsidRDefault="00832512" w:rsidP="00832512">
      <w:pPr>
        <w:pStyle w:val="Heading4"/>
        <w:rPr>
          <w:rFonts w:cs="Calibri"/>
        </w:rPr>
      </w:pPr>
      <w:r w:rsidRPr="00742C76">
        <w:rPr>
          <w:rFonts w:cs="Calibri"/>
        </w:rPr>
        <w:t>1] Libertarianism mandates a market-oriented approach to space—that negates</w:t>
      </w:r>
    </w:p>
    <w:p w14:paraId="79DB9243" w14:textId="77777777" w:rsidR="00832512" w:rsidRPr="00742C76" w:rsidRDefault="00832512" w:rsidP="00832512">
      <w:r w:rsidRPr="00742C76">
        <w:rPr>
          <w:rStyle w:val="Style13ptBold"/>
        </w:rPr>
        <w:t>Broker 20</w:t>
      </w:r>
      <w:r w:rsidRPr="00742C76">
        <w:t xml:space="preserve"> </w:t>
      </w:r>
      <w:r w:rsidRPr="00742C76">
        <w:rPr>
          <w:sz w:val="16"/>
          <w:szCs w:val="16"/>
        </w:rPr>
        <w:t xml:space="preserve">[(Tyler, work has been published in the Gonzaga Law Review, the Albany Law </w:t>
      </w:r>
      <w:proofErr w:type="gramStart"/>
      <w:r w:rsidRPr="00742C76">
        <w:rPr>
          <w:sz w:val="16"/>
          <w:szCs w:val="16"/>
        </w:rPr>
        <w:t>Review</w:t>
      </w:r>
      <w:proofErr w:type="gramEnd"/>
      <w:r w:rsidRPr="00742C76">
        <w:rPr>
          <w:sz w:val="16"/>
          <w:szCs w:val="16"/>
        </w:rPr>
        <w:t xml:space="preserve">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5" w:history="1">
        <w:r w:rsidRPr="00742C76">
          <w:rPr>
            <w:rStyle w:val="Hyperlink"/>
            <w:sz w:val="16"/>
            <w:szCs w:val="16"/>
          </w:rPr>
          <w:t>https://abovethelaw.com/2020/01/space-law-can-only-be-libertarian-minded/</w:t>
        </w:r>
      </w:hyperlink>
      <w:r w:rsidRPr="00742C76">
        <w:rPr>
          <w:sz w:val="16"/>
          <w:szCs w:val="16"/>
        </w:rPr>
        <w:t>] TDI</w:t>
      </w:r>
    </w:p>
    <w:p w14:paraId="778709AD" w14:textId="77777777" w:rsidR="00832512" w:rsidRPr="00742C76" w:rsidRDefault="00832512" w:rsidP="00832512">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w:t>
      </w:r>
      <w:proofErr w:type="gramStart"/>
      <w:r w:rsidRPr="00742C76">
        <w:rPr>
          <w:rStyle w:val="StyleUnderline"/>
        </w:rPr>
        <w:t xml:space="preserve">actually </w:t>
      </w:r>
      <w:r w:rsidRPr="00742C76">
        <w:rPr>
          <w:rStyle w:val="StyleUnderline"/>
          <w:highlight w:val="green"/>
        </w:rPr>
        <w:t>private</w:t>
      </w:r>
      <w:proofErr w:type="gramEnd"/>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w:t>
      </w:r>
      <w:proofErr w:type="gramStart"/>
      <w:r w:rsidRPr="00742C76">
        <w:rPr>
          <w:sz w:val="12"/>
        </w:rPr>
        <w:t>amount</w:t>
      </w:r>
      <w:proofErr w:type="gramEnd"/>
      <w:r w:rsidRPr="00742C76">
        <w:rPr>
          <w:sz w:val="12"/>
        </w:rPr>
        <w:t xml:space="preserve">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w:t>
      </w:r>
      <w:proofErr w:type="gramStart"/>
      <w:r w:rsidRPr="00742C76">
        <w:rPr>
          <w:sz w:val="12"/>
        </w:rPr>
        <w:t>Similar to</w:t>
      </w:r>
      <w:proofErr w:type="gramEnd"/>
      <w:r w:rsidRPr="00742C76">
        <w:rPr>
          <w:sz w:val="12"/>
        </w:rPr>
        <w:t xml:space="preserve">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742C76">
        <w:rPr>
          <w:sz w:val="12"/>
        </w:rPr>
        <w:t>amount</w:t>
      </w:r>
      <w:proofErr w:type="gramEnd"/>
      <w:r w:rsidRPr="00742C76">
        <w:rPr>
          <w:sz w:val="12"/>
        </w:rPr>
        <w:t xml:space="preserve">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742C76">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w:t>
      </w:r>
      <w:proofErr w:type="gramStart"/>
      <w:r w:rsidRPr="00742C76">
        <w:rPr>
          <w:rStyle w:val="StyleUnderline"/>
        </w:rPr>
        <w:t>things</w:t>
      </w:r>
      <w:proofErr w:type="gramEnd"/>
      <w:r w:rsidRPr="00742C76">
        <w:rPr>
          <w:rStyle w:val="StyleUnderline"/>
        </w:rPr>
        <w:t xml:space="preserve"> we would recognize as currency. </w:t>
      </w:r>
      <w:r w:rsidRPr="00742C76">
        <w:rPr>
          <w:rStyle w:val="StyleUnderline"/>
          <w:highlight w:val="green"/>
        </w:rPr>
        <w:t>Only a libertarian-type system, that guarantees basic individual rights</w:t>
      </w:r>
      <w:r w:rsidRPr="00742C76">
        <w:rPr>
          <w:rStyle w:val="StyleUnderline"/>
        </w:rPr>
        <w:t xml:space="preserve"> to life, liberty, and the pursuit of happiness </w:t>
      </w:r>
      <w:r w:rsidRPr="00742C76">
        <w:rPr>
          <w:rStyle w:val="StyleUnderline"/>
          <w:highlight w:val="green"/>
        </w:rPr>
        <w:t>could be valued</w:t>
      </w:r>
      <w:r w:rsidRPr="00742C76">
        <w:rPr>
          <w:rStyle w:val="StyleUnderline"/>
        </w:rPr>
        <w:t xml:space="preserve"> and therefore human fidelity to a set of laws made possible, in such an existence.</w:t>
      </w:r>
    </w:p>
    <w:p w14:paraId="128B1D13" w14:textId="77777777" w:rsidR="00832512" w:rsidRPr="00742C76" w:rsidRDefault="00832512" w:rsidP="00832512">
      <w:pPr>
        <w:pStyle w:val="Heading4"/>
        <w:rPr>
          <w:rStyle w:val="StyleUnderline"/>
          <w:rFonts w:cs="Calibri"/>
          <w:u w:val="none"/>
        </w:rPr>
      </w:pPr>
      <w:r w:rsidRPr="00742C76">
        <w:rPr>
          <w:rStyle w:val="StyleUnderline"/>
          <w:rFonts w:cs="Calibri"/>
          <w:u w:val="none"/>
        </w:rPr>
        <w:t>2] Property rights in space can be consistent with international law</w:t>
      </w:r>
    </w:p>
    <w:p w14:paraId="7DE712AD" w14:textId="77777777" w:rsidR="00832512" w:rsidRPr="00742C76" w:rsidRDefault="00832512" w:rsidP="00832512">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6"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24C48091" w14:textId="77777777" w:rsidR="00832512" w:rsidRPr="00742C76" w:rsidRDefault="00832512" w:rsidP="00832512">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742C76">
        <w:rPr>
          <w:rStyle w:val="StyleUnderline"/>
          <w:highlight w:val="green"/>
        </w:rPr>
        <w:t xml:space="preserve">the </w:t>
      </w:r>
      <w:r w:rsidRPr="00742C76">
        <w:rPr>
          <w:rStyle w:val="StyleUnderline"/>
          <w:highlight w:val="green"/>
        </w:rPr>
        <w:lastRenderedPageBreak/>
        <w:t>Moon Treaty is</w:t>
      </w:r>
      <w:r w:rsidRPr="00742C76">
        <w:rPr>
          <w:rStyle w:val="StyleUnderline"/>
        </w:rPr>
        <w:t xml:space="preserve"> in and of itself </w:t>
      </w:r>
      <w:r w:rsidRPr="00742C76">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742C76">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742C76">
        <w:rPr>
          <w:rStyle w:val="StyleUnderline"/>
          <w:highlight w:val="green"/>
        </w:rPr>
        <w:t>Under the treaty, it would</w:t>
      </w:r>
      <w:r w:rsidRPr="00742C76">
        <w:rPr>
          <w:rStyle w:val="StyleUnderline"/>
        </w:rPr>
        <w:t xml:space="preserve"> in fact </w:t>
      </w:r>
      <w:r w:rsidRPr="00742C76">
        <w:rPr>
          <w:rStyle w:val="StyleUnderline"/>
          <w:highlight w:val="green"/>
        </w:rPr>
        <w:t>be possible for a government</w:t>
      </w:r>
      <w:r w:rsidRPr="00742C76">
        <w:rPr>
          <w:rStyle w:val="StyleUnderline"/>
        </w:rPr>
        <w:t xml:space="preserve">, or group of governments, </w:t>
      </w:r>
      <w:r w:rsidRPr="00742C76">
        <w:rPr>
          <w:rStyle w:val="StyleUnderline"/>
          <w:highlight w:val="green"/>
        </w:rPr>
        <w:t>to recognize the property</w:t>
      </w:r>
      <w:r w:rsidRPr="00742C76">
        <w:rPr>
          <w:rStyle w:val="StyleUnderline"/>
        </w:rPr>
        <w:t xml:space="preserve"> claims of anyone </w:t>
      </w:r>
      <w:r w:rsidRPr="00742C76">
        <w:rPr>
          <w:rStyle w:val="StyleUnderline"/>
          <w:highlight w:val="green"/>
        </w:rPr>
        <w:t>who met</w:t>
      </w:r>
      <w:r w:rsidRPr="00742C76">
        <w:rPr>
          <w:rStyle w:val="StyleUnderline"/>
        </w:rPr>
        <w:t xml:space="preserve"> specified </w:t>
      </w:r>
      <w:r w:rsidRPr="00742C76">
        <w:rPr>
          <w:rStyle w:val="StyleUnderline"/>
          <w:highlight w:val="green"/>
        </w:rPr>
        <w:t>conditions,</w:t>
      </w:r>
      <w:r w:rsidRPr="00742C76">
        <w:rPr>
          <w:rStyle w:val="StyleUnderline"/>
        </w:rPr>
        <w:t xml:space="preserve"> regardless of their citizenship or nationality. </w:t>
      </w:r>
      <w:r w:rsidRPr="00742C76">
        <w:rPr>
          <w:rStyle w:val="StyleUnderline"/>
          <w:highlight w:val="green"/>
        </w:rPr>
        <w:t xml:space="preserve">Such cooperation </w:t>
      </w:r>
      <w:r w:rsidRPr="00742C76">
        <w:rPr>
          <w:rStyle w:val="StyleUnderline"/>
        </w:rPr>
        <w:t xml:space="preserve">would obviate the </w:t>
      </w:r>
      <w:r w:rsidRPr="00742C76">
        <w:rPr>
          <w:rStyle w:val="StyleUnderline"/>
          <w:highlight w:val="green"/>
        </w:rPr>
        <w:t>need</w:t>
      </w:r>
      <w:r w:rsidRPr="00742C76">
        <w:rPr>
          <w:rStyle w:val="StyleUnderline"/>
        </w:rPr>
        <w:t xml:space="preserve"> for </w:t>
      </w:r>
      <w:r w:rsidRPr="00742C76">
        <w:rPr>
          <w:rStyle w:val="StyleUnderline"/>
          <w:highlight w:val="gree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742C76">
        <w:rPr>
          <w:rStyle w:val="StyleUnderline"/>
          <w:highlight w:val="green"/>
        </w:rPr>
        <w:t>This</w:t>
      </w:r>
      <w:r w:rsidRPr="00742C76">
        <w:rPr>
          <w:rStyle w:val="StyleUnderline"/>
        </w:rPr>
        <w:t xml:space="preserve"> clearly </w:t>
      </w:r>
      <w:r w:rsidRPr="00742C76">
        <w:rPr>
          <w:rStyle w:val="StyleUnderline"/>
          <w:highlight w:val="green"/>
        </w:rPr>
        <w:t>provides support for the concept of individual claims</w:t>
      </w:r>
      <w:r w:rsidRPr="00742C76">
        <w:rPr>
          <w:rStyle w:val="StyleUnderline"/>
        </w:rPr>
        <w:t xml:space="preserve"> off planet under Article II. </w:t>
      </w:r>
    </w:p>
    <w:p w14:paraId="21850F1F" w14:textId="77777777" w:rsidR="00832512" w:rsidRPr="00742C76" w:rsidRDefault="00832512" w:rsidP="00832512">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76016103" w14:textId="77777777" w:rsidR="00832512" w:rsidRPr="00832512" w:rsidRDefault="00832512" w:rsidP="00832512"/>
    <w:p w14:paraId="610EC550" w14:textId="77777777" w:rsidR="00832512" w:rsidRPr="00832512" w:rsidRDefault="00832512" w:rsidP="00832512"/>
    <w:p w14:paraId="1136CDCB" w14:textId="77777777" w:rsidR="00772F94" w:rsidRPr="00772F94" w:rsidRDefault="00772F94" w:rsidP="00772F94"/>
    <w:p w14:paraId="492CBD1F" w14:textId="19662B87" w:rsidR="00325DF7" w:rsidRDefault="006862EE" w:rsidP="00325DF7">
      <w:pPr>
        <w:pStyle w:val="Heading3"/>
      </w:pPr>
      <w:r>
        <w:lastRenderedPageBreak/>
        <w:t>4</w:t>
      </w:r>
    </w:p>
    <w:p w14:paraId="5E73F3B4" w14:textId="77777777" w:rsidR="00201C4C" w:rsidRPr="00A257D8" w:rsidRDefault="00201C4C" w:rsidP="00201C4C">
      <w:pPr>
        <w:pStyle w:val="Heading4"/>
      </w:pPr>
      <w:r w:rsidRPr="00A257D8">
        <w:t xml:space="preserve">The standard is consistency with the logical </w:t>
      </w:r>
      <w:r w:rsidRPr="009B0022">
        <w:rPr>
          <w:u w:val="single"/>
        </w:rPr>
        <w:t>consequence of the resolution.</w:t>
      </w:r>
      <w:r w:rsidRPr="00A257D8">
        <w:t xml:space="preserve"> Prefer this – </w:t>
      </w:r>
    </w:p>
    <w:p w14:paraId="21593368" w14:textId="77777777" w:rsidR="00201C4C" w:rsidRPr="00A257D8" w:rsidRDefault="00201C4C" w:rsidP="00201C4C">
      <w:pPr>
        <w:pStyle w:val="Heading4"/>
      </w:pPr>
      <w:r>
        <w:t>1.</w:t>
      </w:r>
      <w:r w:rsidRPr="00A257D8">
        <w:t xml:space="preserve"> Text – Oxford Dictionary defines ought as “</w:t>
      </w:r>
      <w:r w:rsidRPr="009B0022">
        <w:rPr>
          <w:u w:val="single"/>
        </w:rPr>
        <w:t>used to indicate something that is probable</w:t>
      </w:r>
      <w:r w:rsidRPr="00A257D8">
        <w:t>.”</w:t>
      </w:r>
    </w:p>
    <w:p w14:paraId="7615EFA6" w14:textId="77777777" w:rsidR="00201C4C" w:rsidRPr="00187ED2" w:rsidRDefault="00231233" w:rsidP="00201C4C">
      <w:pPr>
        <w:rPr>
          <w:sz w:val="16"/>
          <w:szCs w:val="16"/>
        </w:rPr>
      </w:pPr>
      <w:hyperlink r:id="rId17" w:history="1">
        <w:r w:rsidR="00201C4C" w:rsidRPr="0054008F">
          <w:rPr>
            <w:rStyle w:val="Hyperlink"/>
            <w:sz w:val="16"/>
            <w:szCs w:val="16"/>
          </w:rPr>
          <w:t>https://en.oxforddictionaries.com/definition/ought</w:t>
        </w:r>
      </w:hyperlink>
      <w:r w:rsidR="00201C4C">
        <w:rPr>
          <w:sz w:val="16"/>
          <w:szCs w:val="16"/>
        </w:rPr>
        <w:t xml:space="preserve"> //Massa</w:t>
      </w:r>
    </w:p>
    <w:p w14:paraId="4297AF76" w14:textId="77777777" w:rsidR="00201C4C" w:rsidRPr="00A257D8" w:rsidRDefault="00201C4C" w:rsidP="00201C4C">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50331AF5" w14:textId="77777777" w:rsidR="00201C4C" w:rsidRPr="00187ED2" w:rsidRDefault="00201C4C" w:rsidP="00201C4C">
      <w:pPr>
        <w:rPr>
          <w:sz w:val="16"/>
          <w:szCs w:val="16"/>
        </w:rPr>
      </w:pPr>
      <w:r w:rsidRPr="00187ED2">
        <w:rPr>
          <w:sz w:val="16"/>
          <w:szCs w:val="16"/>
        </w:rPr>
        <w:t>(</w:t>
      </w:r>
      <w:hyperlink r:id="rId18"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539E01B8" w14:textId="77777777" w:rsidR="00201C4C" w:rsidRDefault="00201C4C" w:rsidP="00201C4C">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6FB4CC14" w14:textId="77777777" w:rsidR="00201C4C" w:rsidRPr="00A257D8" w:rsidRDefault="00201C4C" w:rsidP="00201C4C">
      <w:pPr>
        <w:pStyle w:val="Heading4"/>
      </w:pPr>
      <w:r>
        <w:t>3.</w:t>
      </w:r>
      <w:r w:rsidRPr="00A257D8">
        <w:t xml:space="preserve"> Neg definition choice – </w:t>
      </w:r>
      <w:r>
        <w:t xml:space="preserve">Anything else </w:t>
      </w:r>
      <w:r w:rsidRPr="00A257D8">
        <w:t xml:space="preserve">kills 1NC strategy since I </w:t>
      </w:r>
      <w:proofErr w:type="spellStart"/>
      <w:r w:rsidRPr="00A257D8">
        <w:t>premised</w:t>
      </w:r>
      <w:proofErr w:type="spellEnd"/>
      <w:r w:rsidRPr="00A257D8">
        <w:t xml:space="preserve"> my engagement on a lack of your definition. </w:t>
      </w:r>
    </w:p>
    <w:p w14:paraId="06060C1D" w14:textId="77777777" w:rsidR="00201C4C" w:rsidRPr="00A257D8" w:rsidRDefault="00201C4C" w:rsidP="00201C4C">
      <w:pPr>
        <w:pStyle w:val="Heading4"/>
      </w:pPr>
      <w:r>
        <w:t>T</w:t>
      </w:r>
      <w:r w:rsidRPr="00A257D8">
        <w:t xml:space="preserve">heir inherency proves the </w:t>
      </w:r>
      <w:proofErr w:type="spellStart"/>
      <w:r w:rsidRPr="00A257D8">
        <w:t>aff</w:t>
      </w:r>
      <w:proofErr w:type="spellEnd"/>
      <w:r w:rsidRPr="00A257D8">
        <w:t xml:space="preserve"> won’t happen</w:t>
      </w:r>
      <w:r>
        <w:t xml:space="preserve">. </w:t>
      </w:r>
      <w:r w:rsidRPr="00A257D8">
        <w:t xml:space="preserve">Either a) the </w:t>
      </w:r>
      <w:proofErr w:type="spellStart"/>
      <w:r w:rsidRPr="00A257D8">
        <w:t>aff</w:t>
      </w:r>
      <w:proofErr w:type="spellEnd"/>
      <w:r w:rsidRPr="00A257D8">
        <w:t xml:space="preserve"> is non-inherent and you vote neg on presumption or b) It </w:t>
      </w:r>
      <w:proofErr w:type="gramStart"/>
      <w:r w:rsidRPr="00A257D8">
        <w:t>is</w:t>
      </w:r>
      <w:proofErr w:type="gramEnd"/>
      <w:r w:rsidRPr="00A257D8">
        <w:t xml:space="preserve"> and it isn’t going to happen. </w:t>
      </w:r>
    </w:p>
    <w:p w14:paraId="2489E004" w14:textId="77777777" w:rsidR="008F71D5" w:rsidRPr="008F71D5" w:rsidRDefault="008F71D5" w:rsidP="008F71D5"/>
    <w:p w14:paraId="18105672" w14:textId="47E3E185" w:rsidR="00D719F4" w:rsidRDefault="00D719F4" w:rsidP="00D719F4"/>
    <w:p w14:paraId="0C4F987E" w14:textId="77777777" w:rsidR="00832512" w:rsidRPr="00D719F4" w:rsidRDefault="00832512" w:rsidP="00D719F4"/>
    <w:p w14:paraId="62ED3A2E" w14:textId="4919C86A" w:rsidR="00E42E4C" w:rsidRDefault="00E42E4C" w:rsidP="00F601E6"/>
    <w:p w14:paraId="0D3EF79C" w14:textId="77777777" w:rsidR="00CA1E88" w:rsidRPr="00CA1E88" w:rsidRDefault="00CA1E88" w:rsidP="006862EE">
      <w:pPr>
        <w:pStyle w:val="Heading4"/>
      </w:pPr>
    </w:p>
    <w:sectPr w:rsidR="00CA1E88" w:rsidRPr="00CA1E8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C2C2F" w14:textId="77777777" w:rsidR="00231233" w:rsidRDefault="00231233" w:rsidP="008F71D5">
      <w:pPr>
        <w:spacing w:after="0" w:line="240" w:lineRule="auto"/>
      </w:pPr>
      <w:r>
        <w:separator/>
      </w:r>
    </w:p>
  </w:endnote>
  <w:endnote w:type="continuationSeparator" w:id="0">
    <w:p w14:paraId="3EA3EFAF" w14:textId="77777777" w:rsidR="00231233" w:rsidRDefault="00231233" w:rsidP="008F7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890AC" w14:textId="77777777" w:rsidR="00231233" w:rsidRDefault="00231233" w:rsidP="008F71D5">
      <w:pPr>
        <w:spacing w:after="0" w:line="240" w:lineRule="auto"/>
      </w:pPr>
      <w:r>
        <w:separator/>
      </w:r>
    </w:p>
  </w:footnote>
  <w:footnote w:type="continuationSeparator" w:id="0">
    <w:p w14:paraId="1D985F47" w14:textId="77777777" w:rsidR="00231233" w:rsidRDefault="00231233" w:rsidP="008F71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72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482"/>
    <w:rsid w:val="002005A8"/>
    <w:rsid w:val="00201C4C"/>
    <w:rsid w:val="00203DD8"/>
    <w:rsid w:val="00204E1D"/>
    <w:rsid w:val="002059BD"/>
    <w:rsid w:val="00207FD8"/>
    <w:rsid w:val="00210FAF"/>
    <w:rsid w:val="00213B1E"/>
    <w:rsid w:val="002150E4"/>
    <w:rsid w:val="00215284"/>
    <w:rsid w:val="002168F2"/>
    <w:rsid w:val="00224D61"/>
    <w:rsid w:val="0022589F"/>
    <w:rsid w:val="00231233"/>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DF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C86"/>
    <w:rsid w:val="003C5F4C"/>
    <w:rsid w:val="003D5EA8"/>
    <w:rsid w:val="003D7B28"/>
    <w:rsid w:val="003E305E"/>
    <w:rsid w:val="003E34DB"/>
    <w:rsid w:val="003E5302"/>
    <w:rsid w:val="003E5BF1"/>
    <w:rsid w:val="003F229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F69"/>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723"/>
    <w:rsid w:val="00621301"/>
    <w:rsid w:val="0062173F"/>
    <w:rsid w:val="006235FB"/>
    <w:rsid w:val="00626A15"/>
    <w:rsid w:val="006379E9"/>
    <w:rsid w:val="006438CB"/>
    <w:rsid w:val="006529B9"/>
    <w:rsid w:val="00654695"/>
    <w:rsid w:val="0065500A"/>
    <w:rsid w:val="00655217"/>
    <w:rsid w:val="0065727C"/>
    <w:rsid w:val="00674A78"/>
    <w:rsid w:val="006862EE"/>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F94"/>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51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1D5"/>
    <w:rsid w:val="00901726"/>
    <w:rsid w:val="00904A5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7F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1E88"/>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29F"/>
    <w:rsid w:val="00D43A8C"/>
    <w:rsid w:val="00D53072"/>
    <w:rsid w:val="00D61A4E"/>
    <w:rsid w:val="00D634EA"/>
    <w:rsid w:val="00D63E07"/>
    <w:rsid w:val="00D713A1"/>
    <w:rsid w:val="00D719F4"/>
    <w:rsid w:val="00D77956"/>
    <w:rsid w:val="00D80F0C"/>
    <w:rsid w:val="00D92077"/>
    <w:rsid w:val="00D951E2"/>
    <w:rsid w:val="00D9565A"/>
    <w:rsid w:val="00DB2337"/>
    <w:rsid w:val="00DB5F87"/>
    <w:rsid w:val="00DB699B"/>
    <w:rsid w:val="00DC0376"/>
    <w:rsid w:val="00DC099B"/>
    <w:rsid w:val="00DC2BE5"/>
    <w:rsid w:val="00DC300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275"/>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2E69B2"/>
  <w14:defaultImageDpi w14:val="300"/>
  <w15:docId w15:val="{1302EE9C-1403-494C-A782-B7BD01D4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22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22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22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9"/>
    <w:unhideWhenUsed/>
    <w:qFormat/>
    <w:rsid w:val="003F22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3F22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22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2298"/>
  </w:style>
  <w:style w:type="character" w:customStyle="1" w:styleId="Heading1Char">
    <w:name w:val="Heading 1 Char"/>
    <w:aliases w:val="Pocket Char"/>
    <w:basedOn w:val="DefaultParagraphFont"/>
    <w:link w:val="Heading1"/>
    <w:uiPriority w:val="9"/>
    <w:rsid w:val="003F22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229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3F229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F22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2298"/>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3F2298"/>
    <w:rPr>
      <w:b/>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20"/>
    <w:qFormat/>
    <w:rsid w:val="003F229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F229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3F2298"/>
    <w:rPr>
      <w:color w:val="auto"/>
      <w:u w:val="none"/>
    </w:rPr>
  </w:style>
  <w:style w:type="paragraph" w:styleId="DocumentMap">
    <w:name w:val="Document Map"/>
    <w:basedOn w:val="Normal"/>
    <w:link w:val="DocumentMapChar"/>
    <w:uiPriority w:val="99"/>
    <w:semiHidden/>
    <w:unhideWhenUsed/>
    <w:rsid w:val="003F22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2298"/>
    <w:rPr>
      <w:rFonts w:ascii="Lucida Grande" w:hAnsi="Lucida Grande" w:cs="Lucida Grande"/>
    </w:rPr>
  </w:style>
  <w:style w:type="paragraph" w:customStyle="1" w:styleId="textbold">
    <w:name w:val="text bold"/>
    <w:basedOn w:val="Normal"/>
    <w:link w:val="Emphasis"/>
    <w:uiPriority w:val="20"/>
    <w:qFormat/>
    <w:rsid w:val="00325DF7"/>
    <w:pPr>
      <w:pBdr>
        <w:top w:val="single" w:sz="4" w:space="0" w:color="auto"/>
        <w:left w:val="single" w:sz="4" w:space="0" w:color="auto"/>
        <w:bottom w:val="single" w:sz="4" w:space="0" w:color="auto"/>
        <w:right w:val="single" w:sz="4" w:space="0" w:color="auto"/>
      </w:pBdr>
      <w:spacing w:line="254" w:lineRule="auto"/>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Clear,No Spacing7,Card,No Spacing1,Medium Grid 21,No Spacing31,No Spacing22"/>
    <w:basedOn w:val="Heading1"/>
    <w:link w:val="Hyperlink"/>
    <w:autoRedefine/>
    <w:uiPriority w:val="99"/>
    <w:qFormat/>
    <w:rsid w:val="00325D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8F71D5"/>
    <w:rPr>
      <w:vertAlign w:val="superscript"/>
    </w:rPr>
  </w:style>
  <w:style w:type="paragraph" w:styleId="FootnoteText">
    <w:name w:val="footnote text"/>
    <w:basedOn w:val="Normal"/>
    <w:link w:val="FootnoteTextChar"/>
    <w:uiPriority w:val="99"/>
    <w:unhideWhenUsed/>
    <w:qFormat/>
    <w:rsid w:val="008F71D5"/>
    <w:pPr>
      <w:spacing w:after="0" w:line="240" w:lineRule="auto"/>
    </w:pPr>
    <w:rPr>
      <w:sz w:val="24"/>
    </w:rPr>
  </w:style>
  <w:style w:type="character" w:customStyle="1" w:styleId="FootnoteTextChar">
    <w:name w:val="Footnote Text Char"/>
    <w:basedOn w:val="DefaultParagraphFont"/>
    <w:link w:val="FootnoteText"/>
    <w:uiPriority w:val="99"/>
    <w:rsid w:val="008F71D5"/>
    <w:rPr>
      <w:rFonts w:ascii="Calibri" w:hAnsi="Calibri" w:cs="Calibri"/>
    </w:rPr>
  </w:style>
  <w:style w:type="paragraph" w:styleId="NormalWeb">
    <w:name w:val="Normal (Web)"/>
    <w:basedOn w:val="Normal"/>
    <w:uiPriority w:val="99"/>
    <w:semiHidden/>
    <w:unhideWhenUsed/>
    <w:rsid w:val="008F71D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merriam-webster.com/dictionary/ough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sld.debatecoaches.org/Main%20//" TargetMode="External"/><Relationship Id="rId17" Type="http://schemas.openxmlformats.org/officeDocument/2006/relationships/hyperlink" Target="https://en.oxforddictionaries.com/definition/ought" TargetMode="External"/><Relationship Id="rId2" Type="http://schemas.openxmlformats.org/officeDocument/2006/relationships/customXml" Target="../customXml/item2.xml"/><Relationship Id="rId16" Type="http://schemas.openxmlformats.org/officeDocument/2006/relationships/hyperlink" Target="https://cei.org/wp-content/uploads/2012/04/Rand-Simberg-Homesteading-the-Final-Frontier.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abovethelaw.com/2020/01/space-law-can-only-be-libertarian-minde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8</Pages>
  <Words>2133</Words>
  <Characters>12160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10</cp:revision>
  <dcterms:created xsi:type="dcterms:W3CDTF">2022-02-17T02:05:00Z</dcterms:created>
  <dcterms:modified xsi:type="dcterms:W3CDTF">2022-02-18T20:44:00Z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