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3A844" w14:textId="55011579" w:rsidR="009F7A7E" w:rsidRDefault="009F7A7E" w:rsidP="009F7A7E">
      <w:pPr>
        <w:pStyle w:val="Heading3"/>
      </w:pPr>
      <w:r>
        <w:t>1</w:t>
      </w:r>
    </w:p>
    <w:p w14:paraId="1D7B1684" w14:textId="43D8B1D9" w:rsidR="009F7A7E" w:rsidRPr="009A0BAF" w:rsidRDefault="009F7A7E" w:rsidP="009F7A7E">
      <w:pPr>
        <w:pStyle w:val="Heading4"/>
        <w:rPr>
          <w:rFonts w:cs="Calibri"/>
        </w:rPr>
      </w:pPr>
      <w:r w:rsidRPr="009A0BAF">
        <w:rPr>
          <w:rFonts w:cs="Calibri"/>
        </w:rPr>
        <w:t xml:space="preserve">Interpretation: Debaters must disclose all constructive positions on open source with highlighting on the </w:t>
      </w:r>
      <w:r>
        <w:rPr>
          <w:rFonts w:cs="Calibri"/>
        </w:rPr>
        <w:t>20</w:t>
      </w:r>
      <w:r w:rsidR="00ED0403">
        <w:rPr>
          <w:rFonts w:cs="Calibri"/>
        </w:rPr>
        <w:t>21</w:t>
      </w:r>
      <w:r w:rsidRPr="009A0BAF">
        <w:rPr>
          <w:rFonts w:cs="Calibri"/>
        </w:rPr>
        <w:t>-</w:t>
      </w:r>
      <w:r>
        <w:rPr>
          <w:rFonts w:cs="Calibri"/>
        </w:rPr>
        <w:t>2</w:t>
      </w:r>
      <w:r w:rsidR="00ED0403">
        <w:rPr>
          <w:rFonts w:cs="Calibri"/>
        </w:rPr>
        <w:t>2</w:t>
      </w:r>
      <w:r w:rsidRPr="009A0BAF">
        <w:rPr>
          <w:rFonts w:cs="Calibri"/>
        </w:rPr>
        <w:t xml:space="preserve"> NDCA LD wiki after the round in which they read them. </w:t>
      </w:r>
    </w:p>
    <w:p w14:paraId="161B8951" w14:textId="7F1D9346" w:rsidR="009F7A7E" w:rsidRPr="009A0BAF" w:rsidRDefault="009F7A7E" w:rsidP="009F7A7E">
      <w:pPr>
        <w:pStyle w:val="Heading4"/>
        <w:rPr>
          <w:rFonts w:cs="Calibri"/>
        </w:rPr>
      </w:pPr>
      <w:r w:rsidRPr="009A0BAF">
        <w:rPr>
          <w:rFonts w:cs="Calibri"/>
        </w:rPr>
        <w:lastRenderedPageBreak/>
        <w:t>Violation –</w:t>
      </w:r>
      <w:r>
        <w:rPr>
          <w:rFonts w:cs="Calibri"/>
        </w:rPr>
        <w:t xml:space="preserve"> they don’t</w:t>
      </w:r>
      <w:r w:rsidR="005C676C">
        <w:rPr>
          <w:rFonts w:cs="Calibri"/>
        </w:rPr>
        <w:t xml:space="preserve"> – they debated at </w:t>
      </w:r>
      <w:proofErr w:type="spellStart"/>
      <w:r w:rsidR="005C676C">
        <w:rPr>
          <w:rFonts w:cs="Calibri"/>
        </w:rPr>
        <w:t>colleyville</w:t>
      </w:r>
      <w:proofErr w:type="spellEnd"/>
      <w:r w:rsidR="005C676C">
        <w:rPr>
          <w:rFonts w:cs="Calibri"/>
        </w:rPr>
        <w:t xml:space="preserve"> but have nothing disclosed on their wiki</w:t>
      </w:r>
      <w:r w:rsidR="005C676C">
        <w:rPr>
          <w:rFonts w:cs="Calibri"/>
          <w:noProof/>
        </w:rPr>
        <w:lastRenderedPageBreak/>
        <w:drawing>
          <wp:inline distT="0" distB="0" distL="0" distR="0" wp14:anchorId="17BA7E6B" wp14:editId="59B5EC56">
            <wp:extent cx="5486400" cy="4787900"/>
            <wp:effectExtent l="0" t="0" r="0" b="0"/>
            <wp:docPr id="4" name="Picture 4" descr="Text, 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 table&#10;&#10;Description automatically generated with medium confidence"/>
                    <pic:cNvPicPr/>
                  </pic:nvPicPr>
                  <pic:blipFill>
                    <a:blip r:embed="rId11"/>
                    <a:stretch>
                      <a:fillRect/>
                    </a:stretch>
                  </pic:blipFill>
                  <pic:spPr>
                    <a:xfrm>
                      <a:off x="0" y="0"/>
                      <a:ext cx="5486400" cy="4787900"/>
                    </a:xfrm>
                    <a:prstGeom prst="rect">
                      <a:avLst/>
                    </a:prstGeom>
                  </pic:spPr>
                </pic:pic>
              </a:graphicData>
            </a:graphic>
          </wp:inline>
        </w:drawing>
      </w:r>
      <w:r w:rsidR="00ED0403">
        <w:rPr>
          <w:rFonts w:cs="Calibri"/>
          <w:noProof/>
        </w:rPr>
        <w:lastRenderedPageBreak/>
        <w:drawing>
          <wp:inline distT="0" distB="0" distL="0" distR="0" wp14:anchorId="29BCD4EE" wp14:editId="05DAE8E5">
            <wp:extent cx="16586200" cy="732790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2"/>
                    <a:stretch>
                      <a:fillRect/>
                    </a:stretch>
                  </pic:blipFill>
                  <pic:spPr>
                    <a:xfrm>
                      <a:off x="0" y="0"/>
                      <a:ext cx="16586200" cy="7327900"/>
                    </a:xfrm>
                    <a:prstGeom prst="rect">
                      <a:avLst/>
                    </a:prstGeom>
                  </pic:spPr>
                </pic:pic>
              </a:graphicData>
            </a:graphic>
          </wp:inline>
        </w:drawing>
      </w:r>
    </w:p>
    <w:p w14:paraId="396FA737" w14:textId="77777777" w:rsidR="009F7A7E" w:rsidRPr="009A0BAF" w:rsidRDefault="009F7A7E" w:rsidP="009F7A7E">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p>
    <w:p w14:paraId="0B6ECB11" w14:textId="77777777" w:rsidR="009F7A7E" w:rsidRDefault="009F7A7E" w:rsidP="009F7A7E">
      <w:r w:rsidRPr="47CB8AD5">
        <w:rPr>
          <w:rStyle w:val="Style13ptBold"/>
        </w:rPr>
        <w:lastRenderedPageBreak/>
        <w:t>Louden 10</w:t>
      </w:r>
      <w:r>
        <w:t xml:space="preserve"> – Allan D. Louden, professor of Communication at Wake Forest (“Navigating Opportunity: Policy Debate in the 21st Century” Wake Forest National Debate Conference. IDEA, 2010)</w:t>
      </w:r>
    </w:p>
    <w:p w14:paraId="3470F5BC" w14:textId="77777777" w:rsidR="009F7A7E" w:rsidRDefault="009F7A7E" w:rsidP="009F7A7E">
      <w:r>
        <w:t xml:space="preserve">Groups interested in engaging in competitive National Debate Tournament (NDT)-Cross Examination Debate Association (CEDA)-style policy debate are entering an exciting time in the debate community where </w:t>
      </w:r>
      <w:r w:rsidRPr="47CB8AD5">
        <w:rPr>
          <w:b/>
          <w:bCs/>
          <w:sz w:val="26"/>
          <w:szCs w:val="26"/>
          <w:u w:val="single"/>
        </w:rPr>
        <w:t>digital resources are making research and networking increasingly accessible</w:t>
      </w:r>
      <w:r>
        <w:t xml:space="preserve">. Those developing programs should be encouraged to choose their own topics and resolutions, but they should also make use of the massive resources available by focusing on the official NDT-CEDA resolution. </w:t>
      </w:r>
      <w:r w:rsidRPr="47CB8AD5">
        <w:rPr>
          <w:b/>
          <w:bCs/>
          <w:sz w:val="26"/>
          <w:szCs w:val="26"/>
          <w:highlight w:val="green"/>
          <w:u w:val="single"/>
        </w:rPr>
        <w:t>New initiatives in</w:t>
      </w:r>
      <w:r w:rsidRPr="47CB8AD5">
        <w:rPr>
          <w:b/>
          <w:bCs/>
          <w:sz w:val="26"/>
          <w:szCs w:val="26"/>
          <w:u w:val="single"/>
        </w:rPr>
        <w:t xml:space="preserve"> the field of </w:t>
      </w:r>
      <w:r w:rsidRPr="47CB8AD5">
        <w:rPr>
          <w:b/>
          <w:bCs/>
          <w:sz w:val="26"/>
          <w:szCs w:val="26"/>
          <w:highlight w:val="green"/>
          <w:u w:val="single"/>
        </w:rPr>
        <w:t>open-source</w:t>
      </w:r>
      <w:r w:rsidRPr="47CB8AD5">
        <w:rPr>
          <w:b/>
          <w:bCs/>
          <w:sz w:val="26"/>
          <w:szCs w:val="26"/>
          <w:u w:val="single"/>
        </w:rPr>
        <w:t xml:space="preserve"> debate </w:t>
      </w:r>
      <w:r w:rsidRPr="47CB8AD5">
        <w:rPr>
          <w:b/>
          <w:bCs/>
          <w:sz w:val="26"/>
          <w:szCs w:val="26"/>
          <w:highlight w:val="green"/>
          <w:u w:val="single"/>
        </w:rPr>
        <w:t>make evidence sharing</w:t>
      </w:r>
      <w:r w:rsidRPr="47CB8AD5">
        <w:rPr>
          <w:b/>
          <w:bCs/>
          <w:sz w:val="26"/>
          <w:szCs w:val="26"/>
          <w:u w:val="single"/>
        </w:rPr>
        <w:t xml:space="preserve">, such as the Open </w:t>
      </w:r>
      <w:proofErr w:type="spellStart"/>
      <w:r w:rsidRPr="47CB8AD5">
        <w:rPr>
          <w:b/>
          <w:bCs/>
          <w:sz w:val="26"/>
          <w:szCs w:val="26"/>
          <w:u w:val="single"/>
        </w:rPr>
        <w:t>Caselist</w:t>
      </w:r>
      <w:proofErr w:type="spellEnd"/>
      <w:r w:rsidRPr="47CB8AD5">
        <w:rPr>
          <w:b/>
          <w:bCs/>
          <w:sz w:val="26"/>
          <w:szCs w:val="26"/>
          <w:u w:val="single"/>
        </w:rPr>
        <w:t xml:space="preserve">, </w:t>
      </w:r>
      <w:r w:rsidRPr="47CB8AD5">
        <w:rPr>
          <w:b/>
          <w:bCs/>
          <w:sz w:val="26"/>
          <w:szCs w:val="26"/>
          <w:highlight w:val="green"/>
          <w:u w:val="single"/>
        </w:rPr>
        <w:t>a powerful tool for new programs to engage and compete against established teams</w:t>
      </w:r>
      <w:r>
        <w:t xml:space="preserve">. It is no coincidence that </w:t>
      </w:r>
      <w:r w:rsidRPr="47CB8AD5">
        <w:rPr>
          <w:b/>
          <w:bCs/>
          <w:sz w:val="26"/>
          <w:szCs w:val="26"/>
          <w:u w:val="single"/>
        </w:rPr>
        <w:t xml:space="preserve">the winners of the NDT tend to be the schools with the largest coaching staffs, but the increased </w:t>
      </w:r>
      <w:r w:rsidRPr="47CB8AD5">
        <w:rPr>
          <w:b/>
          <w:bCs/>
          <w:sz w:val="26"/>
          <w:szCs w:val="26"/>
          <w:highlight w:val="green"/>
          <w:u w:val="single"/>
        </w:rPr>
        <w:t>distribution</w:t>
      </w:r>
      <w:r w:rsidRPr="47CB8AD5">
        <w:rPr>
          <w:b/>
          <w:bCs/>
          <w:sz w:val="26"/>
          <w:szCs w:val="26"/>
          <w:u w:val="single"/>
        </w:rPr>
        <w:t xml:space="preserve"> and free sharing </w:t>
      </w:r>
      <w:r w:rsidRPr="47CB8AD5">
        <w:rPr>
          <w:b/>
          <w:bCs/>
          <w:sz w:val="26"/>
          <w:szCs w:val="26"/>
          <w:highlight w:val="green"/>
          <w:u w:val="single"/>
        </w:rPr>
        <w:t>of evidence and resources have made smaller</w:t>
      </w:r>
      <w:r w:rsidRPr="47CB8AD5">
        <w:rPr>
          <w:b/>
          <w:bCs/>
          <w:sz w:val="26"/>
          <w:szCs w:val="26"/>
          <w:u w:val="single"/>
        </w:rPr>
        <w:t xml:space="preserve"> debate </w:t>
      </w:r>
      <w:r w:rsidRPr="47CB8AD5">
        <w:rPr>
          <w:b/>
          <w:bCs/>
          <w:sz w:val="26"/>
          <w:szCs w:val="26"/>
          <w:highlight w:val="green"/>
          <w:u w:val="single"/>
        </w:rPr>
        <w:t xml:space="preserve">programs </w:t>
      </w:r>
      <w:r w:rsidRPr="47CB8AD5">
        <w:rPr>
          <w:b/>
          <w:bCs/>
          <w:sz w:val="26"/>
          <w:szCs w:val="26"/>
          <w:u w:val="single"/>
        </w:rPr>
        <w:t xml:space="preserve">increasingly </w:t>
      </w:r>
      <w:r w:rsidRPr="47CB8AD5">
        <w:rPr>
          <w:b/>
          <w:bCs/>
          <w:sz w:val="26"/>
          <w:szCs w:val="26"/>
          <w:highlight w:val="green"/>
          <w:u w:val="single"/>
        </w:rPr>
        <w:t>capable of competing against larger institutions</w:t>
      </w:r>
      <w:r>
        <w:t xml:space="preserve">. We are now seeing the beginnings of </w:t>
      </w:r>
      <w:r w:rsidRPr="47CB8AD5">
        <w:rPr>
          <w:b/>
          <w:bCs/>
          <w:sz w:val="26"/>
          <w:szCs w:val="26"/>
          <w:highlight w:val="green"/>
          <w:u w:val="single"/>
        </w:rPr>
        <w:t>increased resource sharing</w:t>
      </w:r>
      <w:r>
        <w:t xml:space="preserve">, with multiple initiatives focusing on regional evidence sharing for groups of developing debate programs. This </w:t>
      </w:r>
      <w:r w:rsidRPr="47CB8AD5">
        <w:rPr>
          <w:b/>
          <w:bCs/>
          <w:sz w:val="26"/>
          <w:szCs w:val="26"/>
          <w:highlight w:val="green"/>
          <w:u w:val="single"/>
        </w:rPr>
        <w:t>is</w:t>
      </w:r>
      <w:r w:rsidRPr="47CB8AD5">
        <w:rPr>
          <w:b/>
          <w:bCs/>
          <w:sz w:val="26"/>
          <w:szCs w:val="26"/>
          <w:u w:val="single"/>
        </w:rPr>
        <w:t xml:space="preserve"> one example of dramatic changes occurring in the community that </w:t>
      </w:r>
      <w:proofErr w:type="gramStart"/>
      <w:r w:rsidRPr="47CB8AD5">
        <w:rPr>
          <w:b/>
          <w:bCs/>
          <w:sz w:val="26"/>
          <w:szCs w:val="26"/>
          <w:u w:val="single"/>
        </w:rPr>
        <w:t xml:space="preserve">are </w:t>
      </w:r>
      <w:r w:rsidRPr="47CB8AD5">
        <w:rPr>
          <w:b/>
          <w:bCs/>
          <w:sz w:val="26"/>
          <w:szCs w:val="26"/>
          <w:highlight w:val="green"/>
          <w:u w:val="single"/>
        </w:rPr>
        <w:t>capable of opening</w:t>
      </w:r>
      <w:proofErr w:type="gramEnd"/>
      <w:r w:rsidRPr="47CB8AD5">
        <w:rPr>
          <w:b/>
          <w:bCs/>
          <w:sz w:val="26"/>
          <w:szCs w:val="26"/>
          <w:highlight w:val="green"/>
          <w:u w:val="single"/>
        </w:rPr>
        <w:t xml:space="preserve"> the doors for new participation in debate</w:t>
      </w:r>
      <w: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t>struc-tured</w:t>
      </w:r>
      <w:proofErr w:type="spellEnd"/>
      <w:r>
        <w:t xml:space="preserve"> and coached debate program, and eventually developing the capability to maintain multiple professional teaching positions, such as those discussed earlier in the chapter.</w:t>
      </w:r>
      <w:r w:rsidRPr="47CB8AD5">
        <w:rPr>
          <w:rStyle w:val="Style13ptBold"/>
        </w:rPr>
        <w:t xml:space="preserve"> </w:t>
      </w:r>
    </w:p>
    <w:p w14:paraId="6C900DBA" w14:textId="77777777" w:rsidR="009F7A7E" w:rsidRPr="009A0BAF" w:rsidRDefault="009F7A7E" w:rsidP="009F7A7E">
      <w:pPr>
        <w:pStyle w:val="Heading4"/>
        <w:rPr>
          <w:rFonts w:cs="Calibri"/>
        </w:rPr>
      </w:pPr>
      <w:r w:rsidRPr="47CB8AD5">
        <w:rPr>
          <w:rFonts w:cs="Calibri"/>
        </w:rPr>
        <w:t>2] Evidence ethics – open source is the only way to verify pre-round that cards aren’t miscut or highlighted or bracketed unethically. That’s a voter – maintaining ethical ev</w:t>
      </w:r>
      <w:r>
        <w:rPr>
          <w:rFonts w:cs="Calibri"/>
        </w:rPr>
        <w:t>idence</w:t>
      </w:r>
      <w:r w:rsidRPr="47CB8AD5">
        <w:rPr>
          <w:rFonts w:cs="Calibri"/>
        </w:rPr>
        <w:t xml:space="preserve"> practices is key to being good academics and we should be able to verify you didn’t cheat</w:t>
      </w:r>
    </w:p>
    <w:p w14:paraId="6D6B9001" w14:textId="77777777" w:rsidR="009F7A7E" w:rsidRDefault="009F7A7E" w:rsidP="009F7A7E">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r>
        <w:rPr>
          <w:rFonts w:cs="Calibri"/>
        </w:rPr>
        <w:t xml:space="preserve">evidence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528064E2" w14:textId="590D8098" w:rsidR="009F7A7E" w:rsidRDefault="009F7A7E" w:rsidP="009F7A7E"/>
    <w:p w14:paraId="760B33F0" w14:textId="1D589A9D" w:rsidR="009F7A7E" w:rsidRDefault="009F7A7E" w:rsidP="009F7A7E">
      <w:pPr>
        <w:pStyle w:val="Heading3"/>
      </w:pPr>
      <w:r>
        <w:lastRenderedPageBreak/>
        <w:t>2</w:t>
      </w:r>
    </w:p>
    <w:p w14:paraId="7125EB15" w14:textId="77777777" w:rsidR="00ED0403" w:rsidRPr="0038016C" w:rsidRDefault="00ED0403" w:rsidP="00ED0403">
      <w:pPr>
        <w:pStyle w:val="Heading4"/>
        <w:rPr>
          <w:bCs w:val="0"/>
        </w:rPr>
      </w:pPr>
      <w:proofErr w:type="spellStart"/>
      <w:r>
        <w:rPr>
          <w:rStyle w:val="Style13ptBold"/>
          <w:b/>
          <w:bCs w:val="0"/>
        </w:rPr>
        <w:t>Interp</w:t>
      </w:r>
      <w:proofErr w:type="spellEnd"/>
      <w:r>
        <w:rPr>
          <w:rStyle w:val="Style13ptBold"/>
          <w:b/>
          <w:bCs w:val="0"/>
        </w:rPr>
        <w:t xml:space="preserve">: Debaters must not defend the hypothetical implementation of an explicit actor or action </w:t>
      </w:r>
    </w:p>
    <w:p w14:paraId="56B867FC" w14:textId="77777777" w:rsidR="00ED0403" w:rsidRPr="00CD32CB" w:rsidRDefault="00ED0403" w:rsidP="00ED0403">
      <w:pPr>
        <w:pStyle w:val="Heading4"/>
        <w:rPr>
          <w:rFonts w:cs="Arial"/>
          <w:sz w:val="10"/>
          <w:szCs w:val="10"/>
        </w:rPr>
      </w:pPr>
      <w:r w:rsidRPr="00CD32CB">
        <w:rPr>
          <w:rFonts w:cs="Arial"/>
        </w:rPr>
        <w:t xml:space="preserve">Is means </w:t>
      </w:r>
      <w:r w:rsidRPr="00CD32CB">
        <w:rPr>
          <w:rFonts w:cs="Arial"/>
          <w:b w:val="0"/>
          <w:sz w:val="10"/>
          <w:szCs w:val="10"/>
        </w:rPr>
        <w:t xml:space="preserve">is </w:t>
      </w:r>
      <w:r w:rsidRPr="00CD32CB">
        <w:rPr>
          <w:rFonts w:cs="Arial"/>
          <w:b w:val="0"/>
          <w:sz w:val="10"/>
          <w:szCs w:val="10"/>
          <w:u w:val="single"/>
        </w:rPr>
        <w:t>Definition of is</w:t>
      </w:r>
      <w:r w:rsidRPr="00CD32CB">
        <w:rPr>
          <w:rFonts w:cs="Arial"/>
          <w:b w:val="0"/>
          <w:sz w:val="10"/>
          <w:szCs w:val="10"/>
        </w:rPr>
        <w:t xml:space="preserve"> (Entry 1 of 4) present tense third-person singular of BE </w:t>
      </w:r>
      <w:r w:rsidRPr="00CD32CB">
        <w:rPr>
          <w:rStyle w:val="Emphasis"/>
          <w:b/>
          <w:sz w:val="24"/>
          <w:szCs w:val="24"/>
          <w:highlight w:val="green"/>
        </w:rPr>
        <w:t>dialectal present tense</w:t>
      </w:r>
      <w:r w:rsidRPr="00CD32CB">
        <w:rPr>
          <w:rFonts w:cs="Arial"/>
          <w:b w:val="0"/>
          <w:sz w:val="10"/>
          <w:szCs w:val="10"/>
        </w:rPr>
        <w:t xml:space="preserve"> first-person and third-person </w:t>
      </w:r>
      <w:r w:rsidRPr="00CD32CB">
        <w:rPr>
          <w:rStyle w:val="StyleUnderline"/>
          <w:rFonts w:cs="Arial"/>
        </w:rPr>
        <w:t>singular</w:t>
      </w:r>
      <w:r w:rsidRPr="00CD32CB">
        <w:rPr>
          <w:rFonts w:cs="Arial"/>
          <w:b w:val="0"/>
          <w:sz w:val="10"/>
          <w:szCs w:val="10"/>
        </w:rPr>
        <w:t xml:space="preserve"> </w:t>
      </w:r>
      <w:r w:rsidRPr="00CD32CB">
        <w:rPr>
          <w:rStyle w:val="Emphasis"/>
          <w:b/>
          <w:sz w:val="24"/>
          <w:szCs w:val="24"/>
          <w:highlight w:val="green"/>
        </w:rPr>
        <w:t>of BE</w:t>
      </w:r>
      <w:r w:rsidRPr="00CD32CB">
        <w:rPr>
          <w:rFonts w:cs="Arial"/>
        </w:rPr>
        <w:t xml:space="preserve"> </w:t>
      </w:r>
      <w:r w:rsidRPr="00CD32CB">
        <w:rPr>
          <w:rFonts w:cs="Arial"/>
          <w:b w:val="0"/>
          <w:sz w:val="10"/>
          <w:szCs w:val="10"/>
        </w:rPr>
        <w:t>dialectal present tense plural of BE</w:t>
      </w:r>
    </w:p>
    <w:p w14:paraId="7B7A02FD" w14:textId="77777777" w:rsidR="00ED0403" w:rsidRPr="00CD32CB" w:rsidRDefault="00ED0403" w:rsidP="00ED0403">
      <w:r w:rsidRPr="00CD32CB">
        <w:rPr>
          <w:rStyle w:val="Style13ptBold"/>
        </w:rPr>
        <w:t>Webster ND</w:t>
      </w:r>
      <w:r w:rsidRPr="00CD32CB">
        <w:t xml:space="preserve"> Definition of IS," Merriam Webster, </w:t>
      </w:r>
      <w:hyperlink r:id="rId13" w:history="1">
        <w:r w:rsidRPr="00CD32CB">
          <w:rPr>
            <w:rStyle w:val="Hyperlink"/>
          </w:rPr>
          <w:t>https://www.merriam-webster.com/dictionary/is</w:t>
        </w:r>
      </w:hyperlink>
      <w:r w:rsidRPr="00CD32CB">
        <w:t xml:space="preserve"> IS</w:t>
      </w:r>
    </w:p>
    <w:p w14:paraId="12D198F4" w14:textId="77777777" w:rsidR="00ED0403" w:rsidRPr="00CD32CB" w:rsidRDefault="00ED0403" w:rsidP="00ED0403">
      <w:pPr>
        <w:pStyle w:val="Heading4"/>
        <w:rPr>
          <w:rFonts w:cs="Arial"/>
        </w:rPr>
      </w:pPr>
      <w:r w:rsidRPr="00CD32CB">
        <w:rPr>
          <w:rFonts w:cs="Arial"/>
        </w:rPr>
        <w:t>Dialectical present tense means logical coherence which implies no implementation</w:t>
      </w:r>
    </w:p>
    <w:p w14:paraId="0DE571A1" w14:textId="77777777" w:rsidR="00ED0403" w:rsidRPr="00CD32CB" w:rsidRDefault="00ED0403" w:rsidP="00ED0403">
      <w:r w:rsidRPr="00CD32CB">
        <w:rPr>
          <w:rStyle w:val="Style13ptBold"/>
        </w:rPr>
        <w:t>Your Dictionary ND</w:t>
      </w:r>
      <w:r w:rsidRPr="00CD32CB">
        <w:t xml:space="preserve">, "Dialectical Meaning," No Publication, </w:t>
      </w:r>
      <w:hyperlink r:id="rId14" w:history="1">
        <w:r w:rsidRPr="00CD32CB">
          <w:rPr>
            <w:rStyle w:val="Hyperlink"/>
          </w:rPr>
          <w:t>https://www.yourdictionary.com/dialectical</w:t>
        </w:r>
      </w:hyperlink>
      <w:r w:rsidRPr="00CD32CB">
        <w:t xml:space="preserve"> Cho</w:t>
      </w:r>
    </w:p>
    <w:p w14:paraId="3644EEAD" w14:textId="77777777" w:rsidR="00ED0403" w:rsidRPr="00CD32CB" w:rsidRDefault="00ED0403" w:rsidP="00ED0403">
      <w:pPr>
        <w:rPr>
          <w:rStyle w:val="Emphasis"/>
        </w:rPr>
      </w:pPr>
      <w:r w:rsidRPr="00CD32CB">
        <w:rPr>
          <w:sz w:val="12"/>
        </w:rPr>
        <w:t xml:space="preserve">The </w:t>
      </w:r>
      <w:r w:rsidRPr="00CD32CB">
        <w:rPr>
          <w:rStyle w:val="Emphasis"/>
          <w:highlight w:val="green"/>
        </w:rPr>
        <w:t>definition of dialectical</w:t>
      </w:r>
      <w:r w:rsidRPr="00CD32CB">
        <w:rPr>
          <w:sz w:val="12"/>
        </w:rPr>
        <w:t xml:space="preserve"> is a discussion that includes logical reasoning and dialogue, or something having the sounds, </w:t>
      </w:r>
      <w:proofErr w:type="gramStart"/>
      <w:r w:rsidRPr="00CD32CB">
        <w:rPr>
          <w:sz w:val="12"/>
        </w:rPr>
        <w:t>vocabulary</w:t>
      </w:r>
      <w:proofErr w:type="gramEnd"/>
      <w:r w:rsidRPr="00CD32CB">
        <w:rPr>
          <w:sz w:val="12"/>
        </w:rPr>
        <w:t xml:space="preserve"> and grammar of a specific way of speaking. An </w:t>
      </w:r>
      <w:r w:rsidRPr="00CD32CB">
        <w:rPr>
          <w:rStyle w:val="Emphasis"/>
          <w:highlight w:val="green"/>
        </w:rPr>
        <w:t>example of something dialectical is a Lincoln Douglass style of debate,</w:t>
      </w:r>
      <w:r w:rsidRPr="00CD32CB">
        <w:rPr>
          <w:sz w:val="12"/>
        </w:rPr>
        <w:t xml:space="preserve"> </w:t>
      </w:r>
      <w:r w:rsidRPr="00CD32CB">
        <w:rPr>
          <w:rStyle w:val="Emphasis"/>
          <w:highlight w:val="green"/>
        </w:rPr>
        <w:t>where both parties argue a point in a logical order</w:t>
      </w:r>
      <w:r w:rsidRPr="00CD32CB">
        <w:rPr>
          <w:sz w:val="12"/>
        </w:rPr>
        <w:t xml:space="preserve">. Of, or pertaining to dialectic; </w:t>
      </w:r>
      <w:r w:rsidRPr="00CD32CB">
        <w:rPr>
          <w:rStyle w:val="Emphasis"/>
          <w:highlight w:val="green"/>
        </w:rPr>
        <w:t>logic</w:t>
      </w:r>
      <w:r w:rsidRPr="00CD32CB">
        <w:rPr>
          <w:sz w:val="12"/>
        </w:rPr>
        <w:t xml:space="preserve">ally </w:t>
      </w:r>
      <w:r w:rsidRPr="00CD32CB">
        <w:rPr>
          <w:rStyle w:val="Emphasis"/>
          <w:highlight w:val="green"/>
        </w:rPr>
        <w:t>reason</w:t>
      </w:r>
      <w:r w:rsidRPr="00CD32CB">
        <w:rPr>
          <w:sz w:val="12"/>
        </w:rPr>
        <w:t xml:space="preserve">ed through the </w:t>
      </w:r>
      <w:r w:rsidRPr="00CD32CB">
        <w:rPr>
          <w:rStyle w:val="Emphasis"/>
          <w:highlight w:val="green"/>
        </w:rPr>
        <w:t>exchange of opposing ideas.</w:t>
      </w:r>
    </w:p>
    <w:p w14:paraId="0D853DBD" w14:textId="77777777" w:rsidR="00ED0403" w:rsidRPr="00CD32CB" w:rsidRDefault="00ED0403" w:rsidP="00ED0403">
      <w:pPr>
        <w:rPr>
          <w:rStyle w:val="Emphasis"/>
        </w:rPr>
      </w:pPr>
    </w:p>
    <w:p w14:paraId="4B9E3BCC" w14:textId="77777777" w:rsidR="00ED0403" w:rsidRPr="00CD32CB" w:rsidRDefault="00ED0403" w:rsidP="00ED0403">
      <w:pPr>
        <w:pStyle w:val="Heading4"/>
        <w:rPr>
          <w:rFonts w:cs="Arial"/>
        </w:rPr>
      </w:pPr>
      <w:r w:rsidRPr="00CD32CB">
        <w:rPr>
          <w:rFonts w:cs="Arial"/>
        </w:rPr>
        <w:t xml:space="preserve">“BE” is a linking verb, not an action verb so implementation is incoherent </w:t>
      </w:r>
    </w:p>
    <w:p w14:paraId="1068ED89" w14:textId="1E8AE94A" w:rsidR="00ED0403" w:rsidRPr="00CD32CB" w:rsidRDefault="00ED0403" w:rsidP="00ED0403">
      <w:r w:rsidRPr="00CD32CB">
        <w:rPr>
          <w:rStyle w:val="Style13ptBold"/>
        </w:rPr>
        <w:t>Grammar Monster ND</w:t>
      </w:r>
      <w:r w:rsidRPr="00CD32CB">
        <w:t xml:space="preserve"> "Linking Verbs," Grammar Monster, </w:t>
      </w:r>
      <w:hyperlink r:id="rId15" w:history="1">
        <w:r w:rsidRPr="00CD32CB">
          <w:rPr>
            <w:rStyle w:val="Hyperlink"/>
          </w:rPr>
          <w:t>https://www.grammar-monster.com/glossary/linking_verbs.htm</w:t>
        </w:r>
      </w:hyperlink>
      <w:r w:rsidRPr="00CD32CB">
        <w:t xml:space="preserve"> CHO</w:t>
      </w:r>
    </w:p>
    <w:p w14:paraId="246D4DE1" w14:textId="38ABE563" w:rsidR="00ED0403" w:rsidRPr="00CD32CB" w:rsidRDefault="00ED0403" w:rsidP="00ED0403">
      <w:pPr>
        <w:rPr>
          <w:sz w:val="12"/>
        </w:rPr>
      </w:pPr>
      <w:r w:rsidRPr="00CD32CB">
        <w:rPr>
          <w:sz w:val="12"/>
        </w:rPr>
        <w:t>What Are Linking Verbs? (</w:t>
      </w:r>
      <w:proofErr w:type="gramStart"/>
      <w:r w:rsidRPr="00CD32CB">
        <w:rPr>
          <w:sz w:val="12"/>
        </w:rPr>
        <w:t>with</w:t>
      </w:r>
      <w:proofErr w:type="gramEnd"/>
      <w:r w:rsidRPr="00CD32CB">
        <w:rPr>
          <w:sz w:val="12"/>
        </w:rPr>
        <w:t xml:space="preserve">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CD32CB">
        <w:rPr>
          <w:sz w:val="12"/>
        </w:rPr>
        <w:t>highlighted</w:t>
      </w:r>
      <w:proofErr w:type="gramEnd"/>
      <w:r w:rsidRPr="00CD32CB">
        <w:rPr>
          <w:sz w:val="12"/>
        </w:rPr>
        <w:t xml:space="preserve"> and the subject is bold. </w:t>
      </w:r>
      <w:r w:rsidRPr="00CD32CB">
        <w:rPr>
          <w:rStyle w:val="Emphasis"/>
          <w:highlight w:val="green"/>
        </w:rPr>
        <w:t>Alan</w:t>
      </w:r>
      <w:r>
        <w:rPr>
          <w:rStyle w:val="Emphasis"/>
          <w:highlight w:val="green"/>
        </w:rPr>
        <w:t xml:space="preserve"> </w:t>
      </w:r>
      <w:r w:rsidRPr="00CD32CB">
        <w:rPr>
          <w:rStyle w:val="Emphasis"/>
          <w:highlight w:val="green"/>
        </w:rPr>
        <w:t>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1051718E" w14:textId="77777777" w:rsidR="00ED0403" w:rsidRPr="00B55AD5" w:rsidRDefault="00ED0403" w:rsidP="00ED0403"/>
    <w:p w14:paraId="1F7E0CA2" w14:textId="77777777" w:rsidR="00ED0403" w:rsidRPr="00CD32CB" w:rsidRDefault="00ED0403" w:rsidP="00ED0403">
      <w:r w:rsidRPr="00CD32CB">
        <w:rPr>
          <w:noProof/>
        </w:rPr>
        <w:drawing>
          <wp:inline distT="0" distB="0" distL="0" distR="0" wp14:anchorId="0326B36B" wp14:editId="7EBDBE2C">
            <wp:extent cx="1996440" cy="1597025"/>
            <wp:effectExtent l="0" t="0" r="0" b="3175"/>
            <wp:docPr id="2" name="Picture 2"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41B77798" w14:textId="77777777" w:rsidR="00ED0403" w:rsidRPr="00CD32CB" w:rsidRDefault="00ED0403" w:rsidP="00ED0403">
      <w:pPr>
        <w:rPr>
          <w:b/>
          <w:iCs/>
          <w:u w:val="single"/>
        </w:rPr>
      </w:pPr>
      <w:r w:rsidRPr="00CD32CB">
        <w:rPr>
          <w:noProof/>
        </w:rPr>
        <w:lastRenderedPageBreak/>
        <w:drawing>
          <wp:inline distT="0" distB="0" distL="0" distR="0" wp14:anchorId="5035A7EE" wp14:editId="35782F4D">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3673ECC5" w14:textId="77777777" w:rsidR="00ED0403" w:rsidRPr="00CD32CB" w:rsidRDefault="00ED0403" w:rsidP="00ED0403">
      <w:pPr>
        <w:rPr>
          <w:b/>
          <w:iCs/>
          <w:u w:val="single"/>
        </w:rPr>
      </w:pPr>
    </w:p>
    <w:p w14:paraId="184F0049" w14:textId="77777777" w:rsidR="00ED0403" w:rsidRPr="00CD32CB" w:rsidRDefault="00ED0403" w:rsidP="00ED0403">
      <w:pPr>
        <w:pStyle w:val="Heading4"/>
        <w:rPr>
          <w:rFonts w:cs="Arial"/>
          <w:b w:val="0"/>
          <w:bCs w:val="0"/>
          <w:sz w:val="10"/>
          <w:szCs w:val="10"/>
        </w:rPr>
      </w:pPr>
      <w:r w:rsidRPr="00CD32CB">
        <w:rPr>
          <w:rFonts w:cs="Arial"/>
        </w:rPr>
        <w:t xml:space="preserve">Unjust means </w:t>
      </w:r>
      <w:r w:rsidRPr="00CD32CB">
        <w:rPr>
          <w:rFonts w:cs="Arial"/>
          <w:b w:val="0"/>
          <w:sz w:val="10"/>
          <w:szCs w:val="10"/>
        </w:rPr>
        <w:t>unjust adjective US /</w:t>
      </w:r>
      <w:proofErr w:type="spellStart"/>
      <w:r w:rsidRPr="00CD32CB">
        <w:rPr>
          <w:rFonts w:cs="Arial"/>
          <w:b w:val="0"/>
          <w:sz w:val="10"/>
          <w:szCs w:val="10"/>
        </w:rPr>
        <w:t>ʌnˈdʒʌst</w:t>
      </w:r>
      <w:proofErr w:type="spellEnd"/>
      <w:r w:rsidRPr="00CD32CB">
        <w:rPr>
          <w:rFonts w:cs="Arial"/>
          <w:b w:val="0"/>
          <w:sz w:val="10"/>
          <w:szCs w:val="10"/>
        </w:rPr>
        <w:t xml:space="preserve">/ </w:t>
      </w:r>
      <w:r w:rsidRPr="00CD32CB">
        <w:rPr>
          <w:rStyle w:val="Emphasis"/>
          <w:b/>
          <w:sz w:val="24"/>
          <w:szCs w:val="24"/>
          <w:highlight w:val="green"/>
        </w:rPr>
        <w:t>not morally right; not fair</w:t>
      </w:r>
      <w:r w:rsidRPr="00CD32CB">
        <w:rPr>
          <w:rFonts w:cs="Arial"/>
          <w:b w:val="0"/>
          <w:sz w:val="10"/>
          <w:szCs w:val="10"/>
        </w:rPr>
        <w:t xml:space="preserve">: </w:t>
      </w:r>
      <w:proofErr w:type="gramStart"/>
      <w:r w:rsidRPr="00CD32CB">
        <w:rPr>
          <w:rFonts w:cs="Arial"/>
          <w:b w:val="0"/>
          <w:sz w:val="10"/>
          <w:szCs w:val="10"/>
        </w:rPr>
        <w:t>New</w:t>
      </w:r>
      <w:proofErr w:type="gramEnd"/>
      <w:r w:rsidRPr="00CD32CB">
        <w:rPr>
          <w:rFonts w:cs="Arial"/>
          <w:b w:val="0"/>
          <w:sz w:val="10"/>
          <w:szCs w:val="10"/>
        </w:rPr>
        <w:t xml:space="preserve"> laws will protect employees against unjust dismissals. (Definition of unjust from the Cambridge Academic Content Dictionary © Cambridge University Press)</w:t>
      </w:r>
    </w:p>
    <w:p w14:paraId="29CAA545" w14:textId="77777777" w:rsidR="00ED0403" w:rsidRPr="00CD32CB" w:rsidRDefault="00ED0403" w:rsidP="00ED0403">
      <w:r w:rsidRPr="00CD32CB">
        <w:rPr>
          <w:rStyle w:val="Style13ptBold"/>
        </w:rPr>
        <w:t xml:space="preserve">That’s Cambridge Dictionary ND </w:t>
      </w:r>
      <w:r w:rsidRPr="00CD32CB">
        <w:t xml:space="preserve">[“Meaning of unjust in English” Cambridge Dictionary, </w:t>
      </w:r>
      <w:hyperlink r:id="rId18" w:history="1">
        <w:r w:rsidRPr="00CD32CB">
          <w:rPr>
            <w:rStyle w:val="Hyperlink"/>
          </w:rPr>
          <w:t>https://dictionary.cambridge.org/us/dictionary/english/unjust]</w:t>
        </w:r>
      </w:hyperlink>
    </w:p>
    <w:p w14:paraId="5E331D1C" w14:textId="77777777" w:rsidR="00ED0403" w:rsidRDefault="00ED0403" w:rsidP="00ED0403"/>
    <w:p w14:paraId="69F09B3A" w14:textId="77777777" w:rsidR="00ED0403" w:rsidRDefault="00ED0403" w:rsidP="00ED0403">
      <w:pPr>
        <w:pStyle w:val="Heading4"/>
      </w:pPr>
      <w:r>
        <w:t>Violation: They cannot defend hypothetical implementation and use the state – or they are Extra-T</w:t>
      </w:r>
    </w:p>
    <w:p w14:paraId="4E7FFB07" w14:textId="77777777" w:rsidR="00ED0403" w:rsidRDefault="00ED0403" w:rsidP="00ED0403"/>
    <w:p w14:paraId="1ECE1828" w14:textId="77777777" w:rsidR="00ED0403" w:rsidRDefault="00ED0403" w:rsidP="00ED0403">
      <w:pPr>
        <w:pStyle w:val="Heading4"/>
      </w:pPr>
      <w:r>
        <w:t xml:space="preserve">Voter for limits and ground - imprecisely includes thousands of </w:t>
      </w:r>
      <w:proofErr w:type="spellStart"/>
      <w:r>
        <w:t>affs</w:t>
      </w:r>
      <w:proofErr w:type="spellEnd"/>
      <w:r>
        <w:t xml:space="preserve"> that expand appropriation and deprives us of the public regs counterplan - makes it impossible to be neg</w:t>
      </w:r>
    </w:p>
    <w:p w14:paraId="63817D7D" w14:textId="77777777" w:rsidR="00ED0403" w:rsidRDefault="00ED0403" w:rsidP="00ED0403"/>
    <w:p w14:paraId="79B7FEC5" w14:textId="77777777" w:rsidR="00ED0403" w:rsidRDefault="00ED0403" w:rsidP="00ED0403">
      <w:pPr>
        <w:pStyle w:val="Heading4"/>
      </w:pPr>
      <w:r>
        <w:t xml:space="preserve">Grammar - very idea of a topic rests on the assumption that words have stable meanings and relationships - precision internal link turns every piece of </w:t>
      </w:r>
      <w:proofErr w:type="spellStart"/>
      <w:r>
        <w:t>aff</w:t>
      </w:r>
      <w:proofErr w:type="spellEnd"/>
      <w:r>
        <w:t xml:space="preserve"> offense</w:t>
      </w:r>
    </w:p>
    <w:p w14:paraId="22B5CE05" w14:textId="77777777" w:rsidR="00ED0403" w:rsidRDefault="00ED0403" w:rsidP="00ED0403"/>
    <w:p w14:paraId="33AD526F" w14:textId="77777777" w:rsidR="00ED0403" w:rsidRPr="00044BF9" w:rsidRDefault="00ED0403" w:rsidP="00ED0403">
      <w:pPr>
        <w:pStyle w:val="Heading4"/>
      </w:pPr>
      <w:r>
        <w:lastRenderedPageBreak/>
        <w:t>Phil Ed – creates better ethical subjectivity and critical thinking that o/</w:t>
      </w:r>
      <w:proofErr w:type="spellStart"/>
      <w:r>
        <w:t>ws</w:t>
      </w:r>
      <w:proofErr w:type="spellEnd"/>
      <w:r>
        <w:t xml:space="preserve"> on uniqueness to LD.</w:t>
      </w:r>
      <w:r w:rsidRPr="00044BF9">
        <w:t xml:space="preserve"> </w:t>
      </w:r>
      <w:r>
        <w:t xml:space="preserve">Switch to policy and read the PTD </w:t>
      </w:r>
      <w:proofErr w:type="spellStart"/>
      <w:r>
        <w:t>aff</w:t>
      </w:r>
      <w:proofErr w:type="spellEnd"/>
      <w:r>
        <w:t xml:space="preserve"> on the water topic – solves all your offense</w:t>
      </w:r>
    </w:p>
    <w:p w14:paraId="1B404425" w14:textId="77777777" w:rsidR="00ED0403" w:rsidRPr="00044BF9" w:rsidRDefault="00ED0403" w:rsidP="00ED0403"/>
    <w:p w14:paraId="0B82EE6D" w14:textId="77777777" w:rsidR="00ED0403" w:rsidRDefault="00ED0403" w:rsidP="00ED0403">
      <w:pPr>
        <w:pStyle w:val="Heading4"/>
      </w:pPr>
      <w:r>
        <w:t xml:space="preserve">TVA: Read a </w:t>
      </w:r>
      <w:proofErr w:type="spellStart"/>
      <w:r>
        <w:t>phil</w:t>
      </w:r>
      <w:proofErr w:type="spellEnd"/>
      <w:r>
        <w:t xml:space="preserve"> </w:t>
      </w:r>
      <w:proofErr w:type="spellStart"/>
      <w:r>
        <w:t>aff</w:t>
      </w:r>
      <w:proofErr w:type="spellEnd"/>
      <w:r>
        <w:t xml:space="preserve"> that affirms that private appropriation is unjust</w:t>
      </w:r>
    </w:p>
    <w:p w14:paraId="39017ACE" w14:textId="77777777" w:rsidR="00ED0403" w:rsidRPr="00564898" w:rsidRDefault="00ED0403" w:rsidP="00ED0403"/>
    <w:p w14:paraId="08D0F4F3" w14:textId="77777777" w:rsidR="00ED0403" w:rsidRDefault="00ED0403" w:rsidP="00ED0403">
      <w:pPr>
        <w:pStyle w:val="Heading4"/>
      </w:pPr>
      <w:r w:rsidRPr="00564898">
        <w:t>Vote neg</w:t>
      </w:r>
      <w:r>
        <w:t xml:space="preserve">ative </w:t>
      </w:r>
      <w:r w:rsidRPr="00564898">
        <w:t xml:space="preserve">for deterrence - at worst agree with the </w:t>
      </w:r>
      <w:proofErr w:type="spellStart"/>
      <w:r w:rsidRPr="00564898">
        <w:t>aff</w:t>
      </w:r>
      <w:proofErr w:type="spellEnd"/>
      <w:r w:rsidRPr="00564898">
        <w:t xml:space="preserve"> and vote neg because we shouldn’t be burdened to debate it</w:t>
      </w:r>
    </w:p>
    <w:p w14:paraId="5351C606" w14:textId="77777777" w:rsidR="00ED0403" w:rsidRDefault="00ED0403" w:rsidP="00ED0403"/>
    <w:p w14:paraId="6B30465C" w14:textId="77777777" w:rsidR="00ED0403" w:rsidRPr="00ED0403" w:rsidRDefault="00ED0403" w:rsidP="00ED0403"/>
    <w:p w14:paraId="08BA4BBC" w14:textId="24E9724C" w:rsidR="009F7A7E" w:rsidRDefault="009F7A7E" w:rsidP="009F7A7E">
      <w:pPr>
        <w:pStyle w:val="Heading3"/>
      </w:pPr>
      <w:r>
        <w:lastRenderedPageBreak/>
        <w:t>3</w:t>
      </w:r>
    </w:p>
    <w:p w14:paraId="62446DFE" w14:textId="77777777" w:rsidR="00903766" w:rsidRDefault="006B150A" w:rsidP="006B150A">
      <w:pPr>
        <w:pStyle w:val="Heading4"/>
      </w:pPr>
      <w:r w:rsidRPr="004A3591">
        <w:t xml:space="preserve">Permissibility is irrelevant on this topic since there is no action to be obligated </w:t>
      </w:r>
      <w:proofErr w:type="gramStart"/>
      <w:r w:rsidRPr="004A3591">
        <w:t>to  Presumption</w:t>
      </w:r>
      <w:proofErr w:type="gramEnd"/>
      <w:r w:rsidRPr="004A3591">
        <w:t xml:space="preserve"> negates – </w:t>
      </w:r>
    </w:p>
    <w:p w14:paraId="29236199" w14:textId="4BD16316" w:rsidR="006B150A" w:rsidRDefault="00903766" w:rsidP="006B150A">
      <w:pPr>
        <w:pStyle w:val="Heading4"/>
        <w:rPr>
          <w:rFonts w:cs="Calibri"/>
        </w:rPr>
      </w:pPr>
      <w:r>
        <w:rPr>
          <w:rFonts w:cs="Calibri"/>
        </w:rPr>
        <w:t>A</w:t>
      </w:r>
      <w:r w:rsidR="006B150A">
        <w:rPr>
          <w:rFonts w:cs="Calibri"/>
        </w:rPr>
        <w:t xml:space="preserve">] </w:t>
      </w:r>
      <w:r w:rsidR="006B150A" w:rsidRPr="004F2341">
        <w:rPr>
          <w:rFonts w:cs="Calibri"/>
          <w:u w:val="single"/>
        </w:rPr>
        <w:t>Obligations</w:t>
      </w:r>
      <w:r w:rsidR="006B150A">
        <w:rPr>
          <w:rFonts w:cs="Calibri"/>
        </w:rPr>
        <w:t xml:space="preserve">- </w:t>
      </w:r>
      <w:r w:rsidR="006B150A" w:rsidRPr="00F570EE">
        <w:rPr>
          <w:rFonts w:cs="Calibri"/>
        </w:rPr>
        <w:t>the resolution indicates the aff</w:t>
      </w:r>
      <w:r w:rsidR="006B150A">
        <w:rPr>
          <w:rFonts w:cs="Calibri"/>
        </w:rPr>
        <w:t>irmative</w:t>
      </w:r>
      <w:r w:rsidR="006B150A" w:rsidRPr="00F570EE">
        <w:rPr>
          <w:rFonts w:cs="Calibri"/>
        </w:rPr>
        <w:t xml:space="preserve"> </w:t>
      </w:r>
      <w:proofErr w:type="gramStart"/>
      <w:r w:rsidR="006B150A" w:rsidRPr="00F570EE">
        <w:rPr>
          <w:rFonts w:cs="Calibri"/>
        </w:rPr>
        <w:t>has to</w:t>
      </w:r>
      <w:proofErr w:type="gramEnd"/>
      <w:r w:rsidR="006B150A" w:rsidRPr="00F570EE">
        <w:rPr>
          <w:rFonts w:cs="Calibri"/>
        </w:rPr>
        <w:t xml:space="preserve"> prove an obligation, and</w:t>
      </w:r>
      <w:r>
        <w:rPr>
          <w:rFonts w:cs="Calibri"/>
        </w:rPr>
        <w:t xml:space="preserve"> presumption</w:t>
      </w:r>
      <w:r w:rsidR="006B150A" w:rsidRPr="00F570EE">
        <w:rPr>
          <w:rFonts w:cs="Calibri"/>
        </w:rPr>
        <w:t xml:space="preserve"> would deny the existence of an obligation </w:t>
      </w:r>
    </w:p>
    <w:p w14:paraId="4D63E434" w14:textId="108EBEDF" w:rsidR="006B150A" w:rsidRDefault="00903766" w:rsidP="006B150A">
      <w:pPr>
        <w:pStyle w:val="Heading4"/>
        <w:rPr>
          <w:rFonts w:cs="Calibri"/>
        </w:rPr>
      </w:pPr>
      <w:r>
        <w:rPr>
          <w:rFonts w:cs="Calibri"/>
        </w:rPr>
        <w:t>B</w:t>
      </w:r>
      <w:r w:rsidR="006B150A">
        <w:rPr>
          <w:rFonts w:cs="Calibri"/>
        </w:rPr>
        <w:t xml:space="preserve">] </w:t>
      </w:r>
      <w:r w:rsidR="006B150A" w:rsidRPr="004F2341">
        <w:rPr>
          <w:rFonts w:cs="Calibri"/>
          <w:u w:val="single"/>
        </w:rPr>
        <w:t>Falsity</w:t>
      </w:r>
      <w:r w:rsidR="006B150A">
        <w:rPr>
          <w:rFonts w:cs="Calibri"/>
        </w:rPr>
        <w:t xml:space="preserve">- </w:t>
      </w:r>
      <w:r w:rsidR="006B150A" w:rsidRPr="00F570EE">
        <w:rPr>
          <w:rFonts w:cs="Calibri"/>
        </w:rPr>
        <w:t xml:space="preserve">Statements are more often false than true because </w:t>
      </w:r>
      <w:r w:rsidR="006B150A">
        <w:rPr>
          <w:rFonts w:cs="Calibri"/>
        </w:rPr>
        <w:t>proving one part of the statement false disproves the entire statement. Presuming all statements are true creates contradictions which would be ethically bankrupt.</w:t>
      </w:r>
    </w:p>
    <w:p w14:paraId="0C366C85" w14:textId="77B92090" w:rsidR="006B150A" w:rsidRDefault="00903766" w:rsidP="006B150A">
      <w:pPr>
        <w:pStyle w:val="Heading4"/>
      </w:pPr>
      <w:r>
        <w:t>C</w:t>
      </w:r>
      <w:r w:rsidR="006B150A">
        <w:t xml:space="preserve">] </w:t>
      </w:r>
      <w:r w:rsidR="006B150A" w:rsidRPr="004F2341">
        <w:rPr>
          <w:u w:val="single"/>
        </w:rPr>
        <w:t>Negating is harder</w:t>
      </w:r>
      <w:r w:rsidR="006B150A">
        <w:t xml:space="preserve"> – A] </w:t>
      </w:r>
      <w:proofErr w:type="spellStart"/>
      <w:r w:rsidR="006B150A">
        <w:t>Aff</w:t>
      </w:r>
      <w:proofErr w:type="spellEnd"/>
      <w:r w:rsidR="006B150A">
        <w:t xml:space="preserve"> gets first and last speech which control the direction of the debate B] Affirmatives can strategically </w:t>
      </w:r>
      <w:proofErr w:type="spellStart"/>
      <w:r w:rsidR="006B150A">
        <w:t>uplayer</w:t>
      </w:r>
      <w:proofErr w:type="spellEnd"/>
      <w:r w:rsidR="006B150A">
        <w:t xml:space="preserve"> in the 1ar giving them a </w:t>
      </w:r>
      <w:proofErr w:type="gramStart"/>
      <w:r w:rsidR="006B150A">
        <w:t>7-6 time</w:t>
      </w:r>
      <w:proofErr w:type="gramEnd"/>
      <w:r w:rsidR="006B150A">
        <w:t xml:space="preserve"> skew advantage, splitting the 2nr C] They get infinite prep time</w:t>
      </w:r>
    </w:p>
    <w:p w14:paraId="1EEDE4B0" w14:textId="77777777" w:rsidR="006B150A" w:rsidRPr="00882266" w:rsidRDefault="006B150A" w:rsidP="006B150A"/>
    <w:p w14:paraId="2AD293F8" w14:textId="77777777" w:rsidR="006B150A" w:rsidRPr="006B150A" w:rsidRDefault="006B150A" w:rsidP="006B150A"/>
    <w:p w14:paraId="3AFD1B79" w14:textId="77777777" w:rsidR="00ED0403" w:rsidRDefault="00ED0403" w:rsidP="00ED0403">
      <w:pPr>
        <w:pStyle w:val="Heading4"/>
      </w:pPr>
      <w:r>
        <w:lastRenderedPageBreak/>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1B13CD0C" w14:textId="77777777" w:rsidR="00ED0403" w:rsidRDefault="00ED0403" w:rsidP="00ED0403">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61AE01E6" w14:textId="77777777" w:rsidR="00ED0403" w:rsidRDefault="00ED0403" w:rsidP="00ED0403">
      <w:pPr>
        <w:pStyle w:val="Heading4"/>
      </w:pPr>
      <w:r>
        <w:t>Scalar methods like comparison increases intervention – the persuasion of certain DA or advantages sway decisions – T/F binary is descriptive and technical.</w:t>
      </w:r>
    </w:p>
    <w:p w14:paraId="6D14F7AA" w14:textId="77777777" w:rsidR="00ED0403" w:rsidRDefault="00ED0403" w:rsidP="00ED0403">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6B412574" w14:textId="68BB54A9" w:rsidR="00ED0403" w:rsidRDefault="00ED0403" w:rsidP="00ED0403">
      <w:pPr>
        <w:pStyle w:val="Heading4"/>
      </w:pPr>
      <w:r>
        <w:t xml:space="preserve">The ballot says vote </w:t>
      </w:r>
      <w:proofErr w:type="spellStart"/>
      <w:r>
        <w:t>aff</w:t>
      </w:r>
      <w:proofErr w:type="spellEnd"/>
      <w:r>
        <w:t xml:space="preserve"> or neg based on a topic – f</w:t>
      </w:r>
      <w:r w:rsidRPr="00A34DC3">
        <w:t>ive dictionaries</w:t>
      </w:r>
      <w:r w:rsidRPr="00A34DC3">
        <w:rPr>
          <w:vertAlign w:val="superscript"/>
        </w:rPr>
        <w:footnoteReference w:id="1"/>
      </w:r>
      <w:r w:rsidRPr="00A34DC3">
        <w:t xml:space="preserve"> define to negate as to deny the truth of and affirm</w:t>
      </w:r>
      <w:r w:rsidRPr="00A34DC3">
        <w:rPr>
          <w:vertAlign w:val="superscript"/>
        </w:rPr>
        <w:footnoteReference w:id="2"/>
      </w:r>
      <w:r w:rsidRPr="00A34DC3">
        <w:t xml:space="preserve"> as to prove true</w:t>
      </w:r>
      <w:r>
        <w:t xml:space="preserve"> so it's constitutive and jurisdictional.</w:t>
      </w:r>
    </w:p>
    <w:p w14:paraId="57EBCEC2" w14:textId="5013B464" w:rsidR="006B150A" w:rsidRDefault="006B150A" w:rsidP="006B150A">
      <w:pPr>
        <w:pStyle w:val="Heading4"/>
      </w:pPr>
      <w:r>
        <w:t>1] the</w:t>
      </w:r>
      <w:r>
        <w:rPr>
          <w:rStyle w:val="FootnoteReference"/>
        </w:rPr>
        <w:footnoteReference w:id="3"/>
      </w:r>
      <w:r>
        <w:t xml:space="preserve"> is “</w:t>
      </w:r>
      <w:r w:rsidRPr="00B72613">
        <w:rPr>
          <w:rStyle w:val="Emphasis"/>
        </w:rPr>
        <w:t xml:space="preserve">denoting </w:t>
      </w:r>
      <w:r w:rsidRPr="007C0F8C">
        <w:rPr>
          <w:rStyle w:val="Emphasis"/>
          <w:highlight w:val="green"/>
        </w:rPr>
        <w:t>a disease</w:t>
      </w:r>
      <w:r w:rsidRPr="00B72613">
        <w:rPr>
          <w:rStyle w:val="Emphasis"/>
        </w:rPr>
        <w:t xml:space="preserve"> or affliction</w:t>
      </w:r>
      <w:r>
        <w:t>” but appropriation isn’t a disease</w:t>
      </w:r>
    </w:p>
    <w:p w14:paraId="0C67D966" w14:textId="322EC353" w:rsidR="006B150A" w:rsidRDefault="006B150A" w:rsidP="006B150A">
      <w:pPr>
        <w:pStyle w:val="Heading4"/>
      </w:pPr>
      <w:r>
        <w:t>2] of</w:t>
      </w:r>
      <w:r>
        <w:rPr>
          <w:rStyle w:val="FootnoteReference"/>
        </w:rPr>
        <w:footnoteReference w:id="4"/>
      </w:r>
      <w:r>
        <w:t xml:space="preserve"> is to </w:t>
      </w:r>
      <w:r w:rsidRPr="00D02FD2">
        <w:rPr>
          <w:rStyle w:val="Emphasis"/>
        </w:rPr>
        <w:t>“</w:t>
      </w:r>
      <w:r w:rsidRPr="007C0F8C">
        <w:rPr>
          <w:rStyle w:val="Emphasis"/>
          <w:highlight w:val="green"/>
        </w:rPr>
        <w:t>express</w:t>
      </w:r>
      <w:r w:rsidRPr="00D02FD2">
        <w:rPr>
          <w:rStyle w:val="Emphasis"/>
        </w:rPr>
        <w:t xml:space="preserve">ing </w:t>
      </w:r>
      <w:r w:rsidRPr="007C0F8C">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070BC745" w14:textId="66A4151F" w:rsidR="006B150A" w:rsidRDefault="006B150A" w:rsidP="006B150A">
      <w:pPr>
        <w:pStyle w:val="Heading4"/>
      </w:pPr>
      <w:r>
        <w:t>3] private</w:t>
      </w:r>
      <w:r>
        <w:rPr>
          <w:rStyle w:val="FootnoteReference"/>
        </w:rPr>
        <w:footnoteReference w:id="5"/>
      </w:r>
      <w:r>
        <w:t xml:space="preserve"> describes “</w:t>
      </w:r>
      <w:r w:rsidRPr="0074079C">
        <w:rPr>
          <w:rStyle w:val="Emphasis"/>
        </w:rPr>
        <w:t xml:space="preserve">belonging to or for </w:t>
      </w:r>
      <w:r w:rsidRPr="00F22162">
        <w:rPr>
          <w:rStyle w:val="Emphasis"/>
          <w:highlight w:val="green"/>
        </w:rPr>
        <w:t>the use of one particular</w:t>
      </w:r>
      <w:r w:rsidRPr="0074079C">
        <w:rPr>
          <w:rStyle w:val="Emphasis"/>
        </w:rPr>
        <w:t xml:space="preserve"> person or </w:t>
      </w:r>
      <w:r w:rsidRPr="00F22162">
        <w:rPr>
          <w:rStyle w:val="Emphasis"/>
          <w:highlight w:val="green"/>
        </w:rPr>
        <w:t>group</w:t>
      </w:r>
      <w:r w:rsidRPr="0074079C">
        <w:rPr>
          <w:rStyle w:val="Emphasis"/>
        </w:rPr>
        <w:t xml:space="preserve"> of people </w:t>
      </w:r>
      <w:r w:rsidRPr="00F22162">
        <w:rPr>
          <w:rStyle w:val="Emphasis"/>
          <w:highlight w:val="green"/>
        </w:rPr>
        <w:t>only</w:t>
      </w:r>
      <w:r>
        <w:t>” and an entity</w:t>
      </w:r>
      <w:r>
        <w:rPr>
          <w:rStyle w:val="FootnoteReference"/>
        </w:rPr>
        <w:footnoteReference w:id="6"/>
      </w:r>
      <w:r>
        <w:t xml:space="preserve"> is “</w:t>
      </w:r>
      <w:r w:rsidRPr="00F22162">
        <w:rPr>
          <w:rStyle w:val="Emphasis"/>
          <w:highlight w:val="green"/>
        </w:rPr>
        <w:t>independent</w:t>
      </w:r>
      <w:r w:rsidRPr="003213BA">
        <w:rPr>
          <w:rStyle w:val="Emphasis"/>
        </w:rPr>
        <w:t xml:space="preserve">, separate, </w:t>
      </w:r>
      <w:r w:rsidRPr="00F22162">
        <w:rPr>
          <w:rStyle w:val="Emphasis"/>
          <w:highlight w:val="green"/>
        </w:rPr>
        <w:t>or self-contained</w:t>
      </w:r>
      <w:r w:rsidRPr="003213BA">
        <w:rPr>
          <w:rStyle w:val="Emphasis"/>
        </w:rPr>
        <w:t xml:space="preserve"> existence</w:t>
      </w:r>
      <w:r>
        <w:t xml:space="preserve">” </w:t>
      </w:r>
    </w:p>
    <w:p w14:paraId="2B3C5E0B" w14:textId="63A6C189" w:rsidR="00903766" w:rsidRPr="00821FAE" w:rsidRDefault="00903766" w:rsidP="00903766">
      <w:pPr>
        <w:pStyle w:val="Heading4"/>
      </w:pPr>
      <w:r>
        <w:t xml:space="preserve">4] 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75ABB92C" w14:textId="77777777" w:rsidR="006B150A" w:rsidRPr="006B150A" w:rsidRDefault="006B150A" w:rsidP="006B150A"/>
    <w:p w14:paraId="22BA948C" w14:textId="3AD31D6E" w:rsidR="006B150A" w:rsidRDefault="006B150A" w:rsidP="006B150A">
      <w:pPr>
        <w:pStyle w:val="Heading3"/>
      </w:pPr>
      <w:r>
        <w:lastRenderedPageBreak/>
        <w:t>4</w:t>
      </w:r>
    </w:p>
    <w:p w14:paraId="2A47D84C" w14:textId="5E3E5178" w:rsidR="00903766" w:rsidRPr="00903766" w:rsidRDefault="00903766" w:rsidP="00903766">
      <w:r>
        <w:t>There was no standard text in the 1ac</w:t>
      </w:r>
    </w:p>
    <w:p w14:paraId="5BF8BB44" w14:textId="77777777" w:rsidR="006B150A" w:rsidRDefault="006B150A" w:rsidP="006B150A">
      <w:pPr>
        <w:pStyle w:val="Heading4"/>
      </w:pPr>
      <w:r w:rsidRPr="004F7019">
        <w:lastRenderedPageBreak/>
        <w:t>The meta-ethic is procedural moral realism</w:t>
      </w:r>
      <w:r>
        <w:t>.</w:t>
      </w:r>
    </w:p>
    <w:p w14:paraId="70350F6B" w14:textId="77777777" w:rsidR="006B150A" w:rsidRDefault="006B150A" w:rsidP="006B150A">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3E9D7568" w14:textId="77777777" w:rsidR="006B150A" w:rsidRDefault="006B150A" w:rsidP="006B150A">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39ADE23C" w14:textId="77777777" w:rsidR="006B150A" w:rsidRDefault="006B150A" w:rsidP="006B150A">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ECCEE43" w14:textId="77777777" w:rsidR="006B150A" w:rsidRDefault="006B150A" w:rsidP="006B150A">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76DD71B4" w14:textId="77777777" w:rsidR="006B150A" w:rsidRPr="00CB69A7" w:rsidRDefault="006B150A" w:rsidP="006B150A">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285FFFC7" w14:textId="77777777" w:rsidR="006B150A" w:rsidRPr="00CB69A7" w:rsidRDefault="006B150A" w:rsidP="006B150A">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Reject Extinction outweighs-</w:t>
      </w:r>
      <w:r w:rsidRPr="00CB69A7">
        <w:t xml:space="preserve"> </w:t>
      </w:r>
      <w:r>
        <w:t xml:space="preserve">aggregation is nonsensical since a] it impedes on one </w:t>
      </w:r>
      <w:proofErr w:type="spellStart"/>
      <w:proofErr w:type="gramStart"/>
      <w:r>
        <w:t>persons</w:t>
      </w:r>
      <w:proofErr w:type="spellEnd"/>
      <w:proofErr w:type="gramEnd"/>
      <w:r>
        <w:t xml:space="preserve"> ends for another and b] assumes everyone values the same thing. </w:t>
      </w:r>
    </w:p>
    <w:p w14:paraId="05E432AA" w14:textId="77777777" w:rsidR="006B150A" w:rsidRDefault="006B150A" w:rsidP="006B150A">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1E784E2B" w14:textId="77777777" w:rsidR="006B150A" w:rsidRDefault="006B150A" w:rsidP="006B150A">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085B9A1F" w14:textId="77777777" w:rsidR="006B150A" w:rsidRDefault="006B150A" w:rsidP="006B150A">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72435802" w14:textId="1E1680E6" w:rsidR="006B150A" w:rsidRDefault="006B150A" w:rsidP="006B150A">
      <w:pPr>
        <w:pStyle w:val="Heading4"/>
      </w:pPr>
      <w:r w:rsidRPr="000A5608">
        <w:rPr>
          <w:rFonts w:asciiTheme="majorHAnsi" w:hAnsiTheme="majorHAnsi" w:cstheme="majorHAnsi"/>
          <w:color w:val="000000" w:themeColor="text1"/>
        </w:rPr>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TJFs</w:t>
      </w:r>
      <w:r w:rsidR="008E234E">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 </w:t>
      </w:r>
      <w:r>
        <w:t xml:space="preserve">Prefer non extinction </w:t>
      </w:r>
      <w:proofErr w:type="gramStart"/>
      <w:r>
        <w:t>intent based</w:t>
      </w:r>
      <w:proofErr w:type="gramEnd"/>
      <w:r>
        <w:t xml:space="preserve"> frameworks </w:t>
      </w:r>
    </w:p>
    <w:p w14:paraId="6F26DF08" w14:textId="1E45AE7B" w:rsidR="006B150A" w:rsidRPr="006B150A" w:rsidRDefault="006B150A" w:rsidP="006B150A">
      <w:pPr>
        <w:pStyle w:val="Heading4"/>
      </w:pPr>
      <w:r>
        <w:rPr>
          <w:rFonts w:asciiTheme="majorHAnsi" w:hAnsiTheme="majorHAnsi" w:cstheme="majorHAnsi"/>
          <w:color w:val="000000" w:themeColor="text1"/>
        </w:rPr>
        <w:t xml:space="preserve">1] </w:t>
      </w:r>
      <w:r w:rsidRPr="00392D46">
        <w:rPr>
          <w:rFonts w:asciiTheme="majorHAnsi" w:hAnsiTheme="majorHAnsi" w:cstheme="majorHAnsi"/>
          <w:color w:val="000000" w:themeColor="text1"/>
        </w:rPr>
        <w:t xml:space="preserve">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414727DF" w14:textId="78D27074" w:rsidR="006B150A" w:rsidRDefault="006B150A" w:rsidP="006B150A">
      <w:pPr>
        <w:pStyle w:val="Heading4"/>
      </w:pPr>
      <w:r>
        <w:t>2</w:t>
      </w:r>
      <w:r w:rsidRPr="00703C39">
        <w:t xml:space="preserve">] </w:t>
      </w:r>
      <w:r>
        <w:t xml:space="preserve">Predictability – every individual engages within freedom and </w:t>
      </w:r>
      <w:proofErr w:type="spellStart"/>
      <w:r>
        <w:t>twhen</w:t>
      </w:r>
      <w:proofErr w:type="spellEnd"/>
      <w:r>
        <w:t xml:space="preserve"> going to school or using public infrastructure which means it’s the one political engagement everyone is aware of.  </w:t>
      </w:r>
    </w:p>
    <w:p w14:paraId="4349B68A" w14:textId="77777777" w:rsidR="006B150A" w:rsidRDefault="006B150A" w:rsidP="006B150A">
      <w:pPr>
        <w:pStyle w:val="Heading4"/>
      </w:pPr>
      <w:r>
        <w:t>Negate</w:t>
      </w:r>
    </w:p>
    <w:p w14:paraId="7DECAA77" w14:textId="77777777" w:rsidR="006B150A" w:rsidRPr="00742C76" w:rsidRDefault="006B150A" w:rsidP="006B150A">
      <w:pPr>
        <w:pStyle w:val="Heading4"/>
        <w:rPr>
          <w:rFonts w:cs="Calibri"/>
        </w:rPr>
      </w:pPr>
      <w:r w:rsidRPr="00742C76">
        <w:rPr>
          <w:rFonts w:cs="Calibri"/>
        </w:rPr>
        <w:lastRenderedPageBreak/>
        <w:t>1] Libertarianism mandates a market-oriented approach to space—that negates</w:t>
      </w:r>
    </w:p>
    <w:p w14:paraId="7B548B5E" w14:textId="77777777" w:rsidR="006B150A" w:rsidRPr="00742C76" w:rsidRDefault="006B150A" w:rsidP="006B150A">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9" w:history="1">
        <w:r w:rsidRPr="00742C76">
          <w:rPr>
            <w:rStyle w:val="Hyperlink"/>
            <w:sz w:val="16"/>
            <w:szCs w:val="16"/>
          </w:rPr>
          <w:t>https://abovethelaw.com/2020/01/space-law-can-only-be-libertarian-minded/</w:t>
        </w:r>
      </w:hyperlink>
      <w:r w:rsidRPr="00742C76">
        <w:rPr>
          <w:sz w:val="16"/>
          <w:szCs w:val="16"/>
        </w:rPr>
        <w:t>] TDI</w:t>
      </w:r>
    </w:p>
    <w:p w14:paraId="757383F7" w14:textId="77777777" w:rsidR="006B150A" w:rsidRPr="008B5772" w:rsidRDefault="006B150A" w:rsidP="006B150A">
      <w:pPr>
        <w:rPr>
          <w:b/>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6B9A8D71" w14:textId="77777777" w:rsidR="006B150A" w:rsidRPr="00742C76" w:rsidRDefault="006B150A" w:rsidP="006B150A">
      <w:pPr>
        <w:pStyle w:val="Heading4"/>
        <w:rPr>
          <w:rStyle w:val="StyleUnderline"/>
          <w:rFonts w:cs="Calibri"/>
          <w:u w:val="none"/>
        </w:rPr>
      </w:pPr>
      <w:r w:rsidRPr="00742C76">
        <w:rPr>
          <w:rStyle w:val="StyleUnderline"/>
          <w:rFonts w:cs="Calibri"/>
          <w:u w:val="none"/>
        </w:rPr>
        <w:t>2] Property rights in space can be consistent with international law</w:t>
      </w:r>
    </w:p>
    <w:p w14:paraId="23312BDA" w14:textId="77777777" w:rsidR="006B150A" w:rsidRPr="00742C76" w:rsidRDefault="006B150A" w:rsidP="006B150A">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20"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306C1127" w14:textId="77777777" w:rsidR="006B150A" w:rsidRPr="00742C76" w:rsidRDefault="006B150A" w:rsidP="006B150A">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the 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 xml:space="preserve">Under </w:t>
      </w:r>
      <w:r w:rsidRPr="00742C76">
        <w:rPr>
          <w:rStyle w:val="StyleUnderline"/>
          <w:highlight w:val="green"/>
        </w:rPr>
        <w:lastRenderedPageBreak/>
        <w:t>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43FFC786" w14:textId="77777777" w:rsidR="006B150A" w:rsidRPr="00870DE7" w:rsidRDefault="006B150A" w:rsidP="006B150A"/>
    <w:p w14:paraId="49DA1EB7" w14:textId="3CFF124F" w:rsidR="006B150A" w:rsidRDefault="00D161D0" w:rsidP="00D161D0">
      <w:pPr>
        <w:pStyle w:val="Heading3"/>
      </w:pPr>
      <w:r>
        <w:lastRenderedPageBreak/>
        <w:t>5</w:t>
      </w:r>
    </w:p>
    <w:p w14:paraId="66E89F67" w14:textId="77777777" w:rsidR="005D6A78" w:rsidRDefault="005D6A78" w:rsidP="005D6A78">
      <w:pPr>
        <w:pStyle w:val="Heading4"/>
      </w:pPr>
      <w:r>
        <w:t>Interpretation: Affirmatives must specify and separately delineate a standard text i</w:t>
      </w:r>
      <w:r w:rsidRPr="00726128">
        <w:t>n the 1AC.</w:t>
      </w:r>
    </w:p>
    <w:p w14:paraId="05381EB1" w14:textId="77777777" w:rsidR="005D6A78" w:rsidRDefault="005D6A78" w:rsidP="005D6A78">
      <w:pPr>
        <w:pStyle w:val="Heading4"/>
      </w:pPr>
      <w:r>
        <w:t>Violation: they didn’t</w:t>
      </w:r>
    </w:p>
    <w:p w14:paraId="54FE31D5" w14:textId="77777777" w:rsidR="005D6A78" w:rsidRDefault="005D6A78" w:rsidP="005D6A78">
      <w:pPr>
        <w:pStyle w:val="Heading4"/>
      </w:pPr>
      <w:r>
        <w:t>Standards</w:t>
      </w:r>
    </w:p>
    <w:p w14:paraId="36CAA7CC" w14:textId="77777777" w:rsidR="005D6A78" w:rsidRPr="007D0451" w:rsidRDefault="005D6A78" w:rsidP="005D6A78">
      <w:pPr>
        <w:pStyle w:val="Heading4"/>
      </w:pPr>
      <w:r>
        <w:t xml:space="preserve">1] </w:t>
      </w:r>
      <w:r w:rsidRPr="007D0451">
        <w:rPr>
          <w:u w:val="single"/>
        </w:rPr>
        <w:t>Shiftiness</w:t>
      </w:r>
      <w:r>
        <w:t xml:space="preserve">- They can shift out of my turns based on whatever theory of the good they operate under due to the nature of a vague standard. </w:t>
      </w:r>
      <w:r w:rsidRPr="00395FFF">
        <w:t xml:space="preserve">Especially true because the warrants for </w:t>
      </w:r>
      <w:r>
        <w:t>their</w:t>
      </w:r>
      <w:r w:rsidRPr="00395FFF">
        <w:t xml:space="preserve"> standard could justify different versions of </w:t>
      </w:r>
      <w:r>
        <w:t xml:space="preserve">[Structural Violence] </w:t>
      </w:r>
      <w:r w:rsidRPr="00395FFF">
        <w:t xml:space="preserve">coming first </w:t>
      </w:r>
      <w:r>
        <w:t xml:space="preserve">and I wouldn’t know until the 1AR </w:t>
      </w:r>
      <w:r w:rsidRPr="00395FFF">
        <w:t xml:space="preserve">which </w:t>
      </w:r>
      <w:r>
        <w:t>gives them</w:t>
      </w:r>
      <w:r w:rsidRPr="00395FFF">
        <w:t xml:space="preserve"> access to multiple contingent standards</w:t>
      </w:r>
      <w:r>
        <w:t>.</w:t>
      </w:r>
    </w:p>
    <w:p w14:paraId="17941AC6" w14:textId="77777777" w:rsidR="005D6A78" w:rsidRDefault="005D6A78" w:rsidP="005D6A78">
      <w:pPr>
        <w:pStyle w:val="Heading4"/>
      </w:pPr>
      <w:r>
        <w:t xml:space="preserve">2] </w:t>
      </w:r>
      <w:r w:rsidRPr="007D0451">
        <w:rPr>
          <w:u w:val="single"/>
        </w:rPr>
        <w:t>Real World</w:t>
      </w:r>
      <w:r>
        <w:t>- Philosophers need to be as specific as possible when delineating their theory since there are so many nuances and contextual applications of philosophy that require us to understand the core differences within the philosophy.</w:t>
      </w:r>
      <w:r w:rsidRPr="00B15594">
        <w:t xml:space="preserve"> </w:t>
      </w:r>
    </w:p>
    <w:p w14:paraId="27D3D35B" w14:textId="77777777" w:rsidR="005D6A78" w:rsidRDefault="005D6A78" w:rsidP="005D6A78">
      <w:pPr>
        <w:pStyle w:val="Heading4"/>
      </w:pPr>
      <w:r>
        <w:t>This spec shell isn’t regressive- it literally determines what framework the affirmative defends and how to link offense back to it</w:t>
      </w:r>
    </w:p>
    <w:p w14:paraId="450013E3" w14:textId="77777777" w:rsidR="00D161D0" w:rsidRPr="00D161D0" w:rsidRDefault="00D161D0" w:rsidP="00D161D0"/>
    <w:p w14:paraId="0F96C95F" w14:textId="77777777" w:rsidR="005C676C" w:rsidRPr="00F601E6" w:rsidRDefault="005C676C" w:rsidP="00F601E6"/>
    <w:sectPr w:rsidR="005C676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D21A1" w14:textId="77777777" w:rsidR="001E1EC9" w:rsidRDefault="001E1EC9" w:rsidP="00ED0403">
      <w:pPr>
        <w:spacing w:after="0" w:line="240" w:lineRule="auto"/>
      </w:pPr>
      <w:r>
        <w:separator/>
      </w:r>
    </w:p>
  </w:endnote>
  <w:endnote w:type="continuationSeparator" w:id="0">
    <w:p w14:paraId="3C6FAF28" w14:textId="77777777" w:rsidR="001E1EC9" w:rsidRDefault="001E1EC9" w:rsidP="00ED0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89EB4" w14:textId="77777777" w:rsidR="001E1EC9" w:rsidRDefault="001E1EC9" w:rsidP="00ED0403">
      <w:pPr>
        <w:spacing w:after="0" w:line="240" w:lineRule="auto"/>
      </w:pPr>
      <w:r>
        <w:separator/>
      </w:r>
    </w:p>
  </w:footnote>
  <w:footnote w:type="continuationSeparator" w:id="0">
    <w:p w14:paraId="39C2D55E" w14:textId="77777777" w:rsidR="001E1EC9" w:rsidRDefault="001E1EC9" w:rsidP="00ED0403">
      <w:pPr>
        <w:spacing w:after="0" w:line="240" w:lineRule="auto"/>
      </w:pPr>
      <w:r>
        <w:continuationSeparator/>
      </w:r>
    </w:p>
  </w:footnote>
  <w:footnote w:id="1">
    <w:p w14:paraId="16461AE0" w14:textId="77777777" w:rsidR="00ED0403" w:rsidRPr="00752E9C" w:rsidRDefault="00ED0403" w:rsidP="00ED040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A81CE75" w14:textId="77777777" w:rsidR="00ED0403" w:rsidRPr="00855FDC" w:rsidRDefault="00ED0403" w:rsidP="00ED0403">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1096CDA3" w14:textId="77777777" w:rsidR="006B150A" w:rsidRDefault="006B150A" w:rsidP="006B150A">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045BA77B" w14:textId="77777777" w:rsidR="006B150A" w:rsidRDefault="006B150A" w:rsidP="006B150A">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5">
    <w:p w14:paraId="4B34D52D" w14:textId="77777777" w:rsidR="006B150A" w:rsidRDefault="006B150A" w:rsidP="006B150A">
      <w:pPr>
        <w:pStyle w:val="FootnoteText"/>
      </w:pPr>
      <w:r>
        <w:rPr>
          <w:rStyle w:val="FootnoteReference"/>
        </w:rPr>
        <w:footnoteRef/>
      </w:r>
      <w:r>
        <w:t xml:space="preserve"> </w:t>
      </w:r>
      <w:hyperlink r:id="rId8"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6">
    <w:p w14:paraId="44E301BB" w14:textId="77777777" w:rsidR="006B150A" w:rsidRDefault="006B150A" w:rsidP="006B150A">
      <w:pPr>
        <w:pStyle w:val="FootnoteText"/>
      </w:pPr>
      <w:r>
        <w:rPr>
          <w:rStyle w:val="FootnoteReference"/>
        </w:rPr>
        <w:footnoteRef/>
      </w:r>
      <w:r>
        <w:t xml:space="preserve"> </w:t>
      </w:r>
      <w:hyperlink r:id="rId9"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71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6F"/>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1EC9"/>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76C"/>
    <w:rsid w:val="005C74A6"/>
    <w:rsid w:val="005D3B4D"/>
    <w:rsid w:val="005D615C"/>
    <w:rsid w:val="005D6A78"/>
    <w:rsid w:val="005E1860"/>
    <w:rsid w:val="005F063B"/>
    <w:rsid w:val="005F192D"/>
    <w:rsid w:val="005F24C8"/>
    <w:rsid w:val="005F26AF"/>
    <w:rsid w:val="005F7D3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50A"/>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34E"/>
    <w:rsid w:val="008E7A3E"/>
    <w:rsid w:val="008F41FD"/>
    <w:rsid w:val="008F4479"/>
    <w:rsid w:val="008F4BA0"/>
    <w:rsid w:val="00901726"/>
    <w:rsid w:val="0090376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15D"/>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A7E"/>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4DD"/>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1D0"/>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403"/>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360"/>
    <w:rsid w:val="00F277AA"/>
    <w:rsid w:val="00F31955"/>
    <w:rsid w:val="00F34C06"/>
    <w:rsid w:val="00F43EA3"/>
    <w:rsid w:val="00F50C55"/>
    <w:rsid w:val="00F57FFB"/>
    <w:rsid w:val="00F601E6"/>
    <w:rsid w:val="00F73954"/>
    <w:rsid w:val="00F94060"/>
    <w:rsid w:val="00FA56F6"/>
    <w:rsid w:val="00FA7DD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AE57E9"/>
  <w14:defaultImageDpi w14:val="300"/>
  <w15:docId w15:val="{22F8CA1C-ABD2-084D-B1BE-CA1273E93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6A7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D6A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6A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D6A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5D6A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6A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6A78"/>
  </w:style>
  <w:style w:type="character" w:customStyle="1" w:styleId="Heading1Char">
    <w:name w:val="Heading 1 Char"/>
    <w:aliases w:val="Pocket Char"/>
    <w:basedOn w:val="DefaultParagraphFont"/>
    <w:link w:val="Heading1"/>
    <w:uiPriority w:val="9"/>
    <w:rsid w:val="005D6A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6A7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D6A7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5D6A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D6A78"/>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5D6A78"/>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5D6A7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D6A78"/>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5D6A78"/>
    <w:rPr>
      <w:color w:val="auto"/>
      <w:u w:val="none"/>
    </w:rPr>
  </w:style>
  <w:style w:type="paragraph" w:styleId="DocumentMap">
    <w:name w:val="Document Map"/>
    <w:basedOn w:val="Normal"/>
    <w:link w:val="DocumentMapChar"/>
    <w:uiPriority w:val="99"/>
    <w:semiHidden/>
    <w:unhideWhenUsed/>
    <w:rsid w:val="005D6A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6A78"/>
    <w:rPr>
      <w:rFonts w:ascii="Lucida Grande" w:hAnsi="Lucida Grande" w:cs="Lucida Grande"/>
    </w:rPr>
  </w:style>
  <w:style w:type="paragraph" w:customStyle="1" w:styleId="textbold">
    <w:name w:val="text bold"/>
    <w:basedOn w:val="Normal"/>
    <w:link w:val="Emphasis"/>
    <w:uiPriority w:val="20"/>
    <w:qFormat/>
    <w:rsid w:val="00ED0403"/>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Small Text,Tag and Ci,Note Level 21,Card,No Spacing2"/>
    <w:basedOn w:val="Heading1"/>
    <w:link w:val="Hyperlink"/>
    <w:autoRedefine/>
    <w:uiPriority w:val="99"/>
    <w:qFormat/>
    <w:rsid w:val="00ED040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ED0403"/>
    <w:rPr>
      <w:vertAlign w:val="superscript"/>
    </w:rPr>
  </w:style>
  <w:style w:type="paragraph" w:styleId="FootnoteText">
    <w:name w:val="footnote text"/>
    <w:basedOn w:val="Normal"/>
    <w:link w:val="FootnoteTextChar"/>
    <w:uiPriority w:val="99"/>
    <w:unhideWhenUsed/>
    <w:qFormat/>
    <w:rsid w:val="006B150A"/>
    <w:pPr>
      <w:spacing w:after="0" w:line="240" w:lineRule="auto"/>
    </w:pPr>
    <w:rPr>
      <w:sz w:val="24"/>
    </w:rPr>
  </w:style>
  <w:style w:type="character" w:customStyle="1" w:styleId="FootnoteTextChar">
    <w:name w:val="Footnote Text Char"/>
    <w:basedOn w:val="DefaultParagraphFont"/>
    <w:link w:val="FootnoteText"/>
    <w:uiPriority w:val="99"/>
    <w:rsid w:val="006B150A"/>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is" TargetMode="External"/><Relationship Id="rId18" Type="http://schemas.openxmlformats.org/officeDocument/2006/relationships/hyperlink" Target="https://dictionary.cambridge.org/us/dictionary/english/unjust%5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cei.org/wp-content/uploads/2012/04/Rand-Simberg-Homesteading-the-Final-Frontie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grammar-monster.com/glossary/linking_verbs.htm" TargetMode="External"/><Relationship Id="rId10" Type="http://schemas.openxmlformats.org/officeDocument/2006/relationships/endnotes" Target="endnotes.xml"/><Relationship Id="rId19"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rdictionary.com/dialectica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private+definition&amp;rlz=1C1CHBF_enUS877US877&amp;oq=private+&amp;aqs=chrome.0.69i59j69i57j69i60j69i61.1372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16</Pages>
  <Words>2709</Words>
  <Characters>15442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9</cp:revision>
  <dcterms:created xsi:type="dcterms:W3CDTF">2022-02-18T21:28:00Z</dcterms:created>
  <dcterms:modified xsi:type="dcterms:W3CDTF">2022-02-19T00:42:00Z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