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9E6E4" w14:textId="7AFB857A" w:rsidR="008169E0" w:rsidRDefault="008169E0" w:rsidP="008169E0">
      <w:pPr>
        <w:pStyle w:val="Heading2"/>
      </w:pPr>
      <w:r>
        <w:t>1</w:t>
      </w:r>
    </w:p>
    <w:p w14:paraId="7D0D7EC9" w14:textId="77777777" w:rsidR="0091344A" w:rsidRDefault="0091344A" w:rsidP="0091344A">
      <w:pPr>
        <w:pStyle w:val="Heading4"/>
      </w:pPr>
      <w:r>
        <w:t xml:space="preserve">Interpretation – All paradigm issues proposed by either debater must be bidirectional. To clarify, neither debater may claim a particular paradigm on theory only applies to one side. </w:t>
      </w:r>
    </w:p>
    <w:p w14:paraId="62EC079B" w14:textId="16E6CECD" w:rsidR="000C22A8" w:rsidRPr="000C22A8" w:rsidRDefault="0091344A" w:rsidP="002424C2">
      <w:pPr>
        <w:pStyle w:val="Heading4"/>
      </w:pPr>
      <w:r>
        <w:t xml:space="preserve">Violation – You read </w:t>
      </w:r>
    </w:p>
    <w:p w14:paraId="04CA11FB" w14:textId="77777777" w:rsidR="0091344A" w:rsidRDefault="0091344A" w:rsidP="0091344A">
      <w:pPr>
        <w:pStyle w:val="Heading4"/>
      </w:pPr>
      <w:r>
        <w:t xml:space="preserve">Prefer – </w:t>
      </w:r>
    </w:p>
    <w:p w14:paraId="57208C92" w14:textId="6530A996" w:rsidR="0091344A" w:rsidRDefault="0091344A" w:rsidP="0091344A">
      <w:pPr>
        <w:pStyle w:val="Heading4"/>
      </w:pPr>
      <w:r>
        <w:t>1. Reciprocity – Only granting one side access to a paradigm issue is structurally irreciprocal since I cannot gain access to a particular model of theory debate. All paradigm issues affect my ability to generate offense on theory since I either don’t get an RVI or drop the debater which hinders equal access to the ballot on the same layer. Reciprocity is a voter since it’s the definition of procedural fairness as it structurally changes the chances of winning.</w:t>
      </w:r>
    </w:p>
    <w:p w14:paraId="1F7C445C" w14:textId="77777777" w:rsidR="000C22A8" w:rsidRPr="000C22A8" w:rsidRDefault="000C22A8" w:rsidP="000C22A8"/>
    <w:p w14:paraId="79FE96D1" w14:textId="202276B4" w:rsidR="000C22A8" w:rsidRPr="000C22A8" w:rsidRDefault="0091344A" w:rsidP="002424C2">
      <w:pPr>
        <w:pStyle w:val="Heading4"/>
      </w:pPr>
      <w:r>
        <w:lastRenderedPageBreak/>
        <w:t xml:space="preserve">2. Norming – One side having exclusive access to a paradigm issue a) is incoherent since even if particular cases might justify one side getting a paradigm issue it can’t set the norm that one side never gets it b) kills theory clash since we spend more time debating paradigm issues than the actual shells which kills our ability to generate the best actual norms on theory and c) never allows a discussion of which wholistic paradigm issue is generally good because the debate is tailored down to each side which means we never set norms on paradigm issues. </w:t>
      </w:r>
    </w:p>
    <w:p w14:paraId="01F04BD0" w14:textId="77777777" w:rsidR="0091344A" w:rsidRPr="006E3F84" w:rsidRDefault="0091344A" w:rsidP="0091344A">
      <w:pPr>
        <w:pStyle w:val="Heading4"/>
      </w:pPr>
      <w:r>
        <w:t xml:space="preserve">Voters – </w:t>
      </w:r>
      <w:r w:rsidRPr="006E3F84">
        <w:t xml:space="preserve">Norming is an independent voter since justifying the value of debate necessarily justifies the norms of the activity being good in order for debate to be valuable. And, theory education comes first since it is the ultimate test of critical thinking that carries outside round and materially shapes the activity we all care about in a positive way since theory is how we reclaim the activity from the institution that codifies repressive rules. This shell controls the internal link to all others since your structural access to other shells is precluded by the abuse story on this one – we can never endorse good norms or determine which norms are good insofar as you have skewed the creation of them. </w:t>
      </w:r>
    </w:p>
    <w:p w14:paraId="7A991040" w14:textId="77777777" w:rsidR="0091344A" w:rsidRPr="00936A4E" w:rsidRDefault="0091344A" w:rsidP="0091344A">
      <w:pPr>
        <w:pStyle w:val="Heading4"/>
      </w:pPr>
      <w:r w:rsidRPr="00936A4E">
        <w:t xml:space="preserve">DD – a) deter abuse b) I spent time reading theory c) The round has already been skewed </w:t>
      </w:r>
    </w:p>
    <w:p w14:paraId="5D114F1A" w14:textId="77777777" w:rsidR="0091344A" w:rsidRPr="00936A4E" w:rsidRDefault="0091344A" w:rsidP="0091344A">
      <w:pPr>
        <w:pStyle w:val="Heading4"/>
      </w:pPr>
      <w:r w:rsidRPr="00936A4E">
        <w:t xml:space="preserve">CI – a) Reasonability is arbitrary since idk your BS meter b) It fosters the best norms through encouraging the fairest rule c) Reasonability collapses by debating the brightline </w:t>
      </w:r>
    </w:p>
    <w:p w14:paraId="7C147FEB" w14:textId="77777777" w:rsidR="0091344A" w:rsidRPr="00936A4E" w:rsidRDefault="0091344A" w:rsidP="0091344A">
      <w:pPr>
        <w:pStyle w:val="Heading4"/>
      </w:pPr>
      <w:r w:rsidRPr="00936A4E">
        <w:t xml:space="preserve">No RVI – a) It’s illogical to vote for you for being fair b) Rounds without theory would be irresolvable c) It incentivizes you to bait theory and win off a scripted CI </w:t>
      </w:r>
    </w:p>
    <w:p w14:paraId="397C54A8" w14:textId="77777777" w:rsidR="0091344A" w:rsidRPr="002F7574" w:rsidRDefault="0091344A" w:rsidP="0091344A">
      <w:pPr>
        <w:pStyle w:val="Heading4"/>
        <w:rPr>
          <w:color w:val="000000"/>
        </w:rPr>
      </w:pPr>
      <w:r>
        <w:rPr>
          <w:color w:val="000000"/>
        </w:rPr>
        <w:t xml:space="preserve">Meta-theory outweighs [a] it indicts your ability to read theory [b] any reason theory precedes substance is a reason meta-theory comes first since it’s an epistemic indict. </w:t>
      </w:r>
      <w:r w:rsidRPr="002F7574">
        <w:rPr>
          <w:color w:val="000000"/>
        </w:rPr>
        <w:t xml:space="preserve">And my abuse is justified by their abuse, the only way for me to compensate for the existing disadvantages was to read an abusive position myself, don’t drop me for trying to compensate for a disadvantage. And, this means you evaluate the theory debate under a norms creation paradigm. </w:t>
      </w:r>
    </w:p>
    <w:p w14:paraId="4B771853" w14:textId="31AFB8A1" w:rsidR="00BF69AB" w:rsidRDefault="00BF69AB" w:rsidP="00315103">
      <w:pPr>
        <w:pStyle w:val="Heading2"/>
        <w:jc w:val="left"/>
      </w:pPr>
    </w:p>
    <w:p w14:paraId="79F204C0" w14:textId="77777777" w:rsidR="00BF69AB" w:rsidRPr="00BF69AB" w:rsidRDefault="00BF69AB" w:rsidP="00BF69AB"/>
    <w:p w14:paraId="5253E49C" w14:textId="0106E35B" w:rsidR="00BF69AB" w:rsidRPr="00BF69AB" w:rsidRDefault="002424C2" w:rsidP="00BF69AB">
      <w:pPr>
        <w:pStyle w:val="Heading2"/>
      </w:pPr>
      <w:r>
        <w:lastRenderedPageBreak/>
        <w:t>2</w:t>
      </w:r>
    </w:p>
    <w:p w14:paraId="350AF958" w14:textId="77777777" w:rsidR="00BF69AB" w:rsidRDefault="00BF69AB" w:rsidP="00BF69AB">
      <w:pPr>
        <w:pStyle w:val="Heading3"/>
      </w:pPr>
      <w:r>
        <w:lastRenderedPageBreak/>
        <w:t>Framework</w:t>
      </w:r>
    </w:p>
    <w:p w14:paraId="010C70A7" w14:textId="77777777" w:rsidR="00BF69AB" w:rsidRPr="000A751B" w:rsidRDefault="00BF69AB" w:rsidP="00BF69AB">
      <w:pPr>
        <w:pStyle w:val="Heading4"/>
        <w:spacing w:before="0" w:after="80" w:line="276" w:lineRule="auto"/>
      </w:pPr>
      <w:r w:rsidRPr="00776884">
        <w:t>The starting point of morality is practical reason.</w:t>
      </w:r>
    </w:p>
    <w:p w14:paraId="554A5550" w14:textId="77777777" w:rsidR="00BF69AB" w:rsidRPr="00776884" w:rsidRDefault="00BF69AB" w:rsidP="00BF69AB">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1FB7C312" w14:textId="77777777" w:rsidR="00BF69AB" w:rsidRPr="00776884" w:rsidRDefault="00BF69AB" w:rsidP="00BF69AB">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67C342C8" w14:textId="77777777" w:rsidR="00BF69AB" w:rsidRDefault="00BF69AB" w:rsidP="00BF69AB">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5CE8AC4A" w14:textId="77777777" w:rsidR="00BF69AB" w:rsidRPr="00AC3819" w:rsidRDefault="00BF69AB" w:rsidP="00BF69AB"/>
    <w:p w14:paraId="65268260" w14:textId="77777777" w:rsidR="00BF69AB" w:rsidRPr="00776884" w:rsidRDefault="00BF69AB" w:rsidP="00BF69AB">
      <w:pPr>
        <w:pStyle w:val="Heading4"/>
        <w:spacing w:before="0" w:after="80" w:line="276" w:lineRule="auto"/>
      </w:pPr>
      <w:r w:rsidRPr="00776884">
        <w:lastRenderedPageBreak/>
        <w:t>And, reason must be universal –</w:t>
      </w:r>
    </w:p>
    <w:p w14:paraId="11648182" w14:textId="77777777" w:rsidR="00BF69AB" w:rsidRPr="00776884" w:rsidRDefault="00BF69AB" w:rsidP="00BF69AB">
      <w:pPr>
        <w:pStyle w:val="Heading4"/>
        <w:spacing w:before="0" w:after="80" w:line="276" w:lineRule="auto"/>
      </w:pPr>
      <w:r w:rsidRPr="00776884">
        <w:t xml:space="preserve"> [A] a reason for one agent is a reason for another agent. I can’t say 2+2=4 is true for me but not for you – that’s incoherent.</w:t>
      </w:r>
    </w:p>
    <w:p w14:paraId="57C90987" w14:textId="77777777" w:rsidR="00BF69AB" w:rsidRPr="00776884" w:rsidRDefault="00BF69AB" w:rsidP="00BF69AB">
      <w:pPr>
        <w:pStyle w:val="Heading4"/>
      </w:pPr>
      <w:r w:rsidRPr="00776884">
        <w:t>[B] any non-universalizable norm justifies someone’s ability to impede on your ends i.e. if I want to eat ice cream, I must recognize that others may affect my pursuit of that end and demand the value of my end be recognized by others</w:t>
      </w:r>
    </w:p>
    <w:p w14:paraId="567F6DD0" w14:textId="77777777" w:rsidR="00BF69AB" w:rsidRPr="00776884" w:rsidRDefault="00BF69AB" w:rsidP="00BF69AB">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71A4A25F" w14:textId="77777777" w:rsidR="00BF69AB" w:rsidRPr="00776884" w:rsidRDefault="00BF69AB" w:rsidP="00BF69AB">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53F6003C" w14:textId="77777777" w:rsidR="00BF69AB" w:rsidRDefault="00BF69AB" w:rsidP="00BF69AB">
      <w:pPr>
        <w:pStyle w:val="Heading4"/>
        <w:rPr>
          <w:rFonts w:cs="Calibri"/>
        </w:rPr>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p>
    <w:p w14:paraId="1F73E307" w14:textId="77777777" w:rsidR="00BF69AB" w:rsidRDefault="00BF69AB" w:rsidP="00BF69AB">
      <w:pPr>
        <w:pStyle w:val="Heading4"/>
      </w:pPr>
      <w:r>
        <w:t xml:space="preserve">[3]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1968123D" w14:textId="77777777" w:rsidR="00BF69AB" w:rsidRPr="00AC3819" w:rsidRDefault="00BF69AB" w:rsidP="00BF69AB"/>
    <w:p w14:paraId="4890689B" w14:textId="77777777" w:rsidR="00BF69AB" w:rsidRDefault="00BF69AB" w:rsidP="00BF69AB">
      <w:pPr>
        <w:pStyle w:val="Heading3"/>
      </w:pPr>
      <w:r>
        <w:lastRenderedPageBreak/>
        <w:t>Offense</w:t>
      </w:r>
    </w:p>
    <w:p w14:paraId="6709CFDB" w14:textId="77777777" w:rsidR="00BF69AB" w:rsidRPr="008F5337" w:rsidRDefault="00BF69AB" w:rsidP="00BF69AB">
      <w:pPr>
        <w:pStyle w:val="Heading4"/>
      </w:pPr>
      <w:r>
        <w:t xml:space="preserve">1] </w:t>
      </w:r>
      <w:r w:rsidRPr="008F5337">
        <w:t>The conclusion of Kant’s moral philosophy is political libertarianism</w:t>
      </w:r>
    </w:p>
    <w:p w14:paraId="7E7804AF" w14:textId="77777777" w:rsidR="00BF69AB" w:rsidRPr="008F5337" w:rsidRDefault="00BF69AB" w:rsidP="00BF69AB">
      <w:r w:rsidRPr="008F5337">
        <w:rPr>
          <w:rStyle w:val="StyleUnderline"/>
          <w:bCs/>
        </w:rPr>
        <w:t>Otteson 09</w:t>
      </w:r>
      <w:r w:rsidRPr="008F5337">
        <w:t xml:space="preserve"> [(James R., professor of philosophy and economics at Yeshiva University) “Kantian Individualism and Political Libertarianism,” The Independent Review, v. 13, n. 3, Winter, </w:t>
      </w:r>
      <w:hyperlink r:id="rId6" w:history="1">
        <w:r w:rsidRPr="008F5337">
          <w:rPr>
            <w:rStyle w:val="Hyperlink"/>
          </w:rPr>
          <w:t>2009</w:t>
        </w:r>
      </w:hyperlink>
      <w:r w:rsidRPr="008F5337">
        <w:t>] TDI</w:t>
      </w:r>
    </w:p>
    <w:p w14:paraId="5D589EA4" w14:textId="77777777" w:rsidR="00BF69AB" w:rsidRPr="008F5337" w:rsidRDefault="00BF69AB" w:rsidP="00BF69AB">
      <w:pPr>
        <w:rPr>
          <w:rStyle w:val="StyleUnderline"/>
        </w:rPr>
      </w:pPr>
      <w:r w:rsidRPr="008F5337">
        <w:rPr>
          <w:rStyle w:val="StyleUnderline"/>
        </w:rPr>
        <w:t xml:space="preserve">It is difficult to imagine a stronger defense of the “sacred” dignity of individual agency. </w:t>
      </w:r>
      <w:r w:rsidRPr="00E357A5">
        <w:rPr>
          <w:rStyle w:val="StyleUnderline"/>
          <w:highlight w:val="green"/>
        </w:rPr>
        <w:t>Kantian individuality</w:t>
      </w:r>
      <w:r w:rsidRPr="008F5337">
        <w:rPr>
          <w:rStyle w:val="StyleUnderline"/>
        </w:rPr>
        <w:t xml:space="preserve"> is </w:t>
      </w:r>
      <w:r w:rsidRPr="00E357A5">
        <w:rPr>
          <w:rStyle w:val="StyleUnderline"/>
          <w:highlight w:val="green"/>
        </w:rPr>
        <w:t>premised on</w:t>
      </w:r>
      <w:r w:rsidRPr="008F5337">
        <w:rPr>
          <w:rStyle w:val="StyleUnderline"/>
        </w:rPr>
        <w:t xml:space="preserve"> its rational nature and its </w:t>
      </w:r>
      <w:r w:rsidRPr="00E357A5">
        <w:rPr>
          <w:rStyle w:val="StyleUnderline"/>
          <w:highlight w:val="green"/>
        </w:rPr>
        <w:t>entailed inherent dignity</w:t>
      </w:r>
      <w:r w:rsidRPr="008F5337">
        <w:rPr>
          <w:rStyle w:val="StyleUnderline"/>
        </w:rPr>
        <w:t>, and the rest of his moral philosophy arguably is built on this vision.</w:t>
      </w:r>
      <w:r w:rsidRPr="0041001C">
        <w:rPr>
          <w:sz w:val="10"/>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8F5337">
        <w:rPr>
          <w:rStyle w:val="StyleUnderline"/>
        </w:rPr>
        <w:t xml:space="preserve">These passages also help to clarify Kant’s notion of personhood and rational agency by indicating some of their practical implications. For example, on the basis of his argument, one would expect him to argue for </w:t>
      </w:r>
      <w:r w:rsidRPr="00E357A5">
        <w:rPr>
          <w:rStyle w:val="StyleUnderline"/>
          <w:highlight w:val="green"/>
        </w:rPr>
        <w:t>setting</w:t>
      </w:r>
      <w:r w:rsidRPr="008F5337">
        <w:rPr>
          <w:rStyle w:val="StyleUnderline"/>
        </w:rPr>
        <w:t xml:space="preserve"> severe </w:t>
      </w:r>
      <w:r w:rsidRPr="00E357A5">
        <w:rPr>
          <w:rStyle w:val="StyleUnderline"/>
          <w:highlight w:val="green"/>
        </w:rPr>
        <w:t>limits on the</w:t>
      </w:r>
      <w:r w:rsidRPr="008F5337">
        <w:rPr>
          <w:rStyle w:val="StyleUnderline"/>
        </w:rPr>
        <w:t xml:space="preserve"> </w:t>
      </w:r>
      <w:r w:rsidRPr="00E357A5">
        <w:rPr>
          <w:rStyle w:val="StyleUnderline"/>
          <w:highlight w:val="green"/>
        </w:rPr>
        <w:t>authority</w:t>
      </w:r>
      <w:r w:rsidRPr="008F5337">
        <w:rPr>
          <w:rStyle w:val="StyleUnderline"/>
        </w:rPr>
        <w:t xml:space="preserve"> that any group </w:t>
      </w:r>
      <w:r w:rsidRPr="00E357A5">
        <w:rPr>
          <w:rStyle w:val="StyleUnderline"/>
          <w:highlight w:val="green"/>
        </w:rPr>
        <w:t>of</w:t>
      </w:r>
      <w:r w:rsidRPr="008F5337">
        <w:rPr>
          <w:rStyle w:val="StyleUnderline"/>
        </w:rPr>
        <w:t xml:space="preserve"> people, including </w:t>
      </w:r>
      <w:r w:rsidRPr="00E357A5">
        <w:rPr>
          <w:rStyle w:val="StyleUnderline"/>
          <w:highlight w:val="green"/>
        </w:rPr>
        <w:t>the state</w:t>
      </w:r>
      <w:r w:rsidRPr="008F5337">
        <w:rPr>
          <w:rStyle w:val="StyleUnderline"/>
        </w:rPr>
        <w:t xml:space="preserve">, may exercise over others: because </w:t>
      </w:r>
      <w:r w:rsidRPr="00E357A5">
        <w:rPr>
          <w:rStyle w:val="StyleUnderline"/>
          <w:highlight w:val="green"/>
        </w:rPr>
        <w:t>individual freedom is necessary</w:t>
      </w:r>
      <w:r w:rsidRPr="008F5337">
        <w:rPr>
          <w:rStyle w:val="StyleUnderline"/>
        </w:rPr>
        <w:t xml:space="preserve"> both to achieve enlightenment and </w:t>
      </w:r>
      <w:r w:rsidRPr="00E357A5">
        <w:rPr>
          <w:rStyle w:val="StyleUnderline"/>
          <w:highlight w:val="green"/>
        </w:rPr>
        <w:t>to exercise</w:t>
      </w:r>
      <w:r w:rsidRPr="008F5337">
        <w:rPr>
          <w:rStyle w:val="StyleUnderline"/>
        </w:rPr>
        <w:t xml:space="preserve"> one’s moral </w:t>
      </w:r>
      <w:r w:rsidRPr="00E357A5">
        <w:rPr>
          <w:rStyle w:val="StyleUnderline"/>
          <w:highlight w:val="green"/>
        </w:rPr>
        <w:t>agency</w:t>
      </w:r>
      <w:r w:rsidRPr="008F5337">
        <w:rPr>
          <w:rStyle w:val="StyleUnderline"/>
        </w:rPr>
        <w:t>, Kant should argue that no group may impinge on that freedom without thereby acting immorally.</w:t>
      </w:r>
      <w:r>
        <w:rPr>
          <w:rStyle w:val="StyleUnderline"/>
        </w:rPr>
        <w:t xml:space="preserve"> </w:t>
      </w:r>
      <w:r w:rsidRPr="0041001C">
        <w:rPr>
          <w:sz w:val="10"/>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8F5337">
        <w:rPr>
          <w:rStyle w:val="StyleUnderline"/>
        </w:rPr>
        <w:t xml:space="preserve">Kant insists on </w:t>
      </w:r>
      <w:r w:rsidRPr="00E357A5">
        <w:rPr>
          <w:rStyle w:val="StyleUnderline"/>
          <w:highlight w:val="green"/>
        </w:rPr>
        <w:t>the protection of a sphere of liberty</w:t>
      </w:r>
      <w:r w:rsidRPr="008F5337">
        <w:rPr>
          <w:rStyle w:val="StyleUnderline"/>
        </w:rPr>
        <w:t xml:space="preserve"> for each individual to self-legislate under universalizable laws of rationality, consistent with the formulation of the categorical imperative</w:t>
      </w:r>
      <w:r w:rsidRPr="0041001C">
        <w:rPr>
          <w:sz w:val="10"/>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8F5337">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41001C">
        <w:rPr>
          <w:sz w:val="10"/>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8F5337">
        <w:rPr>
          <w:rStyle w:val="StyleUnderline"/>
        </w:rPr>
        <w:t xml:space="preserve">Thus, the </w:t>
      </w:r>
      <w:r w:rsidRPr="00E357A5">
        <w:rPr>
          <w:rStyle w:val="StyleUnderline"/>
          <w:highlight w:val="green"/>
        </w:rPr>
        <w:t>only “coercive laws</w:t>
      </w:r>
      <w:r w:rsidRPr="008F5337">
        <w:rPr>
          <w:rStyle w:val="StyleUnderline"/>
        </w:rPr>
        <w:t xml:space="preserve">” to which </w:t>
      </w:r>
      <w:r w:rsidRPr="00E357A5">
        <w:rPr>
          <w:rStyle w:val="StyleUnderline"/>
          <w:highlight w:val="green"/>
        </w:rPr>
        <w:t>individuals may</w:t>
      </w:r>
      <w:r w:rsidRPr="008F5337">
        <w:rPr>
          <w:rStyle w:val="StyleUnderline"/>
        </w:rPr>
        <w:t xml:space="preserve"> rationally </w:t>
      </w:r>
      <w:r w:rsidRPr="00E357A5">
        <w:rPr>
          <w:rStyle w:val="StyleUnderline"/>
          <w:highlight w:val="green"/>
        </w:rPr>
        <w:t>allow</w:t>
      </w:r>
      <w:r w:rsidRPr="008F5337">
        <w:rPr>
          <w:rStyle w:val="StyleUnderline"/>
        </w:rPr>
        <w:t xml:space="preserve"> themselves to be subject in civil society </w:t>
      </w:r>
      <w:r w:rsidRPr="00E357A5">
        <w:rPr>
          <w:rStyle w:val="StyleUnderline"/>
          <w:highlight w:val="green"/>
        </w:rPr>
        <w:t>are those that require respect for each others’ moral agency</w:t>
      </w:r>
      <w:r w:rsidRPr="0041001C">
        <w:rPr>
          <w:sz w:val="10"/>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8F5337">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human progress is therefore possible only under a state that defends individual freedom. Kant believes that </w:t>
      </w:r>
      <w:r w:rsidRPr="00E357A5">
        <w:rPr>
          <w:rStyle w:val="StyleUnderline"/>
          <w:highlight w:val="green"/>
        </w:rPr>
        <w:t>individuals</w:t>
      </w:r>
      <w:r w:rsidRPr="008F5337">
        <w:rPr>
          <w:rStyle w:val="StyleUnderline"/>
        </w:rPr>
        <w:t xml:space="preserve"> have the best chance to be </w:t>
      </w:r>
      <w:r w:rsidRPr="00E357A5">
        <w:rPr>
          <w:rStyle w:val="StyleUnderline"/>
          <w:highlight w:val="green"/>
        </w:rPr>
        <w:t>happy under a limited civil government</w:t>
      </w:r>
      <w:r w:rsidRPr="008F5337">
        <w:rPr>
          <w:rStyle w:val="StyleUnderline"/>
        </w:rPr>
        <w:t>, and he therefore argues that even such a laudable goal as increasing human happiness is not a justifiable role of the state</w:t>
      </w:r>
      <w:r w:rsidRPr="0041001C">
        <w:rPr>
          <w:sz w:val="10"/>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8F5337">
        <w:rPr>
          <w:rStyle w:val="StyleUnderline"/>
        </w:rPr>
        <w:t>The Kantian state is hence limited on the principled grounds of respecting agency; the fact that this limitation in his view provides the conditions enabling enlightenment, progress, and ultimately happiness is a great but ancillary benefit.</w:t>
      </w:r>
      <w:r>
        <w:rPr>
          <w:rStyle w:val="StyleUnderline"/>
        </w:rPr>
        <w:t xml:space="preserve"> </w:t>
      </w:r>
      <w:r w:rsidRPr="0041001C">
        <w:rPr>
          <w:sz w:val="10"/>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w:t>
      </w:r>
      <w:r w:rsidRPr="0041001C">
        <w:rPr>
          <w:sz w:val="10"/>
        </w:rPr>
        <w:lastRenderedPageBreak/>
        <w:t xml:space="preserve">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8F5337">
        <w:rPr>
          <w:rStyle w:val="StyleUnderline"/>
        </w:rPr>
        <w:t>This stipulation becomes for Kant the grounding justification for the existence of a state,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w:t>
      </w:r>
      <w:r>
        <w:rPr>
          <w:rStyle w:val="StyleUnderline"/>
        </w:rPr>
        <w:t xml:space="preserve"> </w:t>
      </w:r>
      <w:r w:rsidRPr="0041001C">
        <w:rPr>
          <w:rStyle w:val="StyleUnderline"/>
          <w:highlight w:val="green"/>
        </w:rPr>
        <w:t>Kant’s position</w:t>
      </w:r>
      <w:r w:rsidRPr="008F5337">
        <w:rPr>
          <w:rStyle w:val="StyleUnderline"/>
        </w:rPr>
        <w:t xml:space="preserve"> thus outlines and implies a political philosophy that </w:t>
      </w:r>
      <w:r w:rsidRPr="0041001C">
        <w:rPr>
          <w:rStyle w:val="StyleUnderline"/>
          <w:highlight w:val="green"/>
        </w:rPr>
        <w:t>is broadly libertarian</w:t>
      </w:r>
      <w:r w:rsidRPr="008F5337">
        <w:rPr>
          <w:rStyle w:val="StyleUnderline"/>
        </w:rPr>
        <w:t>; that is, it endorses a state constructed with the sole aim of protecting its citizens against invasions of their liberty.</w:t>
      </w:r>
      <w:r w:rsidRPr="0041001C">
        <w:rPr>
          <w:sz w:val="10"/>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8F5337">
        <w:rPr>
          <w:rStyle w:val="StyleUnderline"/>
        </w:rPr>
        <w:t xml:space="preserve">The implication is that a Kantian </w:t>
      </w:r>
      <w:r w:rsidRPr="0041001C">
        <w:rPr>
          <w:rStyle w:val="StyleUnderline"/>
          <w:highlight w:val="green"/>
        </w:rPr>
        <w:t>state protects against invasions of freedom and</w:t>
      </w:r>
      <w:r w:rsidRPr="008F5337">
        <w:rPr>
          <w:rStyle w:val="StyleUnderline"/>
        </w:rPr>
        <w:t xml:space="preserve"> does </w:t>
      </w:r>
      <w:r w:rsidRPr="0041001C">
        <w:rPr>
          <w:rStyle w:val="StyleUnderline"/>
          <w:highlight w:val="green"/>
        </w:rPr>
        <w:t>nothing else</w:t>
      </w:r>
      <w:r w:rsidRPr="008F5337">
        <w:rPr>
          <w:rStyle w:val="StyleUnderline"/>
        </w:rPr>
        <w:t>; in the absence of invasions or threats of invasions, it is inactive.</w:t>
      </w:r>
    </w:p>
    <w:p w14:paraId="2BCAD72A" w14:textId="77777777" w:rsidR="00BF69AB" w:rsidRPr="008F5337" w:rsidRDefault="00BF69AB" w:rsidP="00BF69AB">
      <w:pPr>
        <w:pStyle w:val="Heading4"/>
      </w:pPr>
      <w:r>
        <w:t xml:space="preserve">2] </w:t>
      </w:r>
      <w:r w:rsidRPr="008F5337">
        <w:t>Libertarianism mandates a market-oriented approach to space—that negates</w:t>
      </w:r>
    </w:p>
    <w:p w14:paraId="1FAD3B14" w14:textId="77777777" w:rsidR="00BF69AB" w:rsidRPr="008F5337" w:rsidRDefault="00BF69AB" w:rsidP="00BF69AB">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7" w:history="1">
        <w:r w:rsidRPr="008F5337">
          <w:rPr>
            <w:rStyle w:val="Hyperlink"/>
          </w:rPr>
          <w:t>https://abovethelaw.com/2020/01/space-law-can-only-be-libertarian-minded/</w:t>
        </w:r>
      </w:hyperlink>
      <w:r w:rsidRPr="008F5337">
        <w:t>] TDI</w:t>
      </w:r>
    </w:p>
    <w:p w14:paraId="53C0396B" w14:textId="77777777" w:rsidR="00BF69AB" w:rsidRPr="0041001C" w:rsidRDefault="00BF69AB" w:rsidP="00BF69AB">
      <w:pPr>
        <w:rPr>
          <w:rStyle w:val="StyleUnderline"/>
          <w:sz w:val="10"/>
          <w:u w:val="none"/>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Simberg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StyleUnderline"/>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F5337">
        <w:rPr>
          <w:rStyle w:val="StyleUnderline"/>
        </w:rPr>
        <w:t xml:space="preserve">, and if </w:t>
      </w:r>
      <w:r w:rsidRPr="0041001C">
        <w:rPr>
          <w:rStyle w:val="StyleUnderline"/>
          <w:highlight w:val="green"/>
        </w:rPr>
        <w:t>human history is an</w:t>
      </w:r>
      <w:r w:rsidRPr="008F5337">
        <w:rPr>
          <w:rStyle w:val="StyleUnderline"/>
        </w:rPr>
        <w:t xml:space="preserve">y </w:t>
      </w:r>
      <w:r w:rsidRPr="0041001C">
        <w:rPr>
          <w:rStyle w:val="StyleUnderline"/>
          <w:highlight w:val="green"/>
        </w:rPr>
        <w:t>indicator, private homesteading will follow</w:t>
      </w:r>
      <w:r w:rsidRPr="0041001C">
        <w:rPr>
          <w:sz w:val="10"/>
        </w:rPr>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p w14:paraId="10679ED5" w14:textId="77777777" w:rsidR="00BF69AB" w:rsidRPr="00E357A5" w:rsidRDefault="00BF69AB" w:rsidP="00BF69AB"/>
    <w:p w14:paraId="72450680" w14:textId="77777777" w:rsidR="00BF69AB" w:rsidRDefault="00BF69AB" w:rsidP="00BF69AB">
      <w:pPr>
        <w:pStyle w:val="Heading4"/>
      </w:pPr>
      <w:r>
        <w:t>3] Private entities utilize their own property and resources to fund and conduct space exploration which means – Prohibition of it is a violation of a). Their ability to use their own property(like their rocketships or fuel) to set their ends in space and b). Their freedom to explore unknown horizons such as space.</w:t>
      </w:r>
    </w:p>
    <w:p w14:paraId="5D175462" w14:textId="77777777" w:rsidR="00BF69AB" w:rsidRDefault="00BF69AB" w:rsidP="00BF69AB"/>
    <w:p w14:paraId="630D256A" w14:textId="77777777" w:rsidR="00BF69AB" w:rsidRPr="00B55AD5" w:rsidRDefault="00BF69AB" w:rsidP="00BF69AB">
      <w:pPr>
        <w:pStyle w:val="Heading4"/>
      </w:pPr>
    </w:p>
    <w:p w14:paraId="52A53A95" w14:textId="77777777" w:rsidR="00BF69AB" w:rsidRPr="00BF69AB" w:rsidRDefault="00BF69AB" w:rsidP="00BF69AB"/>
    <w:p w14:paraId="475902C6" w14:textId="7A56E17D" w:rsidR="00CB0BB0" w:rsidRPr="00CB0BB0" w:rsidRDefault="00CB0BB0" w:rsidP="008169E0">
      <w:pPr>
        <w:pStyle w:val="Heading4"/>
      </w:pPr>
    </w:p>
    <w:sectPr w:rsidR="00CB0BB0" w:rsidRPr="00CB0B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B0BB0"/>
    <w:rsid w:val="000139A3"/>
    <w:rsid w:val="000B2398"/>
    <w:rsid w:val="000C22A8"/>
    <w:rsid w:val="00100833"/>
    <w:rsid w:val="00104529"/>
    <w:rsid w:val="00105942"/>
    <w:rsid w:val="00107396"/>
    <w:rsid w:val="00144A4C"/>
    <w:rsid w:val="00176AB0"/>
    <w:rsid w:val="00177B7D"/>
    <w:rsid w:val="0018322D"/>
    <w:rsid w:val="001B5776"/>
    <w:rsid w:val="001E527A"/>
    <w:rsid w:val="001F78CE"/>
    <w:rsid w:val="002424C2"/>
    <w:rsid w:val="00251FC7"/>
    <w:rsid w:val="002855A7"/>
    <w:rsid w:val="002B146A"/>
    <w:rsid w:val="002B5E17"/>
    <w:rsid w:val="00315103"/>
    <w:rsid w:val="00315690"/>
    <w:rsid w:val="00316B75"/>
    <w:rsid w:val="00325646"/>
    <w:rsid w:val="003460F2"/>
    <w:rsid w:val="0038158C"/>
    <w:rsid w:val="003902BA"/>
    <w:rsid w:val="003A09E2"/>
    <w:rsid w:val="00407037"/>
    <w:rsid w:val="004605D6"/>
    <w:rsid w:val="004C60E8"/>
    <w:rsid w:val="004E3579"/>
    <w:rsid w:val="004E728B"/>
    <w:rsid w:val="004F39E0"/>
    <w:rsid w:val="0051530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69E0"/>
    <w:rsid w:val="00823A1C"/>
    <w:rsid w:val="00845B9D"/>
    <w:rsid w:val="00860984"/>
    <w:rsid w:val="008B3ECB"/>
    <w:rsid w:val="008B4E85"/>
    <w:rsid w:val="008C1B2E"/>
    <w:rsid w:val="0091344A"/>
    <w:rsid w:val="0091627E"/>
    <w:rsid w:val="0097032B"/>
    <w:rsid w:val="009D2EAD"/>
    <w:rsid w:val="009D54B2"/>
    <w:rsid w:val="009E1922"/>
    <w:rsid w:val="009F7ED2"/>
    <w:rsid w:val="00A843D5"/>
    <w:rsid w:val="00A93661"/>
    <w:rsid w:val="00A95652"/>
    <w:rsid w:val="00AC0AB8"/>
    <w:rsid w:val="00B33C6D"/>
    <w:rsid w:val="00B4508F"/>
    <w:rsid w:val="00B55AD5"/>
    <w:rsid w:val="00B8057C"/>
    <w:rsid w:val="00BD6238"/>
    <w:rsid w:val="00BF593B"/>
    <w:rsid w:val="00BF69AB"/>
    <w:rsid w:val="00BF773A"/>
    <w:rsid w:val="00BF7E81"/>
    <w:rsid w:val="00C13773"/>
    <w:rsid w:val="00C17CC8"/>
    <w:rsid w:val="00C83417"/>
    <w:rsid w:val="00C9604F"/>
    <w:rsid w:val="00CA19AA"/>
    <w:rsid w:val="00CB0BB0"/>
    <w:rsid w:val="00CC5298"/>
    <w:rsid w:val="00CD736E"/>
    <w:rsid w:val="00CD798D"/>
    <w:rsid w:val="00CE161E"/>
    <w:rsid w:val="00CF59A8"/>
    <w:rsid w:val="00D325A9"/>
    <w:rsid w:val="00D36A8A"/>
    <w:rsid w:val="00D61409"/>
    <w:rsid w:val="00D6691E"/>
    <w:rsid w:val="00D71170"/>
    <w:rsid w:val="00DA1C92"/>
    <w:rsid w:val="00DA25D4"/>
    <w:rsid w:val="00DA6538"/>
    <w:rsid w:val="00E0595D"/>
    <w:rsid w:val="00E15E75"/>
    <w:rsid w:val="00E5262C"/>
    <w:rsid w:val="00EC7DC4"/>
    <w:rsid w:val="00ED30CF"/>
    <w:rsid w:val="00F176EF"/>
    <w:rsid w:val="00F45E10"/>
    <w:rsid w:val="00F6364A"/>
    <w:rsid w:val="00F7717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17C31"/>
  <w15:chartTrackingRefBased/>
  <w15:docId w15:val="{8C77079E-5E3D-42CD-8D44-BBE352332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69E0"/>
    <w:rPr>
      <w:rFonts w:ascii="Calibri" w:hAnsi="Calibri"/>
    </w:rPr>
  </w:style>
  <w:style w:type="paragraph" w:styleId="Heading1">
    <w:name w:val="heading 1"/>
    <w:aliases w:val="Pocket"/>
    <w:basedOn w:val="Normal"/>
    <w:next w:val="Normal"/>
    <w:link w:val="Heading1Char"/>
    <w:qFormat/>
    <w:rsid w:val="00CB0B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0B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CB0B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CB0B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B0B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0BB0"/>
  </w:style>
  <w:style w:type="character" w:customStyle="1" w:styleId="Heading1Char">
    <w:name w:val="Heading 1 Char"/>
    <w:aliases w:val="Pocket Char"/>
    <w:basedOn w:val="DefaultParagraphFont"/>
    <w:link w:val="Heading1"/>
    <w:rsid w:val="00CB0B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0BB0"/>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Heading 3 Char1 Char Char Char,Citation Char Char Char Char Char,Citation Char1 Char Char Char,Text 7 Char,Block Writing Char"/>
    <w:basedOn w:val="DefaultParagraphFont"/>
    <w:link w:val="Heading3"/>
    <w:uiPriority w:val="2"/>
    <w:rsid w:val="00CB0BB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CB0BB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CB0BB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B0BB0"/>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CB0BB0"/>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CB0BB0"/>
    <w:rPr>
      <w:color w:val="auto"/>
      <w:u w:val="none"/>
    </w:rPr>
  </w:style>
  <w:style w:type="character" w:styleId="FollowedHyperlink">
    <w:name w:val="FollowedHyperlink"/>
    <w:basedOn w:val="DefaultParagraphFont"/>
    <w:uiPriority w:val="99"/>
    <w:semiHidden/>
    <w:unhideWhenUsed/>
    <w:rsid w:val="00CB0BB0"/>
    <w:rPr>
      <w:color w:val="auto"/>
      <w:u w:val="none"/>
    </w:rPr>
  </w:style>
  <w:style w:type="paragraph" w:customStyle="1" w:styleId="textbold">
    <w:name w:val="text bold"/>
    <w:basedOn w:val="Normal"/>
    <w:link w:val="Emphasis"/>
    <w:uiPriority w:val="7"/>
    <w:qFormat/>
    <w:rsid w:val="00CB0BB0"/>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tag,tags"/>
    <w:basedOn w:val="Heading1"/>
    <w:link w:val="Hyperlink"/>
    <w:autoRedefine/>
    <w:uiPriority w:val="99"/>
    <w:qFormat/>
    <w:rsid w:val="00CB0BB0"/>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bovethelaw.com/2020/01/space-law-can-only-be-libertarian-min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3456</Words>
  <Characters>19705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8</cp:revision>
  <dcterms:created xsi:type="dcterms:W3CDTF">2021-12-18T00:10:00Z</dcterms:created>
  <dcterms:modified xsi:type="dcterms:W3CDTF">2021-12-18T02:28:00Z</dcterms:modified>
</cp:coreProperties>
</file>