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C4EF" w14:textId="77777777" w:rsidR="00A6006E" w:rsidRDefault="00A6006E" w:rsidP="00A6006E">
      <w:pPr>
        <w:pStyle w:val="Heading2"/>
      </w:pPr>
      <w:bookmarkStart w:id="0" w:name="_Hlk96153768"/>
      <w:r>
        <w:t>1</w:t>
      </w:r>
    </w:p>
    <w:p w14:paraId="239BE5DC" w14:textId="77777777" w:rsidR="00A6006E" w:rsidRDefault="00A6006E" w:rsidP="00A6006E">
      <w:pPr>
        <w:pStyle w:val="Heading3"/>
      </w:pPr>
      <w:r>
        <w:lastRenderedPageBreak/>
        <w:t>Framework</w:t>
      </w:r>
    </w:p>
    <w:p w14:paraId="2ECDE504" w14:textId="77777777" w:rsidR="00A6006E" w:rsidRPr="000A751B" w:rsidRDefault="00A6006E" w:rsidP="00A6006E">
      <w:pPr>
        <w:pStyle w:val="Heading4"/>
        <w:spacing w:before="0" w:after="80" w:line="276" w:lineRule="auto"/>
      </w:pPr>
      <w:r w:rsidRPr="00776884">
        <w:t>The starting point of morality is practical reason.</w:t>
      </w:r>
    </w:p>
    <w:p w14:paraId="2BD797DB" w14:textId="5ABF2CFC" w:rsidR="00A6006E" w:rsidRPr="00776884" w:rsidRDefault="00A6006E" w:rsidP="00A6006E">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08E97864" w14:textId="732DAE37" w:rsidR="00A6006E" w:rsidRPr="00776884" w:rsidRDefault="00A6006E" w:rsidP="00A6006E">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FBC40E8" w14:textId="77777777" w:rsidR="00A6006E" w:rsidRDefault="00A6006E" w:rsidP="00A6006E">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74130767" w14:textId="77777777" w:rsidR="00A6006E" w:rsidRPr="00AC3819" w:rsidRDefault="00A6006E" w:rsidP="00A6006E">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190FF5D4" w14:textId="3A8158AF" w:rsidR="00A6006E" w:rsidRPr="00690BD9" w:rsidRDefault="00A6006E" w:rsidP="00A6006E">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r w:rsidR="007C2CAB">
        <w:rPr>
          <w:rFonts w:cs="Calibri"/>
        </w:rPr>
        <w:t xml:space="preserve"> </w:t>
      </w:r>
    </w:p>
    <w:p w14:paraId="14567FCA" w14:textId="77777777" w:rsidR="00A6006E" w:rsidRPr="00AC3819" w:rsidRDefault="00A6006E" w:rsidP="00A6006E"/>
    <w:p w14:paraId="55711D95" w14:textId="77777777" w:rsidR="00A6006E" w:rsidRPr="00776884" w:rsidRDefault="00A6006E" w:rsidP="00A6006E">
      <w:pPr>
        <w:pStyle w:val="Heading4"/>
        <w:spacing w:before="0" w:after="80" w:line="276" w:lineRule="auto"/>
      </w:pPr>
      <w:r w:rsidRPr="00776884">
        <w:lastRenderedPageBreak/>
        <w:t>And, reason must be universal –</w:t>
      </w:r>
    </w:p>
    <w:p w14:paraId="6F88B59E" w14:textId="0F341036" w:rsidR="00A6006E" w:rsidRPr="00776884" w:rsidRDefault="00A6006E" w:rsidP="00A6006E">
      <w:pPr>
        <w:pStyle w:val="Heading4"/>
        <w:spacing w:before="0" w:after="80" w:line="276" w:lineRule="auto"/>
      </w:pPr>
      <w:r w:rsidRPr="00776884">
        <w:t xml:space="preserve"> [A] a reason for one agent is a reason for another agent. I can’t say 2+2=4 is true for me but not for you – that’s incoherent.</w:t>
      </w:r>
    </w:p>
    <w:p w14:paraId="6AAC5C17" w14:textId="5B5EAAE7" w:rsidR="00A6006E" w:rsidRPr="00776884" w:rsidRDefault="00A6006E" w:rsidP="00A6006E">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r w:rsidR="007C2CAB">
        <w:t xml:space="preserve"> </w:t>
      </w:r>
    </w:p>
    <w:p w14:paraId="7155DB8F" w14:textId="77777777" w:rsidR="00A6006E" w:rsidRPr="00776884" w:rsidRDefault="00A6006E" w:rsidP="00A6006E">
      <w:pPr>
        <w:pStyle w:val="Heading4"/>
        <w:rPr>
          <w:rFonts w:cs="Calibri"/>
        </w:rPr>
      </w:pPr>
      <w:r w:rsidRPr="00776884">
        <w:rPr>
          <w:rFonts w:cs="Calibri"/>
        </w:rPr>
        <w:t xml:space="preserve">Thus, the standard is </w:t>
      </w:r>
      <w:bookmarkStart w:id="1" w:name="_Hlk55231903"/>
      <w:r w:rsidRPr="00776884">
        <w:rPr>
          <w:rFonts w:cs="Calibri"/>
        </w:rPr>
        <w:t>consistency</w:t>
      </w:r>
      <w:bookmarkEnd w:id="1"/>
      <w:r w:rsidRPr="00776884">
        <w:rPr>
          <w:rFonts w:cs="Calibri"/>
        </w:rPr>
        <w:t xml:space="preserve"> with the categorical imperative’s system of equal and outer freedom. Prefer:</w:t>
      </w:r>
    </w:p>
    <w:p w14:paraId="05D4EACC" w14:textId="02625D58" w:rsidR="00A6006E" w:rsidRDefault="00A6006E" w:rsidP="00A6006E">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2"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544052AC" w14:textId="4D5634C2" w:rsidR="00A6006E" w:rsidRPr="00690BD9" w:rsidRDefault="00A6006E" w:rsidP="00A6006E">
      <w:pPr>
        <w:pStyle w:val="Heading4"/>
        <w:rPr>
          <w:rFonts w:asciiTheme="minorHAnsi" w:hAnsiTheme="minorHAnsi" w:cstheme="minorHAnsi"/>
        </w:rPr>
      </w:pPr>
      <w:r w:rsidRPr="00776884">
        <w:t xml:space="preserve">[2]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3"/>
    </w:p>
    <w:p w14:paraId="42B08406" w14:textId="77777777" w:rsidR="00A6006E" w:rsidRDefault="00A6006E" w:rsidP="00A6006E">
      <w:pPr>
        <w:pStyle w:val="Heading4"/>
      </w:pPr>
      <w:r>
        <w:t xml:space="preserve">[3] </w:t>
      </w:r>
      <w:r w:rsidRPr="0000216E">
        <w:rPr>
          <w:u w:val="single"/>
        </w:rPr>
        <w:t>Resource disparities</w:t>
      </w:r>
      <w:r>
        <w:t xml:space="preserve">- Our framework ensures big squads don’t have a comparative advantage since debates become about quality of arguments rather than quantity - their model crowds out small schools because they have to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08C5B778" w14:textId="77777777" w:rsidR="00A6006E" w:rsidRDefault="00A6006E" w:rsidP="00A6006E">
      <w:pPr>
        <w:pStyle w:val="Heading4"/>
      </w:pPr>
      <w:r w:rsidRPr="00690BD9">
        <w:t xml:space="preserve">[4]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241C2F8B" w14:textId="77777777" w:rsidR="00A6006E" w:rsidRPr="00690BD9" w:rsidRDefault="00A6006E" w:rsidP="00A6006E">
      <w:pPr>
        <w:pStyle w:val="Heading4"/>
        <w:spacing w:line="240" w:lineRule="auto"/>
        <w:rPr>
          <w:rFonts w:asciiTheme="minorHAnsi" w:hAnsiTheme="minorHAnsi" w:cstheme="minorHAnsi"/>
        </w:rPr>
      </w:pPr>
      <w:r>
        <w:t xml:space="preserve">[5]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68589CC5" w14:textId="77777777" w:rsidR="00A6006E" w:rsidRPr="00857020" w:rsidRDefault="00A6006E" w:rsidP="00A6006E"/>
    <w:p w14:paraId="2A831107" w14:textId="77777777" w:rsidR="00A6006E" w:rsidRPr="00AC3819" w:rsidRDefault="00A6006E" w:rsidP="00A6006E"/>
    <w:p w14:paraId="1244B5A4" w14:textId="7F32CBBE" w:rsidR="00821EEC" w:rsidRPr="00821EEC" w:rsidRDefault="00A6006E" w:rsidP="00392518">
      <w:pPr>
        <w:pStyle w:val="Heading3"/>
      </w:pPr>
      <w:r>
        <w:lastRenderedPageBreak/>
        <w:t>Offense</w:t>
      </w:r>
    </w:p>
    <w:p w14:paraId="4F5D4F54" w14:textId="77777777" w:rsidR="00A6006E" w:rsidRPr="008F5337" w:rsidRDefault="00A6006E" w:rsidP="00A6006E">
      <w:pPr>
        <w:pStyle w:val="Heading4"/>
      </w:pPr>
      <w:r>
        <w:t xml:space="preserve">1] </w:t>
      </w:r>
      <w:r w:rsidRPr="008F5337">
        <w:t>The conclusion of Kant’s moral philosophy is political libertarianism</w:t>
      </w:r>
    </w:p>
    <w:p w14:paraId="49B933D7" w14:textId="77777777" w:rsidR="00A6006E" w:rsidRPr="008F5337" w:rsidRDefault="00A6006E" w:rsidP="00A6006E">
      <w:proofErr w:type="spellStart"/>
      <w:r w:rsidRPr="008F5337">
        <w:rPr>
          <w:rStyle w:val="StyleUnderline"/>
          <w:bCs/>
        </w:rPr>
        <w:t>Otteson</w:t>
      </w:r>
      <w:proofErr w:type="spellEnd"/>
      <w:r w:rsidRPr="008F5337">
        <w:rPr>
          <w:rStyle w:val="StyleUnderline"/>
          <w:bCs/>
        </w:rPr>
        <w:t xml:space="preserve"> 09</w:t>
      </w:r>
      <w:r w:rsidRPr="008F5337">
        <w:t xml:space="preserve"> [(James R., professor of philosophy and economics at Yeshiva University) “Kantian Individualism and Political Libertarianism,” The Independent Review, v. 13, n. 3, Winter, </w:t>
      </w:r>
      <w:hyperlink r:id="rId8" w:history="1">
        <w:r w:rsidRPr="008F5337">
          <w:rPr>
            <w:rStyle w:val="Hyperlink"/>
          </w:rPr>
          <w:t>2009</w:t>
        </w:r>
      </w:hyperlink>
      <w:r w:rsidRPr="008F5337">
        <w:t>] TDI</w:t>
      </w:r>
    </w:p>
    <w:p w14:paraId="61069ABE" w14:textId="77777777" w:rsidR="00A6006E" w:rsidRPr="008F5337" w:rsidRDefault="00A6006E" w:rsidP="00A6006E">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41001C">
        <w:rPr>
          <w:sz w:val="10"/>
        </w:rPr>
        <w:t>heteronomously</w:t>
      </w:r>
      <w:proofErr w:type="spellEnd"/>
      <w:r w:rsidRPr="0041001C">
        <w:rPr>
          <w:sz w:val="10"/>
        </w:rPr>
        <w:t xml:space="preserve">,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w:t>
      </w:r>
      <w:proofErr w:type="spellStart"/>
      <w:r w:rsidRPr="0041001C">
        <w:rPr>
          <w:sz w:val="10"/>
        </w:rPr>
        <w:t>harmonises</w:t>
      </w:r>
      <w:proofErr w:type="spellEnd"/>
      <w:r w:rsidRPr="0041001C">
        <w:rPr>
          <w:sz w:val="10"/>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 xml:space="preserve">are those that require respect for </w:t>
      </w:r>
      <w:proofErr w:type="spellStart"/>
      <w:r w:rsidRPr="00E357A5">
        <w:rPr>
          <w:rStyle w:val="StyleUnderline"/>
          <w:highlight w:val="green"/>
        </w:rPr>
        <w:t>each others’</w:t>
      </w:r>
      <w:proofErr w:type="spellEnd"/>
      <w:r w:rsidRPr="00E357A5">
        <w:rPr>
          <w:rStyle w:val="StyleUnderline"/>
          <w:highlight w:val="green"/>
        </w:rPr>
        <w:t xml:space="preserve">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556B4A7B" w14:textId="77777777" w:rsidR="00A6006E" w:rsidRPr="008F5337" w:rsidRDefault="00A6006E" w:rsidP="00A6006E">
      <w:pPr>
        <w:pStyle w:val="Heading4"/>
      </w:pPr>
      <w:r>
        <w:t xml:space="preserve">2] </w:t>
      </w:r>
      <w:r w:rsidRPr="008F5337">
        <w:t>Libertarianism mandates a market-oriented approach to space—that negates</w:t>
      </w:r>
    </w:p>
    <w:p w14:paraId="10153A43" w14:textId="77777777" w:rsidR="00A6006E" w:rsidRPr="008F5337" w:rsidRDefault="00A6006E" w:rsidP="00A6006E">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9" w:history="1">
        <w:r w:rsidRPr="008F5337">
          <w:rPr>
            <w:rStyle w:val="Hyperlink"/>
          </w:rPr>
          <w:t>https://abovethelaw.com/2020/01/space-law-can-only-be-libertarian-minded/</w:t>
        </w:r>
      </w:hyperlink>
      <w:r w:rsidRPr="008F5337">
        <w:t>] TDI</w:t>
      </w:r>
    </w:p>
    <w:p w14:paraId="1968CD32" w14:textId="77777777" w:rsidR="00A6006E" w:rsidRPr="0041001C" w:rsidRDefault="00A6006E" w:rsidP="00A6006E">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w:t>
      </w:r>
      <w:proofErr w:type="spellStart"/>
      <w:r w:rsidRPr="0041001C">
        <w:rPr>
          <w:sz w:val="10"/>
        </w:rPr>
        <w:t>Simberg</w:t>
      </w:r>
      <w:proofErr w:type="spellEnd"/>
      <w:r w:rsidRPr="0041001C">
        <w:rPr>
          <w:sz w:val="10"/>
        </w:rPr>
        <w:t xml:space="preserve">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w:t>
      </w:r>
      <w:proofErr w:type="spellStart"/>
      <w:r w:rsidRPr="0041001C">
        <w:rPr>
          <w:sz w:val="10"/>
        </w:rPr>
        <w:t>Simberg</w:t>
      </w:r>
      <w:proofErr w:type="spellEnd"/>
      <w:r w:rsidRPr="0041001C">
        <w:rPr>
          <w:sz w:val="10"/>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41001C">
        <w:rPr>
          <w:sz w:val="10"/>
        </w:rPr>
        <w:t>Simberg</w:t>
      </w:r>
      <w:proofErr w:type="spellEnd"/>
      <w:r w:rsidRPr="0041001C">
        <w:rPr>
          <w:sz w:val="10"/>
        </w:rPr>
        <w:t xml:space="preserve"> says, “bring to the fore a lot of ideological issues that up to now were just theoretical,” I believe it will also eliminate many economic and legal distinctions we currently utilize today. </w:t>
      </w:r>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w:t>
      </w:r>
      <w:proofErr w:type="spellStart"/>
      <w:r w:rsidRPr="008F5337">
        <w:rPr>
          <w:rStyle w:val="StyleUnderline"/>
        </w:rPr>
        <w:t>nonrivalrous</w:t>
      </w:r>
      <w:proofErr w:type="spellEnd"/>
      <w:r w:rsidRPr="008F5337">
        <w:rPr>
          <w:rStyle w:val="StyleUnderline"/>
        </w:rPr>
        <w:t xml:space="preserve">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41001C">
        <w:rPr>
          <w:sz w:val="10"/>
        </w:rPr>
        <w:t>Simberg</w:t>
      </w:r>
      <w:proofErr w:type="spellEnd"/>
      <w:r w:rsidRPr="0041001C">
        <w:rPr>
          <w:sz w:val="10"/>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6494BB1F" w14:textId="77777777" w:rsidR="00A6006E" w:rsidRPr="00E357A5" w:rsidRDefault="00A6006E" w:rsidP="00A6006E"/>
    <w:p w14:paraId="44FB69E9" w14:textId="1CDFDC2B" w:rsidR="000F67C6" w:rsidRDefault="00A6006E" w:rsidP="000F67C6">
      <w:pPr>
        <w:pStyle w:val="Heading4"/>
      </w:pPr>
      <w:r>
        <w:t xml:space="preserve">3] Private entities utilize their own property and resources to fund and conduct space exploration which means – Prohibition of it is a violation of a). Their ability to use their own property(like their </w:t>
      </w:r>
      <w:proofErr w:type="spellStart"/>
      <w:r>
        <w:t>rocketships</w:t>
      </w:r>
      <w:proofErr w:type="spellEnd"/>
      <w:r>
        <w:t xml:space="preserve"> or fuel) to set their ends in space and b). Their freedom to explore unknown horizons such as space.</w:t>
      </w:r>
    </w:p>
    <w:p w14:paraId="350038F9" w14:textId="77777777" w:rsidR="000F67C6" w:rsidRPr="000F67C6" w:rsidRDefault="000F67C6" w:rsidP="000F67C6"/>
    <w:p w14:paraId="1FEC35F0" w14:textId="410CA341" w:rsidR="000F67C6" w:rsidRPr="000F67C6" w:rsidRDefault="000F67C6" w:rsidP="000F67C6">
      <w:pPr>
        <w:pStyle w:val="Heading4"/>
      </w:pPr>
      <w:r>
        <w:rPr>
          <w:rFonts w:cs="Calibri"/>
        </w:rPr>
        <w:t xml:space="preserve">4] </w:t>
      </w:r>
      <w:r>
        <w:rPr>
          <w:rFonts w:cs="Calibri"/>
        </w:rPr>
        <w:t xml:space="preserve">Acquisition of property can never be unjust – to create rights violations, there must already be an owner of the property being violated, but that presupposes its appropriation by another entity. </w:t>
      </w:r>
    </w:p>
    <w:p w14:paraId="43DE09DC" w14:textId="77777777" w:rsidR="000F67C6" w:rsidRPr="009D349B" w:rsidRDefault="000F67C6" w:rsidP="000F67C6">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82D1650" w14:textId="77777777" w:rsidR="000F67C6" w:rsidRDefault="000F67C6" w:rsidP="000F67C6">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w:t>
      </w:r>
      <w:r w:rsidRPr="009D349B">
        <w:rPr>
          <w:rStyle w:val="Emphasis"/>
        </w:rPr>
        <w:lastRenderedPageBreak/>
        <w:t xml:space="preserve">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93DB8EE" w14:textId="77777777" w:rsidR="000F67C6" w:rsidRPr="000F67C6" w:rsidRDefault="000F67C6" w:rsidP="000F67C6"/>
    <w:p w14:paraId="0E3D9D7D" w14:textId="77777777" w:rsidR="0060233C" w:rsidRDefault="0060233C" w:rsidP="00A6006E">
      <w:pPr>
        <w:pStyle w:val="Heading2"/>
      </w:pPr>
    </w:p>
    <w:p w14:paraId="19DF308B" w14:textId="5670DE57" w:rsidR="00A6006E" w:rsidRDefault="00A6006E" w:rsidP="00A6006E">
      <w:pPr>
        <w:pStyle w:val="Heading2"/>
      </w:pPr>
      <w:r>
        <w:lastRenderedPageBreak/>
        <w:t>Case</w:t>
      </w:r>
    </w:p>
    <w:p w14:paraId="14DDCA75" w14:textId="77777777" w:rsidR="00853F36" w:rsidRPr="00690BD9" w:rsidRDefault="00853F36" w:rsidP="00853F36">
      <w:pPr>
        <w:pStyle w:val="Heading4"/>
        <w:rPr>
          <w:rFonts w:asciiTheme="minorHAnsi" w:hAnsiTheme="minorHAnsi" w:cstheme="minorHAnsi"/>
        </w:rPr>
      </w:pPr>
      <w:r w:rsidRPr="00690BD9">
        <w:rPr>
          <w:rFonts w:asciiTheme="minorHAnsi" w:hAnsiTheme="minorHAnsi" w:cstheme="minorHAnsi"/>
        </w:rPr>
        <w:t>The role of the ballot is to determine the truth or falsity of the resolution</w:t>
      </w:r>
    </w:p>
    <w:p w14:paraId="1BACAAF2" w14:textId="77777777" w:rsidR="00853F36" w:rsidRPr="00690BD9" w:rsidRDefault="00853F36" w:rsidP="00853F36">
      <w:pPr>
        <w:pStyle w:val="Heading4"/>
        <w:rPr>
          <w:rFonts w:asciiTheme="minorHAnsi" w:eastAsia="Times New Roman" w:hAnsiTheme="minorHAnsi" w:cstheme="minorHAnsi"/>
          <w:color w:val="000000" w:themeColor="text1"/>
          <w:spacing w:val="3"/>
          <w:shd w:val="clear" w:color="auto" w:fill="FFFFFF"/>
        </w:rPr>
      </w:pPr>
      <w:r w:rsidRPr="00690BD9">
        <w:rPr>
          <w:rFonts w:asciiTheme="minorHAnsi" w:hAnsiTheme="minorHAnsi" w:cstheme="minorHAnsi"/>
        </w:rPr>
        <w:t xml:space="preserve">[a]–reject their framing on inclusion – they exclude all offense except what follows from their specific </w:t>
      </w:r>
      <w:proofErr w:type="spellStart"/>
      <w:r w:rsidRPr="00690BD9">
        <w:rPr>
          <w:rFonts w:asciiTheme="minorHAnsi" w:hAnsiTheme="minorHAnsi" w:cstheme="minorHAnsi"/>
        </w:rPr>
        <w:t>fwk</w:t>
      </w:r>
      <w:proofErr w:type="spellEnd"/>
      <w:r w:rsidRPr="00690BD9">
        <w:rPr>
          <w:rFonts w:asciiTheme="minorHAnsi" w:hAnsiTheme="minorHAnsi" w:cstheme="minorHAnsi"/>
        </w:rPr>
        <w:t xml:space="preserve"> which shuts out those without the resources to prepare [b] the ballot says vote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or neg based on a topic and five dictionaries</w:t>
      </w:r>
      <w:r w:rsidRPr="00690BD9">
        <w:rPr>
          <w:rFonts w:asciiTheme="minorHAnsi" w:hAnsiTheme="minorHAnsi" w:cstheme="minorHAnsi"/>
          <w:vertAlign w:val="superscript"/>
        </w:rPr>
        <w:footnoteReference w:id="1"/>
      </w:r>
      <w:r w:rsidRPr="00690BD9">
        <w:rPr>
          <w:rFonts w:asciiTheme="minorHAnsi" w:hAnsiTheme="minorHAnsi" w:cstheme="minorHAnsi"/>
        </w:rPr>
        <w:t xml:space="preserve"> define to negate as to deny the truth of and affirm</w:t>
      </w:r>
      <w:r w:rsidRPr="00690BD9">
        <w:rPr>
          <w:rFonts w:asciiTheme="minorHAnsi" w:hAnsiTheme="minorHAnsi" w:cstheme="minorHAnsi"/>
          <w:vertAlign w:val="superscript"/>
        </w:rPr>
        <w:footnoteReference w:id="2"/>
      </w:r>
      <w:r w:rsidRPr="00690BD9">
        <w:rPr>
          <w:rFonts w:asciiTheme="minorHAnsi" w:hAnsiTheme="minorHAnsi" w:cstheme="minorHAnsi"/>
        </w:rPr>
        <w:t xml:space="preserve"> as to prove true which means it’s </w:t>
      </w:r>
      <w:r w:rsidRPr="00690BD9">
        <w:rPr>
          <w:rFonts w:asciiTheme="minorHAnsi" w:hAnsiTheme="minorHAnsi" w:cstheme="minorHAnsi"/>
          <w:u w:val="single"/>
        </w:rPr>
        <w:t>constitutive and jurisdictional</w:t>
      </w:r>
      <w:r w:rsidRPr="00690BD9">
        <w:rPr>
          <w:rFonts w:asciiTheme="minorHAnsi" w:hAnsiTheme="minorHAnsi" w:cstheme="minorHAnsi"/>
        </w:rPr>
        <w:t xml:space="preserve">. </w:t>
      </w:r>
      <w:r w:rsidRPr="00690BD9">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0367F664" w14:textId="384624F0" w:rsidR="00A95652" w:rsidRDefault="00A95652" w:rsidP="00B55AD5">
      <w:pPr>
        <w:rPr>
          <w:rFonts w:asciiTheme="minorHAnsi" w:hAnsiTheme="minorHAnsi" w:cstheme="minorHAnsi"/>
        </w:rPr>
      </w:pPr>
    </w:p>
    <w:p w14:paraId="7603CD59" w14:textId="0AE9B816" w:rsidR="00D96E39" w:rsidRDefault="00D96E39" w:rsidP="00B55AD5">
      <w:pPr>
        <w:rPr>
          <w:rFonts w:asciiTheme="minorHAnsi" w:hAnsiTheme="minorHAnsi" w:cstheme="minorHAnsi"/>
        </w:rPr>
      </w:pPr>
    </w:p>
    <w:p w14:paraId="5116D4CB" w14:textId="7FDB7065" w:rsidR="001B7997" w:rsidRPr="001B7997" w:rsidRDefault="00D96E39" w:rsidP="00B03248">
      <w:pPr>
        <w:pStyle w:val="Heading4"/>
      </w:pPr>
      <w:r>
        <w:t>Growth is sustainable – absolute decoupling</w:t>
      </w:r>
    </w:p>
    <w:p w14:paraId="050B1598" w14:textId="77777777" w:rsidR="00D96E39" w:rsidRPr="00343ADD" w:rsidRDefault="00D96E39" w:rsidP="00D96E39">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val="0"/>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val="0"/>
          <w:sz w:val="16"/>
          <w:szCs w:val="16"/>
        </w:rPr>
        <w:t>) “</w:t>
      </w:r>
      <w:r w:rsidRPr="00343ADD">
        <w:rPr>
          <w:szCs w:val="16"/>
        </w:rPr>
        <w:t>Absolute Decoupling of Economic Growth and Emissions in 32 Countries,” Breakthrough Institute, 4/6/2021] JL</w:t>
      </w:r>
    </w:p>
    <w:p w14:paraId="15482A75" w14:textId="77777777" w:rsidR="00D96E39" w:rsidRPr="00343ADD" w:rsidRDefault="00D96E39" w:rsidP="00D96E39">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0C9193DD" w14:textId="77777777" w:rsidR="00D96E39" w:rsidRPr="00343ADD" w:rsidRDefault="00D96E39" w:rsidP="00D96E39">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47E23218" w14:textId="77777777" w:rsidR="00D96E39" w:rsidRPr="00343ADD" w:rsidRDefault="00D96E39" w:rsidP="00D96E39">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 xml:space="preserve">The world produced more electricity from clean energy — solar, wind, hydro, and nuclear — than from coal </w:t>
      </w:r>
      <w:r w:rsidRPr="00343ADD">
        <w:rPr>
          <w:rStyle w:val="StyleUnderline"/>
        </w:rPr>
        <w:lastRenderedPageBreak/>
        <w:t>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4BA88E05" w14:textId="77777777" w:rsidR="00D96E39" w:rsidRPr="00343ADD" w:rsidRDefault="00D96E39" w:rsidP="00D96E39">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1C5D44B6" w14:textId="77777777" w:rsidR="00D96E39" w:rsidRPr="00343ADD" w:rsidRDefault="00D96E39" w:rsidP="00D96E39">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4121CD5D" w14:textId="77777777" w:rsidR="00D96E39" w:rsidRPr="00343ADD" w:rsidRDefault="00D96E39" w:rsidP="00D96E39">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8D03B0E" w14:textId="77777777" w:rsidR="00D96E39" w:rsidRPr="00343ADD" w:rsidRDefault="00D96E39" w:rsidP="00D96E39">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777672DB" w14:textId="77777777" w:rsidR="00D96E39" w:rsidRPr="00343ADD" w:rsidRDefault="00D96E39" w:rsidP="00D96E39">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1621358B" w14:textId="77777777" w:rsidR="00D96E39" w:rsidRPr="00343ADD" w:rsidRDefault="00D96E39" w:rsidP="00D96E39">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130FE440" w14:textId="77777777" w:rsidR="00D96E39" w:rsidRPr="00343ADD" w:rsidRDefault="00D96E39" w:rsidP="00D96E39">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w:t>
      </w:r>
      <w:r w:rsidRPr="00343ADD">
        <w:rPr>
          <w:rStyle w:val="StyleUnderline"/>
        </w:rPr>
        <w:lastRenderedPageBreak/>
        <w:t xml:space="preserve">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63B41B0D" w14:textId="77777777" w:rsidR="00D96E39" w:rsidRPr="00327B47" w:rsidRDefault="00D96E39" w:rsidP="00D96E39"/>
    <w:p w14:paraId="0F7EBD95" w14:textId="77777777" w:rsidR="00D96E39" w:rsidRPr="00A53D6E" w:rsidRDefault="00D96E39" w:rsidP="00D96E39"/>
    <w:p w14:paraId="24A780AC" w14:textId="49000A85" w:rsidR="001B7997" w:rsidRPr="001B7997" w:rsidRDefault="00D96E39" w:rsidP="001B7997">
      <w:pPr>
        <w:pStyle w:val="Heading4"/>
        <w:rPr>
          <w:u w:val="single"/>
        </w:rPr>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6A65CB4C" w14:textId="77777777" w:rsidR="00D96E39" w:rsidRPr="00B46D49" w:rsidRDefault="00D96E39" w:rsidP="00D96E39">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5E350178" w14:textId="77777777" w:rsidR="00D96E39" w:rsidRDefault="00D96E39" w:rsidP="00D96E39">
      <w:r>
        <w:t>The Price Of Growth—Destruction Of The Environment?</w:t>
      </w:r>
    </w:p>
    <w:p w14:paraId="328630C9" w14:textId="77777777" w:rsidR="00D96E39" w:rsidRDefault="00D96E39" w:rsidP="00D96E39">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610A60D7" w14:textId="77777777" w:rsidR="00D96E39" w:rsidRDefault="00D96E39" w:rsidP="00D96E39">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631FF6E" w14:textId="77777777" w:rsidR="00D96E39" w:rsidRPr="002B17A5" w:rsidRDefault="00D96E39" w:rsidP="00D96E39">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7924F6EF" w14:textId="111AE45C" w:rsidR="00D96E39" w:rsidRPr="00097E73" w:rsidRDefault="00D96E39" w:rsidP="00E12459">
      <w:pPr>
        <w:rPr>
          <w:u w:val="single"/>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p>
    <w:bookmarkEnd w:id="0"/>
    <w:p w14:paraId="4347D512" w14:textId="77777777" w:rsidR="00D96E39" w:rsidRPr="00702501" w:rsidRDefault="00D96E39" w:rsidP="00B55AD5">
      <w:pPr>
        <w:rPr>
          <w:rFonts w:asciiTheme="minorHAnsi" w:hAnsiTheme="minorHAnsi" w:cstheme="minorHAnsi"/>
        </w:rPr>
      </w:pPr>
    </w:p>
    <w:sectPr w:rsidR="00D96E39" w:rsidRPr="007025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2EF6" w14:textId="77777777" w:rsidR="00606EEA" w:rsidRDefault="00606EEA" w:rsidP="00853F36">
      <w:pPr>
        <w:spacing w:after="0" w:line="240" w:lineRule="auto"/>
      </w:pPr>
      <w:r>
        <w:separator/>
      </w:r>
    </w:p>
  </w:endnote>
  <w:endnote w:type="continuationSeparator" w:id="0">
    <w:p w14:paraId="6D102806" w14:textId="77777777" w:rsidR="00606EEA" w:rsidRDefault="00606EEA" w:rsidP="00853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FAD95" w14:textId="77777777" w:rsidR="00606EEA" w:rsidRDefault="00606EEA" w:rsidP="00853F36">
      <w:pPr>
        <w:spacing w:after="0" w:line="240" w:lineRule="auto"/>
      </w:pPr>
      <w:r>
        <w:separator/>
      </w:r>
    </w:p>
  </w:footnote>
  <w:footnote w:type="continuationSeparator" w:id="0">
    <w:p w14:paraId="17632DE8" w14:textId="77777777" w:rsidR="00606EEA" w:rsidRDefault="00606EEA" w:rsidP="00853F36">
      <w:pPr>
        <w:spacing w:after="0" w:line="240" w:lineRule="auto"/>
      </w:pPr>
      <w:r>
        <w:continuationSeparator/>
      </w:r>
    </w:p>
  </w:footnote>
  <w:footnote w:id="1">
    <w:p w14:paraId="4A26C17B" w14:textId="77777777" w:rsidR="00853F36" w:rsidRPr="00752E9C" w:rsidRDefault="00853F36" w:rsidP="00853F36">
      <w:pPr>
        <w:ind w:right="-1440"/>
        <w:rPr>
          <w:sz w:val="16"/>
          <w:szCs w:val="16"/>
        </w:rPr>
      </w:pPr>
      <w:r w:rsidRPr="00752E9C">
        <w:rPr>
          <w:rStyle w:val="FootnoteReference"/>
          <w:sz w:val="16"/>
          <w:szCs w:val="16"/>
        </w:rPr>
        <w:footnoteRef/>
      </w:r>
      <w:r w:rsidRPr="00752E9C">
        <w:rPr>
          <w:sz w:val="16"/>
          <w:szCs w:val="16"/>
        </w:rPr>
        <w:t xml:space="preserve"> </w:t>
      </w:r>
      <w:bookmarkStart w:id="4"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4"/>
    </w:p>
  </w:footnote>
  <w:footnote w:id="2">
    <w:p w14:paraId="4BD97508" w14:textId="77777777" w:rsidR="00853F36" w:rsidRPr="00855FDC" w:rsidRDefault="00853F36" w:rsidP="00853F3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EB71DC"/>
    <w:multiLevelType w:val="hybridMultilevel"/>
    <w:tmpl w:val="B510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05429E"/>
    <w:multiLevelType w:val="hybridMultilevel"/>
    <w:tmpl w:val="A1A4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340FA2"/>
    <w:multiLevelType w:val="multilevel"/>
    <w:tmpl w:val="E11C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2087"/>
    <w:rsid w:val="000139A3"/>
    <w:rsid w:val="000B2398"/>
    <w:rsid w:val="000F67C6"/>
    <w:rsid w:val="00100833"/>
    <w:rsid w:val="00104529"/>
    <w:rsid w:val="00105942"/>
    <w:rsid w:val="00107396"/>
    <w:rsid w:val="00144A4C"/>
    <w:rsid w:val="00176AB0"/>
    <w:rsid w:val="00177B7D"/>
    <w:rsid w:val="0018322D"/>
    <w:rsid w:val="001B5776"/>
    <w:rsid w:val="001B7997"/>
    <w:rsid w:val="001E527A"/>
    <w:rsid w:val="001F78CE"/>
    <w:rsid w:val="00251FC7"/>
    <w:rsid w:val="002855A7"/>
    <w:rsid w:val="002B146A"/>
    <w:rsid w:val="002B5E17"/>
    <w:rsid w:val="00315690"/>
    <w:rsid w:val="00316B75"/>
    <w:rsid w:val="00325646"/>
    <w:rsid w:val="003460F2"/>
    <w:rsid w:val="0038158C"/>
    <w:rsid w:val="003902BA"/>
    <w:rsid w:val="00392518"/>
    <w:rsid w:val="003A09E2"/>
    <w:rsid w:val="003B1100"/>
    <w:rsid w:val="00407037"/>
    <w:rsid w:val="004605D6"/>
    <w:rsid w:val="004C60E8"/>
    <w:rsid w:val="004E3579"/>
    <w:rsid w:val="004E728B"/>
    <w:rsid w:val="004F39E0"/>
    <w:rsid w:val="00537BD5"/>
    <w:rsid w:val="0057268A"/>
    <w:rsid w:val="005D2912"/>
    <w:rsid w:val="0060233C"/>
    <w:rsid w:val="006065BD"/>
    <w:rsid w:val="00606EEA"/>
    <w:rsid w:val="00645FA9"/>
    <w:rsid w:val="00647866"/>
    <w:rsid w:val="00665003"/>
    <w:rsid w:val="006A2AD0"/>
    <w:rsid w:val="006C2375"/>
    <w:rsid w:val="006D4ECC"/>
    <w:rsid w:val="00702501"/>
    <w:rsid w:val="00722258"/>
    <w:rsid w:val="007243E5"/>
    <w:rsid w:val="00734B45"/>
    <w:rsid w:val="00752B54"/>
    <w:rsid w:val="00766EA0"/>
    <w:rsid w:val="007A2226"/>
    <w:rsid w:val="007C2CAB"/>
    <w:rsid w:val="007F5B66"/>
    <w:rsid w:val="00821EEC"/>
    <w:rsid w:val="00823A1C"/>
    <w:rsid w:val="00845B9D"/>
    <w:rsid w:val="00853F36"/>
    <w:rsid w:val="00860984"/>
    <w:rsid w:val="008B3ECB"/>
    <w:rsid w:val="008B4E85"/>
    <w:rsid w:val="008C1B2E"/>
    <w:rsid w:val="0091627E"/>
    <w:rsid w:val="0097032B"/>
    <w:rsid w:val="009D2EAD"/>
    <w:rsid w:val="009D54B2"/>
    <w:rsid w:val="009E1922"/>
    <w:rsid w:val="009F7ED2"/>
    <w:rsid w:val="00A6006E"/>
    <w:rsid w:val="00A644FA"/>
    <w:rsid w:val="00A93661"/>
    <w:rsid w:val="00A95652"/>
    <w:rsid w:val="00AC0AB8"/>
    <w:rsid w:val="00B03248"/>
    <w:rsid w:val="00B33C6D"/>
    <w:rsid w:val="00B4508F"/>
    <w:rsid w:val="00B55AD5"/>
    <w:rsid w:val="00B8057C"/>
    <w:rsid w:val="00BD6238"/>
    <w:rsid w:val="00BF593B"/>
    <w:rsid w:val="00BF773A"/>
    <w:rsid w:val="00BF7E81"/>
    <w:rsid w:val="00C13773"/>
    <w:rsid w:val="00C17CC8"/>
    <w:rsid w:val="00C27C8E"/>
    <w:rsid w:val="00C83417"/>
    <w:rsid w:val="00C9604F"/>
    <w:rsid w:val="00CA19AA"/>
    <w:rsid w:val="00CC5298"/>
    <w:rsid w:val="00CD736E"/>
    <w:rsid w:val="00CD798D"/>
    <w:rsid w:val="00CE161E"/>
    <w:rsid w:val="00CF59A8"/>
    <w:rsid w:val="00D325A9"/>
    <w:rsid w:val="00D36A8A"/>
    <w:rsid w:val="00D61409"/>
    <w:rsid w:val="00D6691E"/>
    <w:rsid w:val="00D71170"/>
    <w:rsid w:val="00D96E39"/>
    <w:rsid w:val="00DA1C92"/>
    <w:rsid w:val="00DA25D4"/>
    <w:rsid w:val="00DA6538"/>
    <w:rsid w:val="00DC3314"/>
    <w:rsid w:val="00E12459"/>
    <w:rsid w:val="00E15E75"/>
    <w:rsid w:val="00E5262C"/>
    <w:rsid w:val="00EC7DC4"/>
    <w:rsid w:val="00ED30CF"/>
    <w:rsid w:val="00F176EF"/>
    <w:rsid w:val="00F45E10"/>
    <w:rsid w:val="00F6364A"/>
    <w:rsid w:val="00F7208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106C"/>
  <w15:chartTrackingRefBased/>
  <w15:docId w15:val="{5E8321CC-D1B2-4BD4-9737-1AE884F4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44FA"/>
    <w:rPr>
      <w:rFonts w:ascii="Calibri" w:hAnsi="Calibri"/>
    </w:rPr>
  </w:style>
  <w:style w:type="paragraph" w:styleId="Heading1">
    <w:name w:val="heading 1"/>
    <w:aliases w:val="Pocket"/>
    <w:basedOn w:val="Normal"/>
    <w:next w:val="Normal"/>
    <w:link w:val="Heading1Char"/>
    <w:qFormat/>
    <w:rsid w:val="00A644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44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A644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9"/>
    <w:unhideWhenUsed/>
    <w:qFormat/>
    <w:rsid w:val="00A644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4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4FA"/>
  </w:style>
  <w:style w:type="character" w:customStyle="1" w:styleId="Heading1Char">
    <w:name w:val="Heading 1 Char"/>
    <w:aliases w:val="Pocket Char"/>
    <w:basedOn w:val="DefaultParagraphFont"/>
    <w:link w:val="Heading1"/>
    <w:rsid w:val="00A644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44F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A644F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A644FA"/>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A644F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44FA"/>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Intense Emphasis11,Intense Emphasis111,Bo"/>
    <w:basedOn w:val="DefaultParagraphFont"/>
    <w:uiPriority w:val="6"/>
    <w:qFormat/>
    <w:rsid w:val="00A644FA"/>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cite,C"/>
    <w:basedOn w:val="DefaultParagraphFont"/>
    <w:uiPriority w:val="99"/>
    <w:unhideWhenUsed/>
    <w:rsid w:val="00A644FA"/>
    <w:rPr>
      <w:color w:val="auto"/>
      <w:u w:val="none"/>
    </w:rPr>
  </w:style>
  <w:style w:type="character" w:styleId="FollowedHyperlink">
    <w:name w:val="FollowedHyperlink"/>
    <w:basedOn w:val="DefaultParagraphFont"/>
    <w:uiPriority w:val="99"/>
    <w:semiHidden/>
    <w:unhideWhenUsed/>
    <w:rsid w:val="00A644FA"/>
    <w:rPr>
      <w:color w:val="auto"/>
      <w:u w:val="none"/>
    </w:rPr>
  </w:style>
  <w:style w:type="paragraph" w:styleId="NormalWeb">
    <w:name w:val="Normal (Web)"/>
    <w:basedOn w:val="Normal"/>
    <w:uiPriority w:val="99"/>
    <w:semiHidden/>
    <w:unhideWhenUsed/>
    <w:rsid w:val="00F720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702501"/>
    <w:pPr>
      <w:ind w:left="720"/>
      <w:jc w:val="both"/>
    </w:pPr>
    <w:rPr>
      <w:b/>
      <w:iCs/>
      <w:u w:val="single"/>
    </w:rPr>
  </w:style>
  <w:style w:type="character" w:styleId="Strong">
    <w:name w:val="Strong"/>
    <w:basedOn w:val="DefaultParagraphFont"/>
    <w:uiPriority w:val="22"/>
    <w:qFormat/>
    <w:rsid w:val="00DC3314"/>
    <w:rPr>
      <w:b/>
      <w:bCs/>
    </w:rPr>
  </w:style>
  <w:style w:type="paragraph" w:customStyle="1" w:styleId="Emphasis1">
    <w:name w:val="Emphasis1"/>
    <w:basedOn w:val="Normal"/>
    <w:autoRedefine/>
    <w:uiPriority w:val="7"/>
    <w:qFormat/>
    <w:rsid w:val="000F67C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nhideWhenUsed/>
    <w:qFormat/>
    <w:rsid w:val="00853F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121693">
      <w:bodyDiv w:val="1"/>
      <w:marLeft w:val="0"/>
      <w:marRight w:val="0"/>
      <w:marTop w:val="0"/>
      <w:marBottom w:val="0"/>
      <w:divBdr>
        <w:top w:val="none" w:sz="0" w:space="0" w:color="auto"/>
        <w:left w:val="none" w:sz="0" w:space="0" w:color="auto"/>
        <w:bottom w:val="none" w:sz="0" w:space="0" w:color="auto"/>
        <w:right w:val="none" w:sz="0" w:space="0" w:color="auto"/>
      </w:divBdr>
    </w:div>
    <w:div w:id="140302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0790-015-9506-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settings" Target="settings.xml"/><Relationship Id="rId9" Type="http://schemas.openxmlformats.org/officeDocument/2006/relationships/hyperlink" Target="https://abovethelaw.com/2020/01/space-law-can-only-be-libertarian-minde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5807</Words>
  <Characters>33103</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8</cp:revision>
  <dcterms:created xsi:type="dcterms:W3CDTF">2022-02-19T01:07:00Z</dcterms:created>
  <dcterms:modified xsi:type="dcterms:W3CDTF">2022-02-19T15:05:00Z</dcterms:modified>
</cp:coreProperties>
</file>