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04864" w14:textId="77777777" w:rsidR="003A23DF" w:rsidRPr="001D4AA4" w:rsidRDefault="003A23DF" w:rsidP="003A23DF">
      <w:pPr>
        <w:pStyle w:val="Heading2"/>
        <w:rPr>
          <w:rFonts w:asciiTheme="minorHAnsi" w:hAnsiTheme="minorHAnsi" w:cstheme="minorHAnsi"/>
        </w:rPr>
      </w:pPr>
      <w:r w:rsidRPr="001D4AA4">
        <w:rPr>
          <w:rFonts w:asciiTheme="minorHAnsi" w:hAnsiTheme="minorHAnsi" w:cstheme="minorHAnsi"/>
        </w:rPr>
        <w:t>1AC – Framing</w:t>
      </w:r>
    </w:p>
    <w:p w14:paraId="748615B1" w14:textId="77777777" w:rsidR="003A23DF" w:rsidRPr="001D4AA4" w:rsidRDefault="003A23DF" w:rsidP="003A23DF">
      <w:pPr>
        <w:pStyle w:val="Heading4"/>
        <w:spacing w:before="0" w:after="80" w:line="276" w:lineRule="auto"/>
        <w:rPr>
          <w:rFonts w:asciiTheme="minorHAnsi" w:hAnsiTheme="minorHAnsi" w:cstheme="minorHAnsi"/>
        </w:rPr>
      </w:pPr>
      <w:r w:rsidRPr="001D4AA4">
        <w:rPr>
          <w:rFonts w:asciiTheme="minorHAnsi" w:hAnsiTheme="minorHAnsi" w:cstheme="minorHAnsi"/>
        </w:rPr>
        <w:t>The starting point of morality is practical reason.</w:t>
      </w:r>
    </w:p>
    <w:p w14:paraId="56FB20AF" w14:textId="77777777" w:rsidR="003A23DF" w:rsidRPr="00AC337D" w:rsidRDefault="003A23DF" w:rsidP="00AC337D">
      <w:pPr>
        <w:pStyle w:val="Heading4"/>
      </w:pPr>
      <w:r w:rsidRPr="00AC337D">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c) for obligations to have normative force they must be categorically binding because otherwise actors could contingently disregard them. </w:t>
      </w:r>
    </w:p>
    <w:p w14:paraId="7B21BD4D" w14:textId="77777777" w:rsidR="003A23DF" w:rsidRPr="001D4AA4" w:rsidRDefault="003A23DF" w:rsidP="003A23DF">
      <w:pPr>
        <w:pStyle w:val="Heading4"/>
        <w:spacing w:before="0" w:after="80" w:line="276" w:lineRule="auto"/>
        <w:rPr>
          <w:rFonts w:asciiTheme="minorHAnsi" w:hAnsiTheme="minorHAnsi" w:cstheme="minorHAnsi"/>
        </w:rPr>
      </w:pPr>
      <w:r w:rsidRPr="001D4AA4">
        <w:rPr>
          <w:rFonts w:asciiTheme="minorHAnsi" w:hAnsiTheme="minorHAnsi" w:cstheme="minorHAnsi"/>
        </w:rPr>
        <w:t xml:space="preserve">2] </w:t>
      </w:r>
      <w:r w:rsidRPr="001D4AA4">
        <w:rPr>
          <w:rFonts w:asciiTheme="minorHAnsi" w:hAnsiTheme="minorHAnsi" w:cstheme="minorHAnsi"/>
          <w:u w:val="single"/>
        </w:rPr>
        <w:t>Action theory:</w:t>
      </w:r>
      <w:r w:rsidRPr="001D4AA4">
        <w:rPr>
          <w:rFonts w:asciiTheme="minorHAnsi" w:hAnsiTheme="minorHAnsi" w:cstheme="minorHAnsi"/>
        </w:rPr>
        <w:t xml:space="preserve"> only evaluating action through reason solves since reason is key to evaluate intent, </w:t>
      </w:r>
      <w:r w:rsidRPr="001D4AA4">
        <w:rPr>
          <w:rFonts w:asciiTheme="minorHAnsi" w:hAnsiTheme="minorHAnsi" w:cstheme="minorHAnsi"/>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58682A1C"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 xml:space="preserve">3] </w:t>
      </w:r>
      <w:r w:rsidRPr="001D4AA4">
        <w:rPr>
          <w:rFonts w:asciiTheme="minorHAnsi" w:hAnsiTheme="minorHAnsi" w:cstheme="minorHAnsi"/>
          <w:u w:val="single"/>
        </w:rPr>
        <w:t>Empirical uncertainty</w:t>
      </w:r>
      <w:r w:rsidRPr="001D4AA4">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2F2446D2" w14:textId="77777777" w:rsidR="003A23DF" w:rsidRPr="00266984" w:rsidRDefault="003A23DF" w:rsidP="003A23DF">
      <w:pPr>
        <w:pStyle w:val="Heading4"/>
        <w:rPr>
          <w:rFonts w:asciiTheme="minorHAnsi" w:hAnsiTheme="minorHAnsi" w:cstheme="minorHAnsi"/>
        </w:rPr>
      </w:pPr>
      <w:r w:rsidRPr="001D4AA4">
        <w:rPr>
          <w:rFonts w:asciiTheme="minorHAnsi" w:hAnsiTheme="minorHAnsi" w:cstheme="minorHAnsi"/>
        </w:rPr>
        <w:t>4]</w:t>
      </w:r>
      <w:r w:rsidRPr="001D4AA4">
        <w:rPr>
          <w:rFonts w:asciiTheme="minorHAnsi" w:hAnsiTheme="minorHAnsi" w:cstheme="minorHAnsi"/>
          <w:u w:val="single"/>
        </w:rPr>
        <w:t xml:space="preserve"> All arguments by definition appeal to reason</w:t>
      </w:r>
      <w:r w:rsidRPr="001D4AA4">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1DBDA72E" w14:textId="77777777" w:rsidR="003A23DF" w:rsidRPr="00925D23" w:rsidRDefault="003A23DF" w:rsidP="003A23DF">
      <w:pPr>
        <w:pStyle w:val="Heading4"/>
        <w:rPr>
          <w:rFonts w:cs="Calibri"/>
        </w:rPr>
      </w:pPr>
      <w:r>
        <w:t xml:space="preserve">5] </w:t>
      </w:r>
      <w:r w:rsidRPr="00406AB1">
        <w:rPr>
          <w:u w:val="single"/>
        </w:rPr>
        <w:t>Is/ought gap</w:t>
      </w:r>
      <w:r>
        <w:t xml:space="preserve">-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0FC34EBB" w14:textId="77777777" w:rsidR="003A23DF" w:rsidRPr="001D4AA4" w:rsidRDefault="003A23DF" w:rsidP="003A23DF">
      <w:pPr>
        <w:rPr>
          <w:rFonts w:asciiTheme="minorHAnsi" w:hAnsiTheme="minorHAnsi" w:cstheme="minorHAnsi"/>
        </w:rPr>
      </w:pPr>
    </w:p>
    <w:p w14:paraId="52B00631" w14:textId="77777777" w:rsidR="003A23DF" w:rsidRPr="001D4AA4" w:rsidRDefault="003A23DF" w:rsidP="003A23DF">
      <w:pPr>
        <w:pStyle w:val="Heading4"/>
        <w:spacing w:line="240" w:lineRule="auto"/>
        <w:rPr>
          <w:rFonts w:asciiTheme="minorHAnsi" w:hAnsiTheme="minorHAnsi" w:cstheme="minorHAnsi"/>
        </w:rPr>
      </w:pPr>
      <w:r w:rsidRPr="001D4AA4">
        <w:rPr>
          <w:rFonts w:asciiTheme="minorHAnsi" w:hAnsiTheme="minorHAnsi" w:cstheme="minorHAnsi"/>
        </w:rPr>
        <w:lastRenderedPageBreak/>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45EA70B9" w14:textId="77777777" w:rsidR="003A23DF" w:rsidRPr="001D4AA4" w:rsidRDefault="003A23DF" w:rsidP="003A23DF">
      <w:pPr>
        <w:rPr>
          <w:rFonts w:asciiTheme="minorHAnsi" w:hAnsiTheme="minorHAnsi" w:cstheme="minorHAnsi"/>
        </w:rPr>
      </w:pPr>
    </w:p>
    <w:p w14:paraId="4DF34AC3" w14:textId="77777777" w:rsidR="003A23DF" w:rsidRPr="001D4AA4" w:rsidRDefault="003A23DF" w:rsidP="003A23DF">
      <w:pPr>
        <w:pStyle w:val="Heading4"/>
        <w:spacing w:line="240" w:lineRule="auto"/>
        <w:rPr>
          <w:rFonts w:asciiTheme="minorHAnsi" w:hAnsiTheme="minorHAnsi" w:cstheme="minorHAnsi"/>
          <w:color w:val="000000" w:themeColor="text1"/>
        </w:rPr>
      </w:pPr>
      <w:r w:rsidRPr="001D4AA4">
        <w:rPr>
          <w:rFonts w:asciiTheme="minorHAnsi" w:hAnsiTheme="minorHAnsi" w:cstheme="minorHAnsi"/>
        </w:rPr>
        <w:t xml:space="preserve">Next, the relevant feature of reason is </w:t>
      </w:r>
      <w:r w:rsidRPr="001D4AA4">
        <w:rPr>
          <w:rFonts w:asciiTheme="minorHAnsi" w:hAnsiTheme="minorHAnsi" w:cstheme="minorHAnsi"/>
          <w:u w:val="single"/>
        </w:rPr>
        <w:t>universality</w:t>
      </w:r>
      <w:r w:rsidRPr="001D4AA4">
        <w:rPr>
          <w:rFonts w:asciiTheme="minorHAnsi" w:hAnsiTheme="minorHAnsi" w:cstheme="minorHAnsi"/>
        </w:rPr>
        <w:t xml:space="preserve"> –</w:t>
      </w:r>
      <w:r w:rsidRPr="001D4AA4">
        <w:rPr>
          <w:rFonts w:asciiTheme="minorHAnsi" w:hAnsiTheme="minorHAnsi" w:cstheme="minorHAnsi"/>
          <w:color w:val="000000" w:themeColor="text1"/>
        </w:rPr>
        <w:t xml:space="preserve"> 3 warrants:</w:t>
      </w:r>
    </w:p>
    <w:p w14:paraId="098807B7" w14:textId="77777777" w:rsidR="003A23DF" w:rsidRPr="001D4AA4" w:rsidRDefault="003A23DF" w:rsidP="003A23DF">
      <w:pPr>
        <w:pStyle w:val="Heading4"/>
        <w:spacing w:line="240" w:lineRule="auto"/>
        <w:rPr>
          <w:rFonts w:asciiTheme="minorHAnsi" w:hAnsiTheme="minorHAnsi" w:cstheme="minorHAnsi"/>
        </w:rPr>
      </w:pPr>
      <w:r w:rsidRPr="001D4AA4">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429CA809" w14:textId="77777777" w:rsidR="003A23DF" w:rsidRPr="001D4AA4" w:rsidRDefault="003A23DF" w:rsidP="003A23DF">
      <w:pPr>
        <w:pStyle w:val="Heading4"/>
        <w:spacing w:line="276" w:lineRule="auto"/>
        <w:rPr>
          <w:rFonts w:asciiTheme="minorHAnsi" w:hAnsiTheme="minorHAnsi" w:cstheme="minorHAnsi"/>
          <w:color w:val="000000" w:themeColor="text1"/>
        </w:rPr>
      </w:pPr>
      <w:r w:rsidRPr="001D4AA4">
        <w:rPr>
          <w:rFonts w:asciiTheme="minorHAnsi" w:hAnsiTheme="minorHAnsi" w:cstheme="minorHAnsi"/>
        </w:rPr>
        <w:t xml:space="preserve">2] </w:t>
      </w:r>
      <w:bookmarkStart w:id="0" w:name="_Hlk88777931"/>
      <w:r w:rsidRPr="001D4AA4">
        <w:rPr>
          <w:rFonts w:asciiTheme="minorHAnsi" w:hAnsiTheme="minorHAnsi" w:cstheme="minorHAnsi"/>
        </w:rPr>
        <w:t xml:space="preserve">A </w:t>
      </w:r>
      <w:r w:rsidRPr="001D4AA4">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0EE72FB9" w14:textId="77777777" w:rsidR="003A23DF" w:rsidRPr="001D4AA4" w:rsidRDefault="003A23DF" w:rsidP="003A23DF">
      <w:pPr>
        <w:pStyle w:val="Heading4"/>
        <w:spacing w:line="276" w:lineRule="auto"/>
        <w:rPr>
          <w:rFonts w:asciiTheme="minorHAnsi" w:hAnsiTheme="minorHAnsi" w:cstheme="minorHAnsi"/>
          <w:color w:val="000000" w:themeColor="text1"/>
          <w:szCs w:val="16"/>
        </w:rPr>
      </w:pPr>
      <w:r w:rsidRPr="001D4AA4">
        <w:rPr>
          <w:rFonts w:asciiTheme="minorHAnsi" w:hAnsiTheme="minorHAnsi" w:cstheme="minorHAnsi"/>
          <w:color w:val="000000" w:themeColor="text1"/>
          <w:szCs w:val="16"/>
        </w:rPr>
        <w:t>3] Any non-universal norm is contradictory as it justifies someone’s ability to impede on your ends, which also means universalizability acts as a side constraint on ends-based frameworks. If we accept one contradiction we accept all statements as true.</w:t>
      </w:r>
    </w:p>
    <w:p w14:paraId="561E8680" w14:textId="77777777" w:rsidR="003A23DF" w:rsidRPr="001D4AA4" w:rsidRDefault="003A23DF" w:rsidP="003A23DF">
      <w:pPr>
        <w:rPr>
          <w:rFonts w:asciiTheme="minorHAnsi" w:hAnsiTheme="minorHAnsi" w:cstheme="minorHAnsi"/>
        </w:rPr>
      </w:pPr>
    </w:p>
    <w:p w14:paraId="6C1AC27A" w14:textId="77777777" w:rsidR="003A23DF" w:rsidRPr="001D4AA4" w:rsidRDefault="003A23DF" w:rsidP="003A23DF">
      <w:pPr>
        <w:rPr>
          <w:rFonts w:asciiTheme="minorHAnsi" w:hAnsiTheme="minorHAnsi" w:cstheme="minorHAnsi"/>
        </w:rPr>
      </w:pPr>
    </w:p>
    <w:p w14:paraId="59A3A453" w14:textId="1B8AEDEC" w:rsidR="003A23DF" w:rsidRPr="001D4AA4" w:rsidRDefault="003A23DF" w:rsidP="003A23DF">
      <w:pPr>
        <w:pStyle w:val="Heading4"/>
        <w:spacing w:line="276" w:lineRule="auto"/>
        <w:rPr>
          <w:rFonts w:asciiTheme="minorHAnsi" w:hAnsiTheme="minorHAnsi" w:cstheme="minorHAnsi"/>
          <w:color w:val="000000" w:themeColor="text1"/>
        </w:rPr>
      </w:pPr>
      <w:r w:rsidRPr="001D4AA4">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w:t>
      </w:r>
      <w:r w:rsidRPr="001D4AA4">
        <w:rPr>
          <w:rFonts w:asciiTheme="minorHAnsi" w:hAnsiTheme="minorHAnsi" w:cstheme="minorHAnsi"/>
          <w:color w:val="000000" w:themeColor="text1"/>
        </w:rPr>
        <w:t>.</w:t>
      </w:r>
    </w:p>
    <w:p w14:paraId="75E3F478" w14:textId="77777777" w:rsidR="003A23DF" w:rsidRPr="001D4AA4" w:rsidRDefault="003A23DF" w:rsidP="003A23DF">
      <w:pPr>
        <w:rPr>
          <w:rFonts w:asciiTheme="minorHAnsi" w:hAnsiTheme="minorHAnsi" w:cstheme="minorHAnsi"/>
        </w:rPr>
      </w:pPr>
    </w:p>
    <w:p w14:paraId="45268426"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lastRenderedPageBreak/>
        <w:t xml:space="preserve">Thus, the standard is consistency with the categorical imperative as enacted through the omnilateral will. </w:t>
      </w:r>
    </w:p>
    <w:p w14:paraId="71A876A6"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 xml:space="preserve"> Prefer:</w:t>
      </w:r>
    </w:p>
    <w:p w14:paraId="66DCBE21" w14:textId="77777777" w:rsidR="003A23DF" w:rsidRPr="001D4AA4" w:rsidRDefault="003A23DF" w:rsidP="003A23DF">
      <w:pPr>
        <w:pStyle w:val="Heading4"/>
        <w:spacing w:line="240" w:lineRule="auto"/>
        <w:rPr>
          <w:rFonts w:asciiTheme="minorHAnsi" w:hAnsiTheme="minorHAnsi" w:cstheme="minorHAnsi"/>
          <w:color w:val="000000" w:themeColor="text1"/>
        </w:rPr>
      </w:pPr>
      <w:r w:rsidRPr="001D4AA4">
        <w:rPr>
          <w:rFonts w:asciiTheme="minorHAnsi" w:hAnsiTheme="minorHAnsi" w:cstheme="minorHAnsi"/>
          <w:color w:val="000000" w:themeColor="text1"/>
        </w:rPr>
        <w:t xml:space="preserve">[1] </w:t>
      </w:r>
      <w:r w:rsidRPr="001D4AA4">
        <w:rPr>
          <w:rFonts w:asciiTheme="minorHAnsi" w:hAnsiTheme="minorHAnsi" w:cstheme="minorHAnsi"/>
          <w:color w:val="000000" w:themeColor="text1"/>
          <w:u w:val="single"/>
        </w:rPr>
        <w:t>Performativity</w:t>
      </w:r>
      <w:r w:rsidRPr="001D4AA4">
        <w:rPr>
          <w:rFonts w:asciiTheme="minorHAnsi" w:hAnsiTheme="minorHAnsi" w:cstheme="minorHAnsi"/>
          <w:color w:val="000000" w:themeColor="text1"/>
        </w:rPr>
        <w:t xml:space="preserve">—freedom is the key to the process of justification of arguments. </w:t>
      </w:r>
      <w:bookmarkStart w:id="1" w:name="_Hlk55231677"/>
      <w:r w:rsidRPr="001D4AA4">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3D76F3B2"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w:t>
      </w:r>
      <w:r>
        <w:rPr>
          <w:rFonts w:asciiTheme="minorHAnsi" w:hAnsiTheme="minorHAnsi" w:cstheme="minorHAnsi"/>
        </w:rPr>
        <w:t>2</w:t>
      </w:r>
      <w:r w:rsidRPr="001D4AA4">
        <w:rPr>
          <w:rFonts w:asciiTheme="minorHAnsi" w:hAnsiTheme="minorHAnsi" w:cstheme="minorHAnsi"/>
        </w:rPr>
        <w:t xml:space="preserve">] </w:t>
      </w:r>
      <w:bookmarkStart w:id="2" w:name="_Hlk55231702"/>
      <w:r w:rsidRPr="001D4AA4">
        <w:rPr>
          <w:rFonts w:asciiTheme="minorHAnsi" w:hAnsiTheme="minorHAnsi" w:cstheme="minorHAnsi"/>
          <w:u w:val="single"/>
        </w:rPr>
        <w:t>Consequences Fail</w:t>
      </w:r>
      <w:r w:rsidRPr="001D4AA4">
        <w:rPr>
          <w:rFonts w:asciiTheme="minorHAnsi" w:hAnsiTheme="minorHAnsi" w:cstheme="minorHAnsi"/>
        </w:rPr>
        <w:t xml:space="preserve">: [A] Every action has infinite stemming consequences, because every consequence can cause another consequence. [B] </w:t>
      </w:r>
      <w:r w:rsidRPr="001D4AA4">
        <w:rPr>
          <w:rFonts w:asciiTheme="minorHAnsi" w:hAnsiTheme="minorHAnsi" w:cstheme="minorHAnsi"/>
          <w:u w:val="single"/>
        </w:rPr>
        <w:t>Induction is circular</w:t>
      </w:r>
      <w:r w:rsidRPr="001D4AA4">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1D4AA4">
        <w:rPr>
          <w:rFonts w:asciiTheme="minorHAnsi" w:hAnsiTheme="minorHAnsi" w:cstheme="minorHAnsi"/>
          <w:u w:val="single"/>
        </w:rPr>
        <w:t>Aggregation Fails</w:t>
      </w:r>
      <w:r w:rsidRPr="001D4AA4">
        <w:rPr>
          <w:rFonts w:asciiTheme="minorHAnsi" w:hAnsiTheme="minorHAnsi" w:cstheme="minorHAnsi"/>
        </w:rPr>
        <w:t xml:space="preserve"> – suffering is not additive can’t compare between one migraine and 10 headaches [D] </w:t>
      </w:r>
      <w:r w:rsidRPr="001D4AA4">
        <w:rPr>
          <w:rFonts w:asciiTheme="minorHAnsi" w:hAnsiTheme="minorHAnsi" w:cstheme="minorHAnsi"/>
          <w:u w:val="single"/>
        </w:rPr>
        <w:t>Predictions are impossible</w:t>
      </w:r>
      <w:r w:rsidRPr="001D4AA4">
        <w:rPr>
          <w:rFonts w:asciiTheme="minorHAnsi" w:hAnsiTheme="minorHAnsi" w:cstheme="minorHAnsi"/>
        </w:rPr>
        <w:t xml:space="preserve"> because anything could lead to a butterfly effect of unexpected consequences i.e. sneezing becoming a tornado and killing thousands</w:t>
      </w:r>
      <w:bookmarkStart w:id="3" w:name="_Hlk55231740"/>
      <w:bookmarkEnd w:id="2"/>
    </w:p>
    <w:p w14:paraId="176FC93C"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w:t>
      </w:r>
      <w:r>
        <w:rPr>
          <w:rFonts w:asciiTheme="minorHAnsi" w:hAnsiTheme="minorHAnsi" w:cstheme="minorHAnsi"/>
        </w:rPr>
        <w:t>3</w:t>
      </w:r>
      <w:r w:rsidRPr="001D4AA4">
        <w:rPr>
          <w:rFonts w:asciiTheme="minorHAnsi" w:hAnsiTheme="minorHAnsi" w:cstheme="minorHAnsi"/>
        </w:rPr>
        <w:t xml:space="preserve">] There is an </w:t>
      </w:r>
      <w:r w:rsidRPr="001D4AA4">
        <w:rPr>
          <w:rFonts w:asciiTheme="minorHAnsi" w:hAnsiTheme="minorHAnsi" w:cstheme="minorHAnsi"/>
          <w:u w:val="single"/>
        </w:rPr>
        <w:t>intent-foresight distinction</w:t>
      </w:r>
      <w:r w:rsidRPr="001D4AA4">
        <w:rPr>
          <w:rFonts w:asciiTheme="minorHAnsi" w:hAnsiTheme="minorHAnsi" w:cstheme="minorHAnsi"/>
        </w:rPr>
        <w:t xml:space="preserve">. </w:t>
      </w:r>
      <w:bookmarkEnd w:id="3"/>
      <w:r w:rsidRPr="001D4AA4">
        <w:rPr>
          <w:rFonts w:asciiTheme="minorHAnsi" w:hAnsiTheme="minorHAnsi" w:cstheme="minorHAnsi"/>
        </w:rPr>
        <w:t xml:space="preserve">Multiple people can intend the same action looking for different consequences i.e. going home to avoid work vs to see family </w:t>
      </w:r>
    </w:p>
    <w:p w14:paraId="3687C6E8" w14:textId="77777777" w:rsidR="003A23DF" w:rsidRDefault="003A23DF" w:rsidP="003A23DF">
      <w:pPr>
        <w:pStyle w:val="Heading4"/>
        <w:spacing w:line="240" w:lineRule="auto"/>
        <w:rPr>
          <w:rFonts w:asciiTheme="minorHAnsi" w:hAnsiTheme="minorHAnsi" w:cstheme="minorHAnsi"/>
        </w:rPr>
      </w:pPr>
      <w:r w:rsidRPr="001D4AA4">
        <w:rPr>
          <w:rFonts w:asciiTheme="minorHAnsi" w:hAnsiTheme="minorHAnsi" w:cstheme="minorHAnsi"/>
        </w:rPr>
        <w:t>[</w:t>
      </w:r>
      <w:r>
        <w:rPr>
          <w:rFonts w:asciiTheme="minorHAnsi" w:hAnsiTheme="minorHAnsi" w:cstheme="minorHAnsi"/>
        </w:rPr>
        <w:t>4</w:t>
      </w:r>
      <w:r w:rsidRPr="001D4AA4">
        <w:rPr>
          <w:rFonts w:asciiTheme="minorHAnsi" w:hAnsiTheme="minorHAnsi" w:cstheme="minorHAnsi"/>
        </w:rPr>
        <w:t xml:space="preserve">] </w:t>
      </w:r>
      <w:r w:rsidRPr="001D4AA4">
        <w:rPr>
          <w:rFonts w:asciiTheme="minorHAnsi" w:hAnsiTheme="minorHAnsi" w:cstheme="minorHAnsi"/>
          <w:u w:val="single"/>
        </w:rPr>
        <w:t>Motivation</w:t>
      </w:r>
      <w:r w:rsidRPr="001D4AA4">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bookmarkStart w:id="4" w:name="_Hlk88600067"/>
    </w:p>
    <w:p w14:paraId="11E69065" w14:textId="77777777" w:rsidR="003A23DF" w:rsidRDefault="003A23DF" w:rsidP="003A23DF">
      <w:pPr>
        <w:pStyle w:val="Heading2"/>
      </w:pPr>
      <w:r>
        <w:lastRenderedPageBreak/>
        <w:t xml:space="preserve">1AC – Contention </w:t>
      </w:r>
    </w:p>
    <w:p w14:paraId="553E2B90"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I affirm; A just government ought to recognize an unconditional right of workers to strike.</w:t>
      </w:r>
    </w:p>
    <w:p w14:paraId="4D1A07FB" w14:textId="3F819507" w:rsidR="003A23DF" w:rsidRPr="00DA6482" w:rsidRDefault="00DA6482" w:rsidP="00DA6482">
      <w:pPr>
        <w:pStyle w:val="Heading4"/>
      </w:pPr>
      <w:r w:rsidRPr="00DA6482">
        <w:t>generics permit exceptions, so pics don't negate generic bare plurals -- strikes is a generic bare plural because it lacks a quantifier, so speccing a strike is non-topical and PICs dont negate</w:t>
      </w:r>
    </w:p>
    <w:p w14:paraId="7AB10BC3" w14:textId="77777777" w:rsidR="003A23DF" w:rsidRPr="001D4AA4" w:rsidRDefault="003A23DF" w:rsidP="003A23DF">
      <w:pPr>
        <w:pStyle w:val="Heading4"/>
        <w:rPr>
          <w:rFonts w:asciiTheme="minorHAnsi" w:hAnsiTheme="minorHAnsi" w:cstheme="minorHAnsi"/>
        </w:rPr>
      </w:pPr>
      <w:bookmarkStart w:id="5" w:name="_Hlk88600043"/>
      <w:r w:rsidRPr="001D4AA4">
        <w:rPr>
          <w:rFonts w:asciiTheme="minorHAnsi" w:hAnsiTheme="minorHAnsi" w:cstheme="minorHAnsi"/>
        </w:rPr>
        <w:t>[1] Right to Strike defends liberty for workers to both set and pursue their own ends and resist coercion from others, Gourevitch ’18:</w:t>
      </w:r>
    </w:p>
    <w:p w14:paraId="751D2109" w14:textId="77777777" w:rsidR="003A23DF" w:rsidRPr="001D4AA4" w:rsidRDefault="003A23DF" w:rsidP="003A23DF">
      <w:pPr>
        <w:rPr>
          <w:rFonts w:asciiTheme="minorHAnsi" w:hAnsiTheme="minorHAnsi" w:cstheme="minorHAnsi"/>
        </w:rPr>
      </w:pPr>
      <w:r w:rsidRPr="001D4AA4">
        <w:rPr>
          <w:rFonts w:asciiTheme="minorHAnsi" w:hAnsiTheme="minorHAnsi" w:cstheme="minorHAnsi"/>
        </w:rPr>
        <w:t xml:space="preserve">Gourevitch, Alex. “A Radical Defense of the Right to Strike.” </w:t>
      </w:r>
      <w:r w:rsidRPr="001D4AA4">
        <w:rPr>
          <w:rFonts w:asciiTheme="minorHAnsi" w:hAnsiTheme="minorHAnsi" w:cstheme="minorHAnsi"/>
          <w:i/>
          <w:iCs/>
        </w:rPr>
        <w:t>Jacobin</w:t>
      </w:r>
      <w:r w:rsidRPr="001D4AA4">
        <w:rPr>
          <w:rFonts w:asciiTheme="minorHAnsi" w:hAnsiTheme="minorHAnsi" w:cstheme="minorHAnsi"/>
        </w:rPr>
        <w:t xml:space="preserve"> 2018. https://jacobinmag.com/2018/07/right-to-strike-freedom-civil-liberties-oppression</w:t>
      </w:r>
    </w:p>
    <w:p w14:paraId="7989575E" w14:textId="77777777" w:rsidR="003A23DF" w:rsidRPr="0026307D" w:rsidRDefault="003A23DF" w:rsidP="003A23DF">
      <w:pPr>
        <w:shd w:val="clear" w:color="auto" w:fill="FFFFFF"/>
        <w:spacing w:after="240" w:line="408" w:lineRule="atLeast"/>
        <w:rPr>
          <w:rStyle w:val="Emphasis"/>
        </w:rPr>
      </w:pPr>
      <w:r w:rsidRPr="001D4AA4">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liberty interest in a double sense</w:t>
      </w:r>
      <w:r w:rsidRPr="001D4AA4">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1D4AA4">
        <w:rPr>
          <w:rStyle w:val="StyleUnderline"/>
          <w:rFonts w:asciiTheme="minorHAnsi" w:hAnsiTheme="minorHAnsi" w:cstheme="minorHAnsi"/>
        </w:rPr>
        <w:t xml:space="preserve"> Whatever the concrete set of issues, </w:t>
      </w:r>
      <w:r w:rsidRPr="00F9073F">
        <w:rPr>
          <w:rStyle w:val="StyleUnderline"/>
          <w:rFonts w:asciiTheme="minorHAnsi" w:hAnsiTheme="minorHAnsi" w:cstheme="minorHAnsi"/>
          <w:highlight w:val="green"/>
        </w:rPr>
        <w:t>workers’ strike demands are always also a demand for control over portions of one’s life</w:t>
      </w:r>
      <w:r w:rsidRPr="001D4AA4">
        <w:rPr>
          <w:rFonts w:asciiTheme="minorHAnsi" w:hAnsiTheme="minorHAnsi" w:cstheme="minorHAnsi"/>
          <w:color w:val="191919"/>
          <w:sz w:val="16"/>
          <w:szCs w:val="27"/>
        </w:rPr>
        <w:t xml:space="preserve"> that they do not yet enjoy. Second, </w:t>
      </w:r>
      <w:r w:rsidRPr="00F9073F">
        <w:rPr>
          <w:rStyle w:val="StyleUnderline"/>
          <w:rFonts w:asciiTheme="minorHAnsi" w:hAnsiTheme="minorHAnsi" w:cstheme="minorHAnsi"/>
          <w:highlight w:val="green"/>
        </w:rPr>
        <w:t>strikes</w:t>
      </w:r>
      <w:r w:rsidRPr="001D4AA4">
        <w:rPr>
          <w:rFonts w:asciiTheme="minorHAnsi" w:hAnsiTheme="minorHAnsi" w:cstheme="minorHAnsi"/>
          <w:color w:val="191919"/>
          <w:sz w:val="16"/>
          <w:szCs w:val="27"/>
        </w:rPr>
        <w:t xml:space="preserve"> don’t just aim at winning more freedom — they </w:t>
      </w:r>
      <w:r w:rsidRPr="001D4AA4">
        <w:rPr>
          <w:rStyle w:val="StyleUnderline"/>
          <w:rFonts w:asciiTheme="minorHAnsi" w:hAnsiTheme="minorHAnsi" w:cstheme="minorHAnsi"/>
        </w:rPr>
        <w:t>are themselves expressions of freedom</w:t>
      </w:r>
      <w:r w:rsidRPr="001D4AA4">
        <w:rPr>
          <w:rFonts w:asciiTheme="minorHAnsi" w:hAnsiTheme="minorHAnsi" w:cstheme="minorHAnsi"/>
          <w:color w:val="191919"/>
          <w:sz w:val="16"/>
          <w:szCs w:val="27"/>
        </w:rPr>
        <w:t xml:space="preserve">. When workers walk out, </w:t>
      </w:r>
      <w:r w:rsidRPr="001D4AA4">
        <w:rPr>
          <w:rStyle w:val="StyleUnderline"/>
          <w:rFonts w:asciiTheme="minorHAnsi" w:hAnsiTheme="minorHAnsi" w:cstheme="minorHAnsi"/>
        </w:rPr>
        <w:t xml:space="preserve">they’re </w:t>
      </w:r>
      <w:r w:rsidRPr="00F9073F">
        <w:rPr>
          <w:rStyle w:val="StyleUnderline"/>
          <w:rFonts w:asciiTheme="minorHAnsi" w:hAnsiTheme="minorHAnsi" w:cstheme="minorHAnsi"/>
          <w:highlight w:val="green"/>
        </w:rPr>
        <w:t>using their own individual and collective agency to win the liberties</w:t>
      </w:r>
      <w:r w:rsidRPr="001D4AA4">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1D4AA4">
        <w:rPr>
          <w:rFonts w:asciiTheme="minorHAnsi" w:hAnsiTheme="minorHAnsi" w:cstheme="minorHAnsi"/>
          <w:color w:val="191919"/>
          <w:sz w:val="16"/>
          <w:szCs w:val="27"/>
        </w:rPr>
        <w:t xml:space="preserve"> Freedom, not industrial stability or simply higher living standards, is the name of their desire. Put differently, the right to strike has both an intrinsic and instrumental relation to freedom. </w:t>
      </w:r>
      <w:r w:rsidRPr="00F9073F">
        <w:rPr>
          <w:rStyle w:val="StyleUnderline"/>
          <w:rFonts w:asciiTheme="minorHAnsi" w:hAnsiTheme="minorHAnsi" w:cstheme="minorHAnsi"/>
          <w:highlight w:val="green"/>
        </w:rPr>
        <w:t>It has intrinsic value as an</w:t>
      </w:r>
      <w:r w:rsidRPr="001D4AA4">
        <w:rPr>
          <w:rFonts w:asciiTheme="minorHAnsi" w:hAnsiTheme="minorHAnsi" w:cstheme="minorHAnsi"/>
          <w:color w:val="191919"/>
          <w:sz w:val="16"/>
          <w:szCs w:val="27"/>
        </w:rPr>
        <w:t xml:space="preserve"> (at least implicit) </w:t>
      </w:r>
      <w:r w:rsidRPr="00F9073F">
        <w:rPr>
          <w:rStyle w:val="StyleUnderline"/>
          <w:rFonts w:asciiTheme="minorHAnsi" w:hAnsiTheme="minorHAnsi" w:cstheme="minorHAnsi"/>
          <w:highlight w:val="green"/>
        </w:rPr>
        <w:t>demand for self-emancipation</w:t>
      </w:r>
      <w:r w:rsidRPr="001D4AA4">
        <w:rPr>
          <w:rStyle w:val="StyleUnderline"/>
          <w:rFonts w:asciiTheme="minorHAnsi" w:hAnsiTheme="minorHAnsi" w:cstheme="minorHAnsi"/>
        </w:rPr>
        <w:t>. And it has instrumental value insofar as the strike is an effective means for resisting the oppressiveness of a class society</w:t>
      </w:r>
      <w:r w:rsidRPr="001D4AA4">
        <w:rPr>
          <w:rFonts w:asciiTheme="minorHAnsi" w:hAnsiTheme="minorHAnsi" w:cstheme="minorHAnsi"/>
          <w:color w:val="191919"/>
          <w:sz w:val="16"/>
          <w:szCs w:val="27"/>
        </w:rPr>
        <w:t xml:space="preserve"> and achieving new freedoms. But if all this is correct, and the right to strike is something that we should defend, then it also has to be </w:t>
      </w:r>
      <w:r w:rsidRPr="001D4AA4">
        <w:rPr>
          <w:rFonts w:asciiTheme="minorHAnsi" w:hAnsiTheme="minorHAnsi" w:cstheme="minorHAnsi"/>
          <w:i/>
          <w:iCs/>
          <w:color w:val="191919"/>
          <w:sz w:val="16"/>
          <w:szCs w:val="27"/>
        </w:rPr>
        <w:t>meaningful</w:t>
      </w:r>
      <w:r w:rsidRPr="001D4AA4">
        <w:rPr>
          <w:rFonts w:asciiTheme="minorHAnsi" w:hAnsiTheme="minorHAnsi" w:cstheme="minorHAnsi"/>
          <w:color w:val="191919"/>
          <w:sz w:val="16"/>
          <w:szCs w:val="27"/>
        </w:rPr>
        <w:t xml:space="preserve">. </w:t>
      </w:r>
      <w:r w:rsidRPr="001D4AA4">
        <w:rPr>
          <w:rStyle w:val="StyleUnderline"/>
          <w:rFonts w:asciiTheme="minorHAnsi" w:hAnsiTheme="minorHAnsi" w:cstheme="minorHAnsi"/>
        </w:rPr>
        <w:t>The right loses its connection to workers’ freedom if they have little chance of exercising it effectively. Otherwise they’re simply engaging in a symbolic act of defiance</w:t>
      </w:r>
      <w:r w:rsidRPr="001D4AA4">
        <w:rPr>
          <w:rFonts w:asciiTheme="minorHAnsi" w:hAnsiTheme="minorHAnsi" w:cstheme="minorHAnsi"/>
          <w:color w:val="191919"/>
          <w:sz w:val="16"/>
          <w:szCs w:val="27"/>
        </w:rPr>
        <w:t xml:space="preserve"> — laudable, perhaps, but not a tangible means of fighting oppression. </w:t>
      </w:r>
      <w:r w:rsidRPr="00F9073F">
        <w:rPr>
          <w:rStyle w:val="StyleUnderline"/>
          <w:rFonts w:asciiTheme="minorHAnsi" w:hAnsiTheme="minorHAnsi" w:cstheme="minorHAnsi"/>
          <w:highlight w:val="green"/>
        </w:rPr>
        <w:t xml:space="preserve">The right to strike must therefore cover at least </w:t>
      </w:r>
      <w:r w:rsidRPr="00F9073F">
        <w:rPr>
          <w:rStyle w:val="StyleUnderline"/>
          <w:rFonts w:asciiTheme="minorHAnsi" w:eastAsiaTheme="majorEastAsia" w:hAnsiTheme="minorHAnsi" w:cstheme="minorHAnsi"/>
          <w:highlight w:val="green"/>
        </w:rPr>
        <w:t>some</w:t>
      </w:r>
      <w:r w:rsidRPr="00F9073F">
        <w:rPr>
          <w:rStyle w:val="StyleUnderline"/>
          <w:rFonts w:asciiTheme="minorHAnsi" w:hAnsiTheme="minorHAnsi" w:cstheme="minorHAnsi"/>
          <w:highlight w:val="green"/>
        </w:rPr>
        <w:t xml:space="preserve"> of the coercive tactics that make strikes potent, like sit-downs and mass pickets.</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1D4AA4">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1D4AA4">
        <w:rPr>
          <w:rFonts w:asciiTheme="minorHAnsi" w:hAnsiTheme="minorHAnsi" w:cstheme="minorHAnsi"/>
          <w:i/>
          <w:iCs/>
          <w:color w:val="191919"/>
          <w:sz w:val="16"/>
          <w:szCs w:val="27"/>
        </w:rPr>
        <w:t xml:space="preserve">because </w:t>
      </w:r>
      <w:r w:rsidRPr="001D4AA4">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1D4AA4">
        <w:rPr>
          <w:rStyle w:val="StyleUnderline"/>
          <w:rFonts w:asciiTheme="minorHAnsi" w:hAnsiTheme="minorHAnsi" w:cstheme="minorHAnsi"/>
        </w:rPr>
        <w:lastRenderedPageBreak/>
        <w:t>The right to strike has a stronger claim to be protecting a zone of activity that serves the aims of justice itself — coercing people into relations of less oppressive social cooperation</w:t>
      </w:r>
      <w:r w:rsidRPr="001D4AA4">
        <w:rPr>
          <w:rFonts w:asciiTheme="minorHAnsi" w:hAnsiTheme="minorHAnsi" w:cstheme="minorHAnsi"/>
          <w:color w:val="191919"/>
          <w:sz w:val="16"/>
          <w:szCs w:val="27"/>
        </w:rPr>
        <w:t xml:space="preserve">. Simply put, to argue for the right to strike </w:t>
      </w:r>
      <w:r w:rsidRPr="0026307D">
        <w:rPr>
          <w:rStyle w:val="StyleUnderline"/>
        </w:rPr>
        <w:t>is to prioritize democratic freedoms over property rights.</w:t>
      </w:r>
    </w:p>
    <w:bookmarkEnd w:id="5"/>
    <w:p w14:paraId="24E9B027" w14:textId="77777777" w:rsidR="003A23DF" w:rsidRPr="001D4AA4" w:rsidRDefault="003A23DF" w:rsidP="003A23DF">
      <w:pPr>
        <w:rPr>
          <w:rFonts w:asciiTheme="minorHAnsi" w:hAnsiTheme="minorHAnsi" w:cstheme="minorHAnsi"/>
        </w:rPr>
      </w:pPr>
    </w:p>
    <w:p w14:paraId="34179D83"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w:t>
      </w:r>
      <w:r>
        <w:rPr>
          <w:rFonts w:asciiTheme="minorHAnsi" w:hAnsiTheme="minorHAnsi" w:cstheme="minorHAnsi"/>
        </w:rPr>
        <w:t>2</w:t>
      </w:r>
      <w:r w:rsidRPr="001D4AA4">
        <w:rPr>
          <w:rFonts w:asciiTheme="minorHAnsi" w:hAnsiTheme="minorHAnsi" w:cstheme="minorHAnsi"/>
        </w:rPr>
        <w:t>] Right to strike ensures a process of collective bargaining – absent a right to strike it would literally force workers to work against their will, violating freedom, Croucher ’11:</w:t>
      </w:r>
    </w:p>
    <w:p w14:paraId="09028029" w14:textId="77777777" w:rsidR="003A23DF" w:rsidRPr="001D4AA4" w:rsidRDefault="003A23DF" w:rsidP="003A23DF">
      <w:pPr>
        <w:rPr>
          <w:rFonts w:asciiTheme="minorHAnsi" w:hAnsiTheme="minorHAnsi" w:cstheme="minorHAnsi"/>
        </w:rPr>
      </w:pPr>
      <w:r w:rsidRPr="001D4AA4">
        <w:rPr>
          <w:rFonts w:asciiTheme="minorHAnsi" w:hAnsiTheme="minorHAnsi" w:cstheme="minorHAnsi"/>
          <w:color w:val="222222"/>
          <w:sz w:val="20"/>
          <w:szCs w:val="20"/>
          <w:shd w:val="clear" w:color="auto" w:fill="FFFFFF"/>
        </w:rPr>
        <w:t>Croucher, Richard, Mark Kely, and Lilian Miles. "A Rawlsian basis for core labor rights." </w:t>
      </w:r>
      <w:r w:rsidRPr="001D4AA4">
        <w:rPr>
          <w:rFonts w:asciiTheme="minorHAnsi" w:hAnsiTheme="minorHAnsi" w:cstheme="minorHAnsi"/>
          <w:i/>
          <w:iCs/>
          <w:color w:val="222222"/>
          <w:sz w:val="20"/>
          <w:szCs w:val="20"/>
          <w:shd w:val="clear" w:color="auto" w:fill="FFFFFF"/>
        </w:rPr>
        <w:t>Comp. Lab. L. &amp; Pol'y J.</w:t>
      </w:r>
      <w:r w:rsidRPr="001D4AA4">
        <w:rPr>
          <w:rFonts w:asciiTheme="minorHAnsi" w:hAnsiTheme="minorHAnsi" w:cstheme="minorHAnsi"/>
          <w:color w:val="222222"/>
          <w:sz w:val="20"/>
          <w:szCs w:val="20"/>
          <w:shd w:val="clear" w:color="auto" w:fill="FFFFFF"/>
        </w:rPr>
        <w:t> 33 (2011): 297. Yoaks</w:t>
      </w:r>
    </w:p>
    <w:p w14:paraId="3FFB6901" w14:textId="77777777" w:rsidR="003A23DF" w:rsidRPr="001D4AA4" w:rsidRDefault="003A23DF" w:rsidP="003A23DF">
      <w:pPr>
        <w:rPr>
          <w:rFonts w:asciiTheme="minorHAnsi" w:hAnsiTheme="minorHAnsi" w:cstheme="minorHAnsi"/>
        </w:rPr>
      </w:pPr>
    </w:p>
    <w:p w14:paraId="2AF8297A" w14:textId="77777777" w:rsidR="003A23DF" w:rsidRPr="001D4AA4" w:rsidRDefault="003A23DF" w:rsidP="003A23DF">
      <w:pPr>
        <w:rPr>
          <w:rFonts w:asciiTheme="minorHAnsi" w:hAnsiTheme="minorHAnsi" w:cstheme="minorHAnsi"/>
          <w:sz w:val="16"/>
        </w:rPr>
      </w:pPr>
      <w:r w:rsidRPr="001D4AA4">
        <w:rPr>
          <w:rFonts w:asciiTheme="minorHAnsi" w:hAnsiTheme="minorHAnsi" w:cstheme="minorHAnsi"/>
          <w:sz w:val="16"/>
        </w:rPr>
        <w:t xml:space="preserve">There is another right for us to address here under the first principle. Even the right to bargain collectively as asserted by the ILO is, taken in isolation, a hollow right. </w:t>
      </w:r>
      <w:r w:rsidRPr="00F9073F">
        <w:rPr>
          <w:rStyle w:val="StyleUnderline"/>
          <w:rFonts w:asciiTheme="minorHAnsi" w:hAnsiTheme="minorHAnsi" w:cstheme="minorHAnsi"/>
          <w:highlight w:val="green"/>
        </w:rPr>
        <w:t>It is necessary to have</w:t>
      </w:r>
      <w:r w:rsidRPr="001D4AA4">
        <w:rPr>
          <w:rStyle w:val="StyleUnderline"/>
          <w:rFonts w:asciiTheme="minorHAnsi" w:hAnsiTheme="minorHAnsi" w:cstheme="minorHAnsi"/>
        </w:rPr>
        <w:t xml:space="preserve"> the possibility of </w:t>
      </w:r>
      <w:r w:rsidRPr="00F9073F">
        <w:rPr>
          <w:rStyle w:val="StyleUnderline"/>
          <w:rFonts w:asciiTheme="minorHAnsi" w:hAnsiTheme="minorHAnsi" w:cstheme="minorHAnsi"/>
          <w:highlight w:val="green"/>
        </w:rPr>
        <w:t>recourse to industrial action</w:t>
      </w:r>
      <w:r w:rsidRPr="001D4AA4">
        <w:rPr>
          <w:rStyle w:val="StyleUnderline"/>
          <w:rFonts w:asciiTheme="minorHAnsi" w:hAnsiTheme="minorHAnsi" w:cstheme="minorHAnsi"/>
        </w:rPr>
        <w:t xml:space="preserve"> in some form to back one’s bargaining position in order for a right to bargain to be substantive</w:t>
      </w:r>
      <w:r w:rsidRPr="001D4AA4">
        <w:rPr>
          <w:rFonts w:asciiTheme="minorHAnsi" w:hAnsiTheme="minorHAnsi" w:cstheme="minorHAnsi"/>
          <w:sz w:val="16"/>
        </w:rPr>
        <w:t xml:space="preserve">. If it is illegal for workers to take any action opposing an employer’s interests, then the right to bargain is meaningless, since the employer is free to ignore workers’ attempts to negotiate. </w:t>
      </w:r>
      <w:r w:rsidRPr="00F9073F">
        <w:rPr>
          <w:rStyle w:val="StyleUnderline"/>
          <w:rFonts w:asciiTheme="minorHAnsi" w:hAnsiTheme="minorHAnsi" w:cstheme="minorHAnsi"/>
          <w:highlight w:val="green"/>
        </w:rPr>
        <w:t>We therefore must consider not only the rights to organise and bargain collectively, but also the right of labour to act collectively.</w:t>
      </w:r>
      <w:r w:rsidRPr="001D4AA4">
        <w:rPr>
          <w:rFonts w:asciiTheme="minorHAnsi" w:hAnsiTheme="minorHAnsi" w:cstheme="minorHAnsi"/>
          <w:sz w:val="16"/>
        </w:rPr>
        <w:t xml:space="preserve"> The paradigmatic form of such a right of labour, the one most often discussed, is </w:t>
      </w:r>
      <w:r w:rsidRPr="00F9073F">
        <w:rPr>
          <w:rStyle w:val="StyleUnderline"/>
          <w:rFonts w:asciiTheme="minorHAnsi" w:hAnsiTheme="minorHAnsi" w:cstheme="minorHAnsi"/>
          <w:highlight w:val="green"/>
        </w:rPr>
        <w:t>the right to strike</w:t>
      </w:r>
      <w:r w:rsidRPr="001D4AA4">
        <w:rPr>
          <w:rFonts w:asciiTheme="minorHAnsi" w:hAnsiTheme="minorHAnsi" w:cstheme="minorHAnsi"/>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1D4AA4">
        <w:rPr>
          <w:rStyle w:val="StyleUnderline"/>
          <w:rFonts w:asciiTheme="minorHAnsi" w:hAnsiTheme="minorHAnsi" w:cstheme="minorHAnsi"/>
        </w:rPr>
        <w:t>to</w:t>
      </w:r>
      <w:r w:rsidRPr="001D4AA4">
        <w:rPr>
          <w:rFonts w:asciiTheme="minorHAnsi" w:hAnsiTheme="minorHAnsi" w:cstheme="minorHAnsi"/>
          <w:sz w:val="16"/>
        </w:rPr>
        <w:t xml:space="preserve"> conduct industrial action is in effect that to </w:t>
      </w:r>
      <w:r w:rsidRPr="001D4AA4">
        <w:rPr>
          <w:rStyle w:val="StyleUnderline"/>
          <w:rFonts w:asciiTheme="minorHAnsi" w:hAnsiTheme="minorHAnsi" w:cstheme="minorHAnsi"/>
        </w:rPr>
        <w:t>withdraw their labour in some way</w:t>
      </w:r>
      <w:r w:rsidRPr="001D4AA4">
        <w:rPr>
          <w:rFonts w:asciiTheme="minorHAnsi" w:hAnsiTheme="minorHAnsi" w:cstheme="minorHAnsi"/>
          <w:sz w:val="16"/>
        </w:rPr>
        <w:t xml:space="preserve"> (quitting, striking, going slow) </w:t>
      </w:r>
      <w:r w:rsidRPr="001D4AA4">
        <w:rPr>
          <w:rStyle w:val="StyleUnderline"/>
          <w:rFonts w:asciiTheme="minorHAnsi" w:hAnsiTheme="minorHAnsi" w:cstheme="minorHAnsi"/>
        </w:rPr>
        <w:t xml:space="preserve">unless collective demands are met. As individuals, every worker, </w:t>
      </w:r>
      <w:r w:rsidRPr="001D4AA4">
        <w:rPr>
          <w:rFonts w:asciiTheme="minorHAnsi" w:hAnsiTheme="minorHAnsi" w:cstheme="minorHAnsi"/>
          <w:sz w:val="16"/>
        </w:rPr>
        <w:t xml:space="preserve">if they are not a slave (and slavery is explicitly not permitted under Rawls’s first principle) </w:t>
      </w:r>
      <w:r w:rsidRPr="001D4AA4">
        <w:rPr>
          <w:rStyle w:val="StyleUnderline"/>
          <w:rFonts w:asciiTheme="minorHAnsi" w:hAnsiTheme="minorHAnsi" w:cstheme="minorHAnsi"/>
        </w:rPr>
        <w:t xml:space="preserve">has a right to withdraw their own labour, and might of course threaten this in individual negotiations with their employer. </w:t>
      </w:r>
      <w:r w:rsidRPr="001D4AA4">
        <w:rPr>
          <w:rFonts w:asciiTheme="minorHAnsi" w:hAnsiTheme="minorHAnsi" w:cstheme="minorHAnsi"/>
          <w:sz w:val="16"/>
        </w:rPr>
        <w:t xml:space="preserve">Effectively, </w:t>
      </w:r>
      <w:r w:rsidRPr="001D4AA4">
        <w:rPr>
          <w:rStyle w:val="StyleUnderline"/>
          <w:rFonts w:asciiTheme="minorHAnsi" w:hAnsiTheme="minorHAnsi" w:cstheme="minorHAnsi"/>
        </w:rPr>
        <w:t>what occurs in industrial action is a pooling of individual rights into collective rights</w:t>
      </w:r>
      <w:r w:rsidRPr="001D4AA4">
        <w:rPr>
          <w:rFonts w:asciiTheme="minorHAnsi" w:hAnsiTheme="minorHAnsi" w:cstheme="minorHAnsi"/>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F9073F">
        <w:rPr>
          <w:rStyle w:val="StyleUnderline"/>
          <w:rFonts w:asciiTheme="minorHAnsi" w:hAnsiTheme="minorHAnsi" w:cstheme="minorHAnsi"/>
          <w:highlight w:val="green"/>
        </w:rPr>
        <w:t>no contract can literally force labour – if it did that, it would breach the right to freedom from slavery</w:t>
      </w:r>
      <w:r w:rsidRPr="001D4AA4">
        <w:rPr>
          <w:rFonts w:asciiTheme="minorHAnsi" w:hAnsiTheme="minorHAnsi" w:cstheme="minorHAnsi"/>
          <w:sz w:val="16"/>
        </w:rPr>
        <w:t xml:space="preserve">. Rather, it can only schedule penalties, typically financial, where labour is not performed. </w:t>
      </w:r>
      <w:r w:rsidRPr="00F9073F">
        <w:rPr>
          <w:rStyle w:val="StyleUnderline"/>
          <w:rFonts w:asciiTheme="minorHAnsi" w:hAnsiTheme="minorHAnsi" w:cstheme="minorHAnsi"/>
          <w:highlight w:val="green"/>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1D4AA4">
        <w:rPr>
          <w:rFonts w:asciiTheme="minorHAnsi" w:hAnsiTheme="minorHAnsi" w:cstheme="minorHAnsi"/>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0D5BE632" w14:textId="77777777" w:rsidR="003A23DF" w:rsidRPr="001D4AA4" w:rsidRDefault="003A23DF" w:rsidP="003A23DF">
      <w:pPr>
        <w:rPr>
          <w:rFonts w:asciiTheme="minorHAnsi" w:hAnsiTheme="minorHAnsi" w:cstheme="minorHAnsi"/>
        </w:rPr>
      </w:pPr>
    </w:p>
    <w:p w14:paraId="199ABA79"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lastRenderedPageBreak/>
        <w:t>[</w:t>
      </w:r>
      <w:r>
        <w:rPr>
          <w:rFonts w:asciiTheme="minorHAnsi" w:hAnsiTheme="minorHAnsi" w:cstheme="minorHAnsi"/>
        </w:rPr>
        <w:t>3</w:t>
      </w:r>
      <w:r w:rsidRPr="001D4AA4">
        <w:rPr>
          <w:rFonts w:asciiTheme="minorHAnsi" w:hAnsiTheme="minorHAnsi" w:cstheme="minorHAnsi"/>
        </w:rPr>
        <w:t>]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5FF0712C" w14:textId="77777777" w:rsidR="003A23DF" w:rsidRPr="001D4AA4" w:rsidRDefault="003A23DF" w:rsidP="003A23DF">
      <w:pPr>
        <w:rPr>
          <w:rFonts w:asciiTheme="minorHAnsi" w:hAnsiTheme="minorHAnsi" w:cstheme="minorHAnsi"/>
        </w:rPr>
      </w:pPr>
    </w:p>
    <w:p w14:paraId="26328E30" w14:textId="77777777" w:rsidR="003A23DF" w:rsidRPr="001D4AA4" w:rsidRDefault="003A23DF" w:rsidP="003A23DF">
      <w:pPr>
        <w:pStyle w:val="Heading4"/>
        <w:rPr>
          <w:rFonts w:asciiTheme="minorHAnsi" w:hAnsiTheme="minorHAnsi" w:cstheme="minorHAnsi"/>
        </w:rPr>
      </w:pPr>
      <w:r w:rsidRPr="001D4AA4">
        <w:rPr>
          <w:rFonts w:asciiTheme="minorHAnsi" w:hAnsiTheme="minorHAnsi" w:cstheme="minorHAnsi"/>
        </w:rPr>
        <w:t>[</w:t>
      </w:r>
      <w:r>
        <w:rPr>
          <w:rFonts w:asciiTheme="minorHAnsi" w:hAnsiTheme="minorHAnsi" w:cstheme="minorHAnsi"/>
        </w:rPr>
        <w:t>4</w:t>
      </w:r>
      <w:r w:rsidRPr="001D4AA4">
        <w:rPr>
          <w:rFonts w:asciiTheme="minorHAnsi" w:hAnsiTheme="minorHAnsi" w:cstheme="minorHAnsi"/>
        </w:rPr>
        <w:t>] Put away your turns: strikes are an omission of action</w:t>
      </w:r>
    </w:p>
    <w:p w14:paraId="7C857BCF" w14:textId="77777777" w:rsidR="003A23DF" w:rsidRPr="001D4AA4" w:rsidRDefault="003A23DF" w:rsidP="003A23DF">
      <w:pPr>
        <w:rPr>
          <w:rStyle w:val="Style13ptBold"/>
          <w:rFonts w:asciiTheme="minorHAnsi" w:hAnsiTheme="minorHAnsi" w:cstheme="minorHAnsi"/>
          <w:b w:val="0"/>
          <w:sz w:val="16"/>
        </w:rPr>
      </w:pPr>
      <w:r w:rsidRPr="001D4AA4">
        <w:rPr>
          <w:rFonts w:asciiTheme="minorHAnsi" w:hAnsiTheme="minorHAnsi" w:cstheme="minorHAnsi"/>
          <w:b/>
          <w:bCs/>
        </w:rPr>
        <w:t>Benjamin 78</w:t>
      </w:r>
      <w:r w:rsidRPr="001D4AA4">
        <w:rPr>
          <w:rFonts w:asciiTheme="minorHAnsi" w:hAnsiTheme="minorHAnsi" w:cstheme="minorHAnsi"/>
        </w:rPr>
        <w:t xml:space="preserve"> </w:t>
      </w:r>
      <w:r w:rsidRPr="001D4AA4">
        <w:rPr>
          <w:rFonts w:asciiTheme="minorHAnsi" w:hAnsiTheme="minorHAnsi" w:cstheme="minorHAnsi"/>
          <w:sz w:val="16"/>
        </w:rPr>
        <w:t>Walter Benjamin, On Violence, Reflections: Essays, Aphorisms, Autobiographical Writings [Walter Bendix Schönflies Benjamin was a German Jewish philosopher, cultural critic and essayist]</w:t>
      </w:r>
    </w:p>
    <w:p w14:paraId="6842A0D0" w14:textId="1843C771" w:rsidR="003A23DF" w:rsidRDefault="003A23DF" w:rsidP="003A23DF">
      <w:r w:rsidRPr="001D4AA4">
        <w:rPr>
          <w:rFonts w:asciiTheme="minorHAnsi" w:hAnsiTheme="minorHAnsi" w:cstheme="minorHAnsi"/>
          <w:sz w:val="16"/>
        </w:rPr>
        <w:t xml:space="preserve">This is above all the case in the class struggle, in the form of the workers' guaranteed right to strike. </w:t>
      </w:r>
      <w:r w:rsidRPr="001D4AA4">
        <w:rPr>
          <w:rStyle w:val="StyleUnderline"/>
          <w:rFonts w:asciiTheme="minorHAnsi" w:hAnsiTheme="minorHAnsi" w:cstheme="minorHAnsi"/>
        </w:rPr>
        <w:t xml:space="preserve">Organized labor is, apart from the state, probably today the only legal subject en­titled to exercise violence. Against this view there is certainly the objection that </w:t>
      </w:r>
      <w:r w:rsidRPr="00F9073F">
        <w:rPr>
          <w:rStyle w:val="StyleUnderline"/>
          <w:rFonts w:asciiTheme="minorHAnsi" w:hAnsiTheme="minorHAnsi" w:cstheme="minorHAnsi"/>
          <w:highlight w:val="green"/>
        </w:rPr>
        <w:t>an omission of actions</w:t>
      </w:r>
      <w:r w:rsidRPr="001D4AA4">
        <w:rPr>
          <w:rStyle w:val="StyleUnderline"/>
          <w:rFonts w:asciiTheme="minorHAnsi" w:hAnsiTheme="minorHAnsi" w:cstheme="minorHAnsi"/>
        </w:rPr>
        <w:t xml:space="preserve">, a nonaction, </w:t>
      </w:r>
      <w:r w:rsidRPr="00F9073F">
        <w:rPr>
          <w:rStyle w:val="StyleUnderline"/>
          <w:rFonts w:asciiTheme="minorHAnsi" w:hAnsiTheme="minorHAnsi" w:cstheme="minorHAnsi"/>
          <w:highlight w:val="green"/>
        </w:rPr>
        <w:t>which a strike really is, cannot be described as violence</w:t>
      </w:r>
      <w:r w:rsidRPr="001D4AA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1D4AA4">
        <w:rPr>
          <w:rStyle w:val="StyleUnderline"/>
          <w:rFonts w:asciiTheme="minorHAnsi" w:hAnsiTheme="minorHAnsi" w:cstheme="minorHAnsi"/>
        </w:rPr>
        <w:t xml:space="preserve">And as in the view of the state, or the law, </w:t>
      </w:r>
      <w:r w:rsidRPr="00F9073F">
        <w:rPr>
          <w:rStyle w:val="StyleUnderline"/>
          <w:rFonts w:asciiTheme="minorHAnsi" w:hAnsiTheme="minorHAnsi" w:cstheme="minorHAnsi"/>
          <w:highlight w:val="green"/>
        </w:rPr>
        <w:t>the right</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to strike conceded to labor is certainly not a right to exercise violence but</w:t>
      </w:r>
      <w:r w:rsidRPr="001D4AA4">
        <w:rPr>
          <w:rStyle w:val="StyleUnderline"/>
          <w:rFonts w:asciiTheme="minorHAnsi" w:hAnsiTheme="minorHAnsi" w:cstheme="minorHAnsi"/>
        </w:rPr>
        <w:t xml:space="preserve">, rather, </w:t>
      </w:r>
      <w:r w:rsidRPr="00F9073F">
        <w:rPr>
          <w:rStyle w:val="StyleUnderline"/>
          <w:rFonts w:asciiTheme="minorHAnsi" w:hAnsiTheme="minorHAnsi" w:cstheme="minorHAnsi"/>
          <w:highlight w:val="green"/>
        </w:rPr>
        <w:t>to escape from a violence indirectly exercised by the employer</w:t>
      </w:r>
      <w:r w:rsidRPr="001D4AA4">
        <w:rPr>
          <w:rFonts w:asciiTheme="minorHAnsi" w:hAnsiTheme="minorHAnsi" w:cstheme="minorHAnsi"/>
          <w:sz w:val="16"/>
        </w:rPr>
        <w:t xml:space="preserve">, </w:t>
      </w:r>
      <w:r w:rsidRPr="00F9073F">
        <w:rPr>
          <w:rStyle w:val="StyleUnderline"/>
          <w:rFonts w:asciiTheme="minorHAnsi" w:hAnsiTheme="minorHAnsi" w:cstheme="minorHAnsi"/>
          <w:highlight w:val="green"/>
        </w:rPr>
        <w:t>strikes</w:t>
      </w:r>
      <w:r w:rsidRPr="001D4AA4">
        <w:rPr>
          <w:rStyle w:val="StyleUnderline"/>
          <w:rFonts w:asciiTheme="minorHAnsi" w:hAnsiTheme="minorHAnsi" w:cstheme="minorHAnsi"/>
        </w:rPr>
        <w:t xml:space="preserve"> conforming to this </w:t>
      </w:r>
      <w:r w:rsidRPr="00F9073F">
        <w:rPr>
          <w:rStyle w:val="StyleUnderline"/>
          <w:rFonts w:asciiTheme="minorHAnsi" w:hAnsiTheme="minorHAnsi" w:cstheme="minorHAnsi"/>
          <w:highlight w:val="green"/>
        </w:rPr>
        <w:t>may undoubtedly occur from time to time and involve only a "withdrawal" or "estrangement" from the employer</w:t>
      </w:r>
      <w:r w:rsidRPr="001D4AA4">
        <w:rPr>
          <w:rStyle w:val="StyleUnderline"/>
          <w:rFonts w:asciiTheme="minorHAnsi" w:hAnsiTheme="minorHAnsi" w:cstheme="minorHAnsi"/>
        </w:rPr>
        <w:t xml:space="preserve">. </w:t>
      </w:r>
      <w:r w:rsidRPr="001D4AA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bookmarkEnd w:id="4"/>
    </w:p>
    <w:p w14:paraId="1B7DF87E" w14:textId="0B737B02" w:rsidR="003A23DF" w:rsidRDefault="003A23DF" w:rsidP="003A23DF">
      <w:pPr>
        <w:pStyle w:val="Heading2"/>
      </w:pPr>
      <w:r>
        <w:lastRenderedPageBreak/>
        <w:t xml:space="preserve">1AC – Underview </w:t>
      </w:r>
    </w:p>
    <w:p w14:paraId="4AB2CB72" w14:textId="7B46F457" w:rsidR="003A23DF" w:rsidRDefault="003A23DF" w:rsidP="003A23DF">
      <w:pPr>
        <w:pStyle w:val="Heading4"/>
        <w:rPr>
          <w:rFonts w:asciiTheme="minorHAnsi" w:hAnsiTheme="minorHAnsi" w:cstheme="minorHAnsi"/>
        </w:rPr>
      </w:pPr>
      <w:r w:rsidRPr="001D4AA4">
        <w:rPr>
          <w:rFonts w:asciiTheme="minorHAnsi" w:hAnsiTheme="minorHAnsi" w:cstheme="minorHAnsi"/>
        </w:rPr>
        <w:t xml:space="preserve">1] AFF theory is no RVI, Drop the debater, </w:t>
      </w:r>
      <w:r>
        <w:rPr>
          <w:rFonts w:asciiTheme="minorHAnsi" w:hAnsiTheme="minorHAnsi" w:cstheme="minorHAnsi"/>
        </w:rPr>
        <w:t xml:space="preserve">and </w:t>
      </w:r>
      <w:r w:rsidRPr="001D4AA4">
        <w:rPr>
          <w:rFonts w:asciiTheme="minorHAnsi" w:hAnsiTheme="minorHAnsi" w:cstheme="minorHAnsi"/>
        </w:rPr>
        <w:t>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6C18B9F2" w14:textId="229FB2E5" w:rsidR="003A23DF" w:rsidRPr="003A23DF" w:rsidRDefault="003A23DF" w:rsidP="003A23DF">
      <w:pPr>
        <w:pStyle w:val="Heading4"/>
      </w:pPr>
      <w:r w:rsidRPr="003A23DF">
        <w:t>2] 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50B22078" w14:textId="34C00FBF" w:rsidR="00A95652" w:rsidRDefault="00AC337D" w:rsidP="00AC337D">
      <w:pPr>
        <w:pStyle w:val="Heading2"/>
      </w:pPr>
      <w:r>
        <w:lastRenderedPageBreak/>
        <w:t>Advantage</w:t>
      </w:r>
    </w:p>
    <w:p w14:paraId="0412EBC0" w14:textId="77777777" w:rsidR="00AC337D" w:rsidRPr="0087351B" w:rsidRDefault="00AC337D" w:rsidP="00AC337D">
      <w:pPr>
        <w:pStyle w:val="Heading3"/>
      </w:pPr>
      <w:r>
        <w:lastRenderedPageBreak/>
        <w:t>Courts</w:t>
      </w:r>
    </w:p>
    <w:p w14:paraId="64EAE676" w14:textId="77777777" w:rsidR="00AC337D" w:rsidRDefault="00AC337D" w:rsidP="00AC337D">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2298222C" w14:textId="77777777" w:rsidR="00AC337D" w:rsidRPr="00D2046C" w:rsidRDefault="00AC337D" w:rsidP="00AC337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4163BBA4" w14:textId="77777777" w:rsidR="00AC337D" w:rsidRPr="00875A8F" w:rsidRDefault="00AC337D" w:rsidP="00AC337D">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 xml:space="preserve">or require that </w:t>
      </w:r>
      <w:r w:rsidRPr="00ED5AB7">
        <w:rPr>
          <w:sz w:val="16"/>
        </w:rPr>
        <w:lastRenderedPageBreak/>
        <w:t>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Another major UN Human Rightstreaty,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The ICCPR has been ratified by 173 countries, including three of the four largepopulation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125 Indeed, of the 187 ILO Member States, only 11 relatively smallpopulation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r>
        <w:rPr>
          <w:sz w:val="16"/>
          <w:szCs w:val="16"/>
        </w:rPr>
        <w:t xml:space="preserve"> </w:t>
      </w:r>
      <w:r w:rsidRPr="00F807D1">
        <w:rPr>
          <w:u w:val="single"/>
        </w:rPr>
        <w:t xml:space="preserve">The pervasive nature of actual practice regarding </w:t>
      </w:r>
      <w:r w:rsidRPr="00F807D1">
        <w:rPr>
          <w:u w:val="single"/>
        </w:rPr>
        <w:lastRenderedPageBreak/>
        <w:t>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 xml:space="preserve">The Canadian Supreme Court had previously been explicit in invoking Convention 87, ICESCR, and ICCPR as “documents [that] reflect not only international consensus but also principles that </w:t>
      </w:r>
      <w:r w:rsidRPr="00F807D1">
        <w:rPr>
          <w:u w:val="single"/>
        </w:rPr>
        <w:lastRenderedPageBreak/>
        <w:t>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(opinio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A224B43" w14:textId="77777777" w:rsidR="00AC337D" w:rsidRDefault="00AC337D" w:rsidP="00AC337D"/>
    <w:p w14:paraId="00AE042A" w14:textId="77777777" w:rsidR="00AC337D" w:rsidRDefault="00AC337D" w:rsidP="00AC337D">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2EE262ED" w14:textId="77777777" w:rsidR="00AC337D" w:rsidRPr="00463A35" w:rsidRDefault="00AC337D" w:rsidP="00AC337D">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w:t>
      </w:r>
      <w:r w:rsidRPr="00463A35">
        <w:lastRenderedPageBreak/>
        <w:t>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3DF9E342" w14:textId="77777777" w:rsidR="00AC337D" w:rsidRPr="00B57BC0" w:rsidRDefault="00AC337D" w:rsidP="00AC337D">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690330E" w14:textId="77777777" w:rsidR="00AC337D" w:rsidRDefault="00AC337D" w:rsidP="00AC337D">
      <w:pPr>
        <w:pStyle w:val="Heading4"/>
      </w:pPr>
      <w:r>
        <w:t xml:space="preserve">Scenario one is </w:t>
      </w:r>
      <w:r w:rsidRPr="00C7231B">
        <w:rPr>
          <w:u w:val="single"/>
        </w:rPr>
        <w:t>SDG</w:t>
      </w:r>
      <w:r>
        <w:t>:</w:t>
      </w:r>
    </w:p>
    <w:p w14:paraId="55037A99" w14:textId="77777777" w:rsidR="00AC337D" w:rsidRDefault="00AC337D" w:rsidP="00AC337D">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0183299C" w14:textId="77777777" w:rsidR="00AC337D" w:rsidRPr="008751FE" w:rsidRDefault="00AC337D" w:rsidP="00AC337D">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1FDFF9F9" w14:textId="77777777" w:rsidR="00AC337D" w:rsidRDefault="00AC337D" w:rsidP="00AC337D">
      <w:r w:rsidRPr="00CF4094">
        <w:rPr>
          <w:sz w:val="16"/>
        </w:rPr>
        <w:lastRenderedPageBreak/>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rPr>
        <w:t xml:space="preserve"> at the same time </w:t>
      </w:r>
      <w:r w:rsidRPr="00CF4094">
        <w:rPr>
          <w:u w:val="single"/>
        </w:rPr>
        <w:t>slowing the economic growth of trade partners</w:t>
      </w:r>
      <w:r w:rsidRPr="00CF4094">
        <w:rPr>
          <w:rStyle w:val="StyleUnderline"/>
          <w:sz w:val="16"/>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p>
    <w:p w14:paraId="6E85970D" w14:textId="77777777" w:rsidR="00AC337D" w:rsidRPr="00594ADE" w:rsidRDefault="00AC337D" w:rsidP="00AC337D">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600D203" w14:textId="77777777" w:rsidR="00AC337D" w:rsidRPr="00594ADE" w:rsidRDefault="00AC337D" w:rsidP="00AC337D">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88577C2" w14:textId="77777777" w:rsidR="00AC337D" w:rsidRPr="00F807D1" w:rsidRDefault="00AC337D" w:rsidP="00AC337D">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w:t>
      </w:r>
      <w:r w:rsidRPr="008D2E40">
        <w:rPr>
          <w:rStyle w:val="StyleUnderline"/>
          <w:highlight w:val="green"/>
        </w:rPr>
        <w:lastRenderedPageBreak/>
        <w:t xml:space="preserve">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w:t>
      </w:r>
      <w:r w:rsidRPr="00594ADE">
        <w:rPr>
          <w:sz w:val="16"/>
        </w:rPr>
        <w:lastRenderedPageBreak/>
        <w:t xml:space="preserve">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will drive disruptive changes in both terrestial and aquatic ecosystems</w:t>
      </w:r>
      <w:r w:rsidRPr="00F807D1">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w:t>
      </w:r>
    </w:p>
    <w:p w14:paraId="4728D227" w14:textId="77777777" w:rsidR="00AC337D" w:rsidRPr="00AC337D" w:rsidRDefault="00AC337D" w:rsidP="00AC337D"/>
    <w:sectPr w:rsidR="00AC337D" w:rsidRPr="00AC3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23DF"/>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23DF"/>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3CD5"/>
    <w:rsid w:val="0091627E"/>
    <w:rsid w:val="00945690"/>
    <w:rsid w:val="0097032B"/>
    <w:rsid w:val="009D2EAD"/>
    <w:rsid w:val="009D54B2"/>
    <w:rsid w:val="009E1922"/>
    <w:rsid w:val="009F7ED2"/>
    <w:rsid w:val="00A93661"/>
    <w:rsid w:val="00A95652"/>
    <w:rsid w:val="00AC0AB8"/>
    <w:rsid w:val="00AC337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482"/>
    <w:rsid w:val="00DA6538"/>
    <w:rsid w:val="00E0093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7066"/>
  <w15:chartTrackingRefBased/>
  <w15:docId w15:val="{1A9EA34B-B7BC-43D0-B036-BC23D75E3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23DF"/>
    <w:rPr>
      <w:rFonts w:ascii="Calibri" w:hAnsi="Calibri"/>
    </w:rPr>
  </w:style>
  <w:style w:type="paragraph" w:styleId="Heading1">
    <w:name w:val="heading 1"/>
    <w:aliases w:val="Pocket"/>
    <w:basedOn w:val="Normal"/>
    <w:next w:val="Normal"/>
    <w:link w:val="Heading1Char"/>
    <w:qFormat/>
    <w:rsid w:val="003A23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23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3A23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9"/>
    <w:unhideWhenUsed/>
    <w:qFormat/>
    <w:rsid w:val="003A23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2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3DF"/>
  </w:style>
  <w:style w:type="character" w:customStyle="1" w:styleId="Heading1Char">
    <w:name w:val="Heading 1 Char"/>
    <w:aliases w:val="Pocket Char"/>
    <w:basedOn w:val="DefaultParagraphFont"/>
    <w:link w:val="Heading1"/>
    <w:rsid w:val="003A23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23D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3A23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3A23D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3A23D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A23D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3A23D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A23DF"/>
    <w:rPr>
      <w:color w:val="auto"/>
      <w:u w:val="none"/>
    </w:rPr>
  </w:style>
  <w:style w:type="character" w:styleId="FollowedHyperlink">
    <w:name w:val="FollowedHyperlink"/>
    <w:basedOn w:val="DefaultParagraphFont"/>
    <w:uiPriority w:val="99"/>
    <w:semiHidden/>
    <w:unhideWhenUsed/>
    <w:rsid w:val="003A23DF"/>
    <w:rPr>
      <w:color w:val="auto"/>
      <w:u w:val="none"/>
    </w:rPr>
  </w:style>
  <w:style w:type="paragraph" w:customStyle="1" w:styleId="textbold">
    <w:name w:val="text bold"/>
    <w:basedOn w:val="Normal"/>
    <w:link w:val="Emphasis"/>
    <w:uiPriority w:val="7"/>
    <w:qFormat/>
    <w:rsid w:val="003A23DF"/>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8524</Words>
  <Characters>48588</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6</cp:revision>
  <dcterms:created xsi:type="dcterms:W3CDTF">2021-12-04T22:48:00Z</dcterms:created>
  <dcterms:modified xsi:type="dcterms:W3CDTF">2021-12-04T23:14:00Z</dcterms:modified>
</cp:coreProperties>
</file>